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6F877" w14:textId="5AAA07D3" w:rsidR="00036FED" w:rsidRPr="005F6D8A" w:rsidRDefault="00F63E5F" w:rsidP="00C42C31">
      <w:pPr>
        <w:rPr>
          <w:rFonts w:cs="Arial"/>
          <w:color w:val="FF0000"/>
          <w:spacing w:val="0"/>
        </w:rPr>
      </w:pPr>
      <w:r w:rsidRPr="005F6D8A">
        <w:rPr>
          <w:rFonts w:cs="Arial"/>
          <w:noProof/>
          <w:color w:val="FF0000"/>
          <w:spacing w:val="0"/>
        </w:rPr>
        <w:drawing>
          <wp:anchor distT="0" distB="0" distL="114300" distR="114300" simplePos="0" relativeHeight="251663360" behindDoc="1" locked="0" layoutInCell="1" allowOverlap="1" wp14:anchorId="4765DF8F" wp14:editId="412EB955">
            <wp:simplePos x="0" y="0"/>
            <wp:positionH relativeFrom="margin">
              <wp:posOffset>4398645</wp:posOffset>
            </wp:positionH>
            <wp:positionV relativeFrom="paragraph">
              <wp:posOffset>-140335</wp:posOffset>
            </wp:positionV>
            <wp:extent cx="2243007" cy="895350"/>
            <wp:effectExtent l="0" t="0" r="508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lack-red_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3007" cy="895350"/>
                    </a:xfrm>
                    <a:prstGeom prst="rect">
                      <a:avLst/>
                    </a:prstGeom>
                  </pic:spPr>
                </pic:pic>
              </a:graphicData>
            </a:graphic>
            <wp14:sizeRelH relativeFrom="page">
              <wp14:pctWidth>0</wp14:pctWidth>
            </wp14:sizeRelH>
            <wp14:sizeRelV relativeFrom="page">
              <wp14:pctHeight>0</wp14:pctHeight>
            </wp14:sizeRelV>
          </wp:anchor>
        </w:drawing>
      </w:r>
    </w:p>
    <w:p w14:paraId="40D30D8D" w14:textId="39235C2B" w:rsidR="00C42C31" w:rsidRPr="005F6D8A" w:rsidRDefault="00AB463E" w:rsidP="00C42C31">
      <w:pPr>
        <w:rPr>
          <w:rFonts w:cs="Arial"/>
          <w:color w:val="FF0000"/>
          <w:spacing w:val="0"/>
        </w:rPr>
      </w:pPr>
      <w:r w:rsidRPr="005F6D8A">
        <w:rPr>
          <w:rFonts w:cs="Arial"/>
          <w:noProof/>
          <w:color w:val="FF0000"/>
        </w:rPr>
        <mc:AlternateContent>
          <mc:Choice Requires="wps">
            <w:drawing>
              <wp:anchor distT="0" distB="0" distL="114300" distR="114300" simplePos="0" relativeHeight="251658240" behindDoc="0" locked="1" layoutInCell="1" allowOverlap="1" wp14:anchorId="5B8FE218" wp14:editId="7E18C513">
                <wp:simplePos x="0" y="0"/>
                <wp:positionH relativeFrom="page">
                  <wp:posOffset>540385</wp:posOffset>
                </wp:positionH>
                <wp:positionV relativeFrom="page">
                  <wp:posOffset>605790</wp:posOffset>
                </wp:positionV>
                <wp:extent cx="2743200" cy="32067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0C94A" w14:textId="77777777" w:rsidR="00B52B21" w:rsidRDefault="00B52B21" w:rsidP="00C42C31">
                            <w:pPr>
                              <w:pStyle w:val="SEGTitle"/>
                            </w:pPr>
                            <w:r>
                              <w:t xml:space="preserve">Press </w:t>
                            </w:r>
                            <w:r>
                              <w:rPr>
                                <w:rStyle w:val="SEGTitleRed"/>
                              </w:rPr>
                              <w:t>release</w:t>
                            </w:r>
                          </w:p>
                          <w:p w14:paraId="2D16F294" w14:textId="77777777" w:rsidR="00B52B21" w:rsidRDefault="00B52B21" w:rsidP="00C42C31"/>
                          <w:p w14:paraId="6464D14F" w14:textId="77777777" w:rsidR="00B52B21" w:rsidRDefault="00B52B21" w:rsidP="00C42C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FE218" id="_x0000_t202" coordsize="21600,21600" o:spt="202" path="m,l,21600r21600,l21600,xe">
                <v:stroke joinstyle="miter"/>
                <v:path gradientshapeok="t" o:connecttype="rect"/>
              </v:shapetype>
              <v:shape id="Text Box 3" o:spid="_x0000_s1026" type="#_x0000_t202" style="position:absolute;margin-left:42.55pt;margin-top:47.7pt;width:3in;height:2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" filled="f" stroked="f">
                <v:textbox inset="0,0,0,0">
                  <w:txbxContent>
                    <w:p w14:paraId="4560C94A" w14:textId="77777777" w:rsidR="00B52B21" w:rsidRDefault="00B52B21" w:rsidP="00C42C31">
                      <w:pPr>
                        <w:pStyle w:val="SEGTitle"/>
                      </w:pPr>
                      <w:r>
                        <w:t xml:space="preserve">Press </w:t>
                      </w:r>
                      <w:r>
                        <w:rPr>
                          <w:rStyle w:val="SEGTitleRed"/>
                        </w:rPr>
                        <w:t>release</w:t>
                      </w:r>
                    </w:p>
                    <w:p w14:paraId="2D16F294" w14:textId="77777777" w:rsidR="00B52B21" w:rsidRDefault="00B52B21" w:rsidP="00C42C31"/>
                    <w:p w14:paraId="6464D14F" w14:textId="77777777" w:rsidR="00B52B21" w:rsidRDefault="00B52B21" w:rsidP="00C42C31"/>
                  </w:txbxContent>
                </v:textbox>
                <w10:wrap anchorx="page" anchory="page"/>
                <w10:anchorlock/>
              </v:shape>
            </w:pict>
          </mc:Fallback>
        </mc:AlternateContent>
      </w:r>
      <w:r w:rsidR="00C42C31" w:rsidRPr="005F6D8A">
        <w:rPr>
          <w:rFonts w:cs="Arial"/>
          <w:color w:val="FF0000"/>
          <w:spacing w:val="0"/>
        </w:rPr>
        <w:t xml:space="preserve"> </w:t>
      </w:r>
    </w:p>
    <w:p w14:paraId="7BBBBEFF" w14:textId="77777777" w:rsidR="00C42C31" w:rsidRPr="005F6D8A" w:rsidRDefault="00C42C31" w:rsidP="00C42C31">
      <w:pPr>
        <w:rPr>
          <w:rFonts w:cs="Arial"/>
          <w:color w:val="FF0000"/>
          <w:spacing w:val="0"/>
        </w:rPr>
      </w:pPr>
      <w:r w:rsidRPr="005F6D8A">
        <w:rPr>
          <w:rFonts w:cs="Arial"/>
          <w:color w:val="FF0000"/>
          <w:spacing w:val="0"/>
        </w:rPr>
        <w:t xml:space="preserve"> </w:t>
      </w:r>
    </w:p>
    <w:p w14:paraId="4C75E7F3" w14:textId="77777777" w:rsidR="009E75A3" w:rsidRDefault="00F63E5F" w:rsidP="008C16E2">
      <w:pPr>
        <w:rPr>
          <w:rFonts w:cs="Arial"/>
          <w:spacing w:val="0"/>
        </w:rPr>
      </w:pPr>
      <w:r w:rsidRPr="005F6D8A">
        <w:rPr>
          <w:rFonts w:cs="Arial"/>
          <w:spacing w:val="0"/>
        </w:rPr>
        <w:t xml:space="preserve">  </w:t>
      </w:r>
    </w:p>
    <w:p w14:paraId="36FB03B8" w14:textId="4AEEF691" w:rsidR="008C16E2" w:rsidRPr="005F6D8A" w:rsidRDefault="008C16E2" w:rsidP="008C16E2">
      <w:r w:rsidRPr="005F6D8A">
        <w:t>18 February 2022</w:t>
      </w:r>
    </w:p>
    <w:p w14:paraId="328C5DDA" w14:textId="04339B6A" w:rsidR="008C16E2" w:rsidRDefault="008C16E2" w:rsidP="008C16E2">
      <w:pPr>
        <w:pStyle w:val="Heading1"/>
        <w:jc w:val="center"/>
      </w:pPr>
      <w:r w:rsidRPr="005F6D8A">
        <w:t>RESULTS FOR THE year ENDED 31 december 2021</w:t>
      </w:r>
    </w:p>
    <w:p w14:paraId="4ADDDA6B" w14:textId="77777777" w:rsidR="003B12BC" w:rsidRPr="00AB5380" w:rsidRDefault="003B12BC" w:rsidP="00AB5380"/>
    <w:p w14:paraId="6C622CE9" w14:textId="5F262B08" w:rsidR="008C16E2" w:rsidRPr="005F6D8A" w:rsidRDefault="00CD4D67" w:rsidP="008C16E2">
      <w:pPr>
        <w:pStyle w:val="Normal1"/>
        <w:spacing w:after="20"/>
        <w:jc w:val="center"/>
        <w:rPr>
          <w:rFonts w:cs="Arial"/>
          <w:b/>
          <w:spacing w:val="0"/>
          <w:szCs w:val="22"/>
        </w:rPr>
      </w:pPr>
      <w:r>
        <w:rPr>
          <w:rFonts w:cs="Arial"/>
          <w:b/>
          <w:spacing w:val="0"/>
          <w:szCs w:val="22"/>
        </w:rPr>
        <w:t xml:space="preserve">PAN-EUROPEAN PLATFORM CAPTURES </w:t>
      </w:r>
      <w:r w:rsidR="008C16E2" w:rsidRPr="005F6D8A">
        <w:rPr>
          <w:rFonts w:cs="Arial"/>
          <w:b/>
          <w:spacing w:val="0"/>
          <w:szCs w:val="22"/>
        </w:rPr>
        <w:t>RECORD DEMA</w:t>
      </w:r>
      <w:r w:rsidR="008C16E2" w:rsidRPr="00EB2C57">
        <w:rPr>
          <w:rFonts w:cs="Arial"/>
          <w:b/>
          <w:spacing w:val="0"/>
          <w:szCs w:val="22"/>
        </w:rPr>
        <w:t xml:space="preserve">ND </w:t>
      </w:r>
      <w:r w:rsidRPr="00EB2C57">
        <w:rPr>
          <w:rFonts w:cs="Arial"/>
          <w:b/>
          <w:spacing w:val="0"/>
          <w:szCs w:val="22"/>
        </w:rPr>
        <w:t xml:space="preserve">TO </w:t>
      </w:r>
      <w:r w:rsidR="008C16E2" w:rsidRPr="00EB2C57">
        <w:rPr>
          <w:rFonts w:cs="Arial"/>
          <w:b/>
          <w:spacing w:val="0"/>
          <w:szCs w:val="22"/>
        </w:rPr>
        <w:t xml:space="preserve">DRIVE </w:t>
      </w:r>
      <w:r w:rsidR="007677F4" w:rsidRPr="00AB5380">
        <w:rPr>
          <w:rFonts w:cs="Arial"/>
          <w:b/>
          <w:spacing w:val="0"/>
          <w:szCs w:val="22"/>
        </w:rPr>
        <w:t>OUTPERFORMANCE</w:t>
      </w:r>
      <w:r w:rsidR="008C16E2" w:rsidRPr="00EB2C57">
        <w:rPr>
          <w:rFonts w:cs="Arial"/>
          <w:b/>
          <w:spacing w:val="0"/>
          <w:szCs w:val="22"/>
        </w:rPr>
        <w:t xml:space="preserve"> AND SUPPORT A POSITIVE OUTLOOK</w:t>
      </w:r>
      <w:r w:rsidR="008C16E2" w:rsidRPr="005F6D8A">
        <w:rPr>
          <w:rFonts w:cs="Arial"/>
          <w:b/>
          <w:spacing w:val="0"/>
          <w:szCs w:val="22"/>
        </w:rPr>
        <w:t xml:space="preserve"> </w:t>
      </w:r>
      <w:bookmarkStart w:id="0" w:name="_Hlk76995438"/>
    </w:p>
    <w:p w14:paraId="0D61D41E" w14:textId="77777777" w:rsidR="008C16E2" w:rsidRPr="005F6D8A" w:rsidRDefault="008C16E2" w:rsidP="008C16E2">
      <w:pPr>
        <w:pStyle w:val="Normal1"/>
        <w:spacing w:after="20"/>
        <w:jc w:val="center"/>
        <w:rPr>
          <w:rFonts w:cs="Arial"/>
          <w:b/>
          <w:spacing w:val="0"/>
          <w:szCs w:val="22"/>
        </w:rPr>
      </w:pPr>
    </w:p>
    <w:p w14:paraId="29462CDB" w14:textId="77777777" w:rsidR="003B12BC" w:rsidRDefault="003B12BC" w:rsidP="006A443A">
      <w:pPr>
        <w:pStyle w:val="Normal1"/>
      </w:pPr>
    </w:p>
    <w:p w14:paraId="35018854" w14:textId="5AAFE738" w:rsidR="00CD4D67" w:rsidRDefault="00CD4D67" w:rsidP="006A443A">
      <w:pPr>
        <w:pStyle w:val="Normal1"/>
      </w:pPr>
      <w:r>
        <w:t>Commenting on the results David Sleath, Chief Executive of SEGRO said:</w:t>
      </w:r>
    </w:p>
    <w:p w14:paraId="67477975" w14:textId="564DAAD8" w:rsidR="008C16E2" w:rsidRPr="005F6D8A" w:rsidRDefault="008C16E2" w:rsidP="006A443A">
      <w:pPr>
        <w:pStyle w:val="Normal1"/>
      </w:pPr>
      <w:r w:rsidRPr="005F6D8A">
        <w:t xml:space="preserve">“2021 was a highly successful year for SEGRO as reflected in our full year results which include a £4.1 billion portfolio valuation uplift and record levels of rental growth. Investor and occupier supply-demand dynamics in the industrial </w:t>
      </w:r>
      <w:r w:rsidR="007677F4">
        <w:t xml:space="preserve">and logistics </w:t>
      </w:r>
      <w:r w:rsidRPr="005F6D8A">
        <w:t xml:space="preserve">sector remain </w:t>
      </w:r>
      <w:r w:rsidR="00CB1881">
        <w:t>very</w:t>
      </w:r>
      <w:r w:rsidRPr="005F6D8A">
        <w:t xml:space="preserve"> favourable, led by the long-term trends of digitalisation, supply chain resilience and an increasing focus on sustainability. </w:t>
      </w:r>
    </w:p>
    <w:p w14:paraId="3C0B5D0A" w14:textId="7CA0119B" w:rsidR="008C16E2" w:rsidRPr="005F6D8A" w:rsidRDefault="008C16E2" w:rsidP="006A443A">
      <w:pPr>
        <w:pStyle w:val="Normal1"/>
      </w:pPr>
      <w:r w:rsidRPr="005F6D8A">
        <w:t>“Our Responsible SEGRO ambitions have been received</w:t>
      </w:r>
      <w:r w:rsidR="00CB1881">
        <w:t xml:space="preserve"> positively</w:t>
      </w:r>
      <w:r w:rsidRPr="005F6D8A">
        <w:t xml:space="preserve"> by our customers, employees and other stakeholders and are becoming well integrated into</w:t>
      </w:r>
      <w:r w:rsidR="00610C06">
        <w:t xml:space="preserve"> the way that we run and grow the business</w:t>
      </w:r>
      <w:r w:rsidRPr="005F6D8A">
        <w:t xml:space="preserve">. During 2021 we made important progress with our three priority areas of Championing low-carbon growth, Investing in our communities and environments and Nurturing talent. </w:t>
      </w:r>
    </w:p>
    <w:p w14:paraId="1AFD12D0" w14:textId="45B02613" w:rsidR="008C16E2" w:rsidRPr="005F6D8A" w:rsidRDefault="008C16E2" w:rsidP="006A443A">
      <w:pPr>
        <w:pStyle w:val="Normal1"/>
        <w:rPr>
          <w:rFonts w:cs="Arial"/>
          <w:b/>
          <w:szCs w:val="22"/>
        </w:rPr>
      </w:pPr>
      <w:r w:rsidRPr="005F6D8A">
        <w:t>“Our established and experienced pan-European operating platform remains focused on delivering excellence in customer service which, when combined with the strong relationships and reputation that we have with our stakeholders, provides us with a distinct advantage in an increasingly competitive sector. These capabilities enabled us to invest almost £2 billion in 2021 to further expand our pipeline of opportunities to support future growth. This</w:t>
      </w:r>
      <w:r w:rsidR="00610C06">
        <w:t xml:space="preserve"> pipeline</w:t>
      </w:r>
      <w:r w:rsidRPr="005F6D8A">
        <w:t>, alongside the high quality of our existing portfolio</w:t>
      </w:r>
      <w:r w:rsidR="007677F4">
        <w:t>,</w:t>
      </w:r>
      <w:r w:rsidRPr="005F6D8A">
        <w:t xml:space="preserve"> the compounding effect of rental growth</w:t>
      </w:r>
      <w:r w:rsidR="007677F4">
        <w:t xml:space="preserve"> and the strong start we have made in 2022,</w:t>
      </w:r>
      <w:r w:rsidRPr="005F6D8A">
        <w:t xml:space="preserve"> gives us </w:t>
      </w:r>
      <w:r w:rsidR="007677F4">
        <w:t xml:space="preserve">continued </w:t>
      </w:r>
      <w:r w:rsidRPr="005F6D8A">
        <w:t xml:space="preserve">confidence in our ability to drive further sustainable growth in earnings and dividends over the coming years.” </w:t>
      </w:r>
      <w:bookmarkEnd w:id="0"/>
    </w:p>
    <w:p w14:paraId="79C788A8" w14:textId="77777777" w:rsidR="008C16E2" w:rsidRPr="005F6D8A" w:rsidRDefault="008C16E2" w:rsidP="008C16E2">
      <w:pPr>
        <w:rPr>
          <w:rFonts w:cs="Arial"/>
          <w:b/>
          <w:spacing w:val="0"/>
          <w:szCs w:val="22"/>
        </w:rPr>
      </w:pPr>
      <w:r w:rsidRPr="005F6D8A">
        <w:rPr>
          <w:rFonts w:cs="Arial"/>
          <w:b/>
          <w:spacing w:val="0"/>
          <w:szCs w:val="22"/>
        </w:rPr>
        <w:t>HIGHLIGHTS</w:t>
      </w:r>
      <w:r w:rsidRPr="005F6D8A">
        <w:rPr>
          <w:rFonts w:cs="Arial"/>
          <w:b/>
          <w:spacing w:val="0"/>
          <w:szCs w:val="22"/>
          <w:vertAlign w:val="superscript"/>
        </w:rPr>
        <w:t>A</w:t>
      </w:r>
      <w:r w:rsidRPr="005F6D8A">
        <w:rPr>
          <w:rFonts w:cs="Arial"/>
          <w:b/>
          <w:spacing w:val="0"/>
          <w:szCs w:val="22"/>
        </w:rPr>
        <w:t>:</w:t>
      </w:r>
    </w:p>
    <w:p w14:paraId="76D27FBA" w14:textId="73948A06" w:rsidR="008C16E2" w:rsidRPr="005F6D8A" w:rsidRDefault="008C16E2" w:rsidP="009D4B2B">
      <w:pPr>
        <w:pStyle w:val="Normal1"/>
        <w:numPr>
          <w:ilvl w:val="0"/>
          <w:numId w:val="15"/>
        </w:numPr>
        <w:spacing w:after="240"/>
        <w:ind w:left="714" w:hanging="357"/>
        <w:rPr>
          <w:rFonts w:cs="Arial"/>
          <w:b/>
          <w:spacing w:val="0"/>
        </w:rPr>
      </w:pPr>
      <w:r w:rsidRPr="005F6D8A">
        <w:rPr>
          <w:rFonts w:cs="Arial"/>
          <w:b/>
        </w:rPr>
        <w:t>Adjusted pre-tax profit of £356 million up 20 per cent compared with the prior year (2020: £296</w:t>
      </w:r>
      <w:r w:rsidR="007677F4">
        <w:rPr>
          <w:rFonts w:cs="Arial"/>
          <w:b/>
        </w:rPr>
        <w:t xml:space="preserve"> </w:t>
      </w:r>
      <w:r w:rsidRPr="005F6D8A">
        <w:rPr>
          <w:rFonts w:cs="Arial"/>
          <w:b/>
        </w:rPr>
        <w:t>million)</w:t>
      </w:r>
      <w:r w:rsidRPr="005F6D8A">
        <w:rPr>
          <w:rFonts w:cs="Arial"/>
        </w:rPr>
        <w:t xml:space="preserve">. </w:t>
      </w:r>
      <w:r w:rsidRPr="005F6D8A">
        <w:rPr>
          <w:rFonts w:cs="Arial"/>
          <w:spacing w:val="0"/>
          <w:szCs w:val="22"/>
        </w:rPr>
        <w:t xml:space="preserve">Adjusted EPS is 29.1 pence, up 15 per cent (2020: 25.4 pence) including 1.1 pence relating to recognition of performance fees </w:t>
      </w:r>
      <w:r w:rsidR="00CD4D67">
        <w:rPr>
          <w:rFonts w:cs="Arial"/>
          <w:spacing w:val="0"/>
          <w:szCs w:val="22"/>
        </w:rPr>
        <w:t xml:space="preserve">from </w:t>
      </w:r>
      <w:r w:rsidRPr="005F6D8A">
        <w:rPr>
          <w:rFonts w:cs="Arial"/>
          <w:spacing w:val="0"/>
          <w:szCs w:val="22"/>
        </w:rPr>
        <w:t>our SELP joint venture.</w:t>
      </w:r>
    </w:p>
    <w:p w14:paraId="047AF597" w14:textId="4F8FF9FE" w:rsidR="008C16E2" w:rsidRPr="005F6D8A" w:rsidRDefault="008C16E2" w:rsidP="009D4B2B">
      <w:pPr>
        <w:pStyle w:val="Normal1"/>
        <w:numPr>
          <w:ilvl w:val="0"/>
          <w:numId w:val="15"/>
        </w:numPr>
        <w:spacing w:after="240"/>
        <w:ind w:left="714" w:hanging="357"/>
        <w:rPr>
          <w:rFonts w:cs="Arial"/>
          <w:b/>
          <w:spacing w:val="0"/>
        </w:rPr>
      </w:pPr>
      <w:r w:rsidRPr="005F6D8A">
        <w:rPr>
          <w:rFonts w:cs="Arial"/>
          <w:b/>
          <w:bCs/>
          <w:spacing w:val="0"/>
          <w:szCs w:val="22"/>
        </w:rPr>
        <w:t xml:space="preserve">Adjusted NAV per share up </w:t>
      </w:r>
      <w:r w:rsidR="006203F0">
        <w:rPr>
          <w:rFonts w:cs="Arial"/>
          <w:b/>
          <w:bCs/>
          <w:spacing w:val="0"/>
          <w:szCs w:val="22"/>
        </w:rPr>
        <w:t>40</w:t>
      </w:r>
      <w:r w:rsidRPr="005F6D8A">
        <w:rPr>
          <w:rFonts w:cs="Arial"/>
          <w:b/>
          <w:bCs/>
          <w:spacing w:val="0"/>
          <w:szCs w:val="22"/>
        </w:rPr>
        <w:t xml:space="preserve"> per cent to 1,137 pence</w:t>
      </w:r>
      <w:r w:rsidRPr="005F6D8A">
        <w:rPr>
          <w:rFonts w:cs="Arial"/>
          <w:spacing w:val="0"/>
          <w:szCs w:val="22"/>
        </w:rPr>
        <w:t xml:space="preserve"> (31 December 2020: 814 pence) driven by </w:t>
      </w:r>
      <w:r w:rsidRPr="00584223">
        <w:rPr>
          <w:rFonts w:cs="Arial"/>
          <w:spacing w:val="0"/>
          <w:szCs w:val="22"/>
        </w:rPr>
        <w:t>portfolio</w:t>
      </w:r>
      <w:r w:rsidRPr="005F6D8A">
        <w:rPr>
          <w:rFonts w:cs="Arial"/>
          <w:spacing w:val="0"/>
          <w:szCs w:val="22"/>
        </w:rPr>
        <w:t xml:space="preserve"> valuation growth of 29 per cent, including ERV growth of 13.1 per cent (2020: 2.5 per cent), yield compression, portfolio asset management initiatives and development profits. </w:t>
      </w:r>
    </w:p>
    <w:p w14:paraId="7C2C4E6F" w14:textId="5962796A" w:rsidR="008C16E2" w:rsidRPr="005F6D8A" w:rsidRDefault="008C16E2" w:rsidP="009D4B2B">
      <w:pPr>
        <w:pStyle w:val="Normal1"/>
        <w:numPr>
          <w:ilvl w:val="0"/>
          <w:numId w:val="15"/>
        </w:numPr>
        <w:spacing w:after="240"/>
        <w:ind w:left="714" w:hanging="357"/>
        <w:rPr>
          <w:rFonts w:cs="Arial"/>
          <w:bCs/>
          <w:spacing w:val="0"/>
        </w:rPr>
      </w:pPr>
      <w:r w:rsidRPr="005F6D8A">
        <w:rPr>
          <w:rFonts w:cs="Arial"/>
          <w:b/>
        </w:rPr>
        <w:t>Strong occupier demand,</w:t>
      </w:r>
      <w:r w:rsidR="00610C06">
        <w:rPr>
          <w:rFonts w:cs="Arial"/>
          <w:b/>
        </w:rPr>
        <w:t xml:space="preserve"> </w:t>
      </w:r>
      <w:r w:rsidRPr="005F6D8A">
        <w:rPr>
          <w:rFonts w:cs="Arial"/>
          <w:b/>
        </w:rPr>
        <w:t>our customer focus and active management of the portfolio generated £95 million of new headline rent</w:t>
      </w:r>
      <w:r w:rsidRPr="005F6D8A">
        <w:rPr>
          <w:rFonts w:cs="Arial"/>
          <w:bCs/>
        </w:rPr>
        <w:t xml:space="preserve"> </w:t>
      </w:r>
      <w:r w:rsidRPr="005F6D8A">
        <w:rPr>
          <w:rFonts w:cs="Arial"/>
          <w:b/>
        </w:rPr>
        <w:t>commitments during the period,</w:t>
      </w:r>
      <w:r w:rsidRPr="005F6D8A">
        <w:rPr>
          <w:rFonts w:cs="Arial"/>
          <w:bCs/>
        </w:rPr>
        <w:t xml:space="preserve"> including £49 million of new pre-let agreements, and a 13 per cent average uplift on rent reviews and renewals (2020</w:t>
      </w:r>
      <w:r w:rsidRPr="005F6D8A">
        <w:rPr>
          <w:rFonts w:cs="Arial"/>
          <w:bCs/>
          <w:spacing w:val="0"/>
        </w:rPr>
        <w:t>: £78 million)</w:t>
      </w:r>
    </w:p>
    <w:p w14:paraId="4AC9FB73" w14:textId="189B45A3" w:rsidR="008C16E2" w:rsidRPr="005F6D8A" w:rsidRDefault="008C16E2" w:rsidP="009D4B2B">
      <w:pPr>
        <w:pStyle w:val="Normal1"/>
        <w:numPr>
          <w:ilvl w:val="0"/>
          <w:numId w:val="15"/>
        </w:numPr>
        <w:spacing w:after="240"/>
        <w:ind w:left="714" w:hanging="357"/>
        <w:rPr>
          <w:rFonts w:cs="Arial"/>
          <w:b/>
          <w:spacing w:val="0"/>
        </w:rPr>
      </w:pPr>
      <w:r w:rsidRPr="005F6D8A">
        <w:rPr>
          <w:rFonts w:cs="Arial"/>
          <w:b/>
          <w:spacing w:val="0"/>
        </w:rPr>
        <w:t xml:space="preserve">Net capital investment of £1.5 billion </w:t>
      </w:r>
      <w:r w:rsidRPr="005F6D8A">
        <w:rPr>
          <w:rFonts w:cs="Arial"/>
          <w:bCs/>
          <w:spacing w:val="0"/>
        </w:rPr>
        <w:t>(2020: £1.3 billion)</w:t>
      </w:r>
      <w:r w:rsidRPr="005F6D8A">
        <w:rPr>
          <w:rFonts w:cs="Arial"/>
          <w:b/>
          <w:spacing w:val="0"/>
        </w:rPr>
        <w:t xml:space="preserve"> </w:t>
      </w:r>
      <w:r w:rsidRPr="005F6D8A">
        <w:rPr>
          <w:rFonts w:cs="Arial"/>
          <w:bCs/>
          <w:spacing w:val="0"/>
        </w:rPr>
        <w:t>in asset acquisitions, development projects and land purchases</w:t>
      </w:r>
      <w:r w:rsidR="00CD4D67">
        <w:rPr>
          <w:rFonts w:cs="Arial"/>
          <w:bCs/>
          <w:spacing w:val="0"/>
        </w:rPr>
        <w:t xml:space="preserve">, less disposals. </w:t>
      </w:r>
    </w:p>
    <w:p w14:paraId="41C03FD2" w14:textId="69EA9D36" w:rsidR="008C16E2" w:rsidRPr="005F6D8A" w:rsidRDefault="008C16E2" w:rsidP="009D4B2B">
      <w:pPr>
        <w:pStyle w:val="Normal1"/>
        <w:numPr>
          <w:ilvl w:val="0"/>
          <w:numId w:val="15"/>
        </w:numPr>
        <w:spacing w:after="240"/>
        <w:ind w:left="714" w:hanging="357"/>
        <w:rPr>
          <w:rFonts w:cs="Arial"/>
          <w:b/>
          <w:spacing w:val="0"/>
        </w:rPr>
      </w:pPr>
      <w:r w:rsidRPr="005F6D8A">
        <w:rPr>
          <w:rFonts w:cs="Arial"/>
          <w:b/>
          <w:spacing w:val="0"/>
        </w:rPr>
        <w:t>Continued momentum in the development pipeline with 1.</w:t>
      </w:r>
      <w:r w:rsidR="00FB7531">
        <w:rPr>
          <w:rFonts w:cs="Arial"/>
          <w:b/>
          <w:spacing w:val="0"/>
        </w:rPr>
        <w:t>1</w:t>
      </w:r>
      <w:r w:rsidRPr="005F6D8A">
        <w:rPr>
          <w:rFonts w:cs="Arial"/>
          <w:b/>
          <w:spacing w:val="0"/>
        </w:rPr>
        <w:t xml:space="preserve"> million sq m of projects under construction or in advanced pre-let discussions</w:t>
      </w:r>
      <w:r w:rsidRPr="005F6D8A">
        <w:rPr>
          <w:rFonts w:cs="Arial"/>
          <w:bCs/>
          <w:spacing w:val="0"/>
        </w:rPr>
        <w:t xml:space="preserve"> equating </w:t>
      </w:r>
      <w:r w:rsidRPr="009C68AC">
        <w:rPr>
          <w:rFonts w:cs="Arial"/>
          <w:bCs/>
          <w:spacing w:val="0"/>
        </w:rPr>
        <w:t>to £8</w:t>
      </w:r>
      <w:r w:rsidR="00175306">
        <w:rPr>
          <w:rFonts w:cs="Arial"/>
          <w:bCs/>
          <w:spacing w:val="0"/>
        </w:rPr>
        <w:t>2</w:t>
      </w:r>
      <w:r w:rsidRPr="005F6D8A">
        <w:rPr>
          <w:rFonts w:cs="Arial"/>
          <w:bCs/>
          <w:spacing w:val="0"/>
        </w:rPr>
        <w:t xml:space="preserve"> </w:t>
      </w:r>
      <w:r w:rsidRPr="005F6D8A">
        <w:rPr>
          <w:rFonts w:cs="Arial"/>
          <w:spacing w:val="0"/>
        </w:rPr>
        <w:t>million of potential rent, of which 7</w:t>
      </w:r>
      <w:r w:rsidR="00FB7531">
        <w:rPr>
          <w:rFonts w:cs="Arial"/>
          <w:spacing w:val="0"/>
        </w:rPr>
        <w:t>0</w:t>
      </w:r>
      <w:r w:rsidRPr="005F6D8A">
        <w:rPr>
          <w:rFonts w:cs="Arial"/>
          <w:spacing w:val="0"/>
        </w:rPr>
        <w:t xml:space="preserve"> per cent has been pre-let, providing growth in earnings this year and next</w:t>
      </w:r>
      <w:r w:rsidR="00CD4D67">
        <w:rPr>
          <w:rFonts w:cs="Arial"/>
          <w:spacing w:val="0"/>
        </w:rPr>
        <w:t>.</w:t>
      </w:r>
    </w:p>
    <w:p w14:paraId="075D3B5A" w14:textId="16D87EE8" w:rsidR="008C16E2" w:rsidRPr="005F6D8A" w:rsidRDefault="008C16E2" w:rsidP="009D4B2B">
      <w:pPr>
        <w:pStyle w:val="ListParagraph"/>
        <w:numPr>
          <w:ilvl w:val="0"/>
          <w:numId w:val="15"/>
        </w:numPr>
        <w:autoSpaceDE w:val="0"/>
        <w:autoSpaceDN w:val="0"/>
        <w:adjustRightInd w:val="0"/>
      </w:pPr>
      <w:r w:rsidRPr="005F6D8A">
        <w:rPr>
          <w:rFonts w:cs="Arial"/>
          <w:b/>
        </w:rPr>
        <w:lastRenderedPageBreak/>
        <w:t xml:space="preserve">Balance sheet well positioned to support further, development-led growth </w:t>
      </w:r>
      <w:r w:rsidRPr="005F6D8A">
        <w:rPr>
          <w:rFonts w:cs="Arial"/>
          <w:bCs/>
        </w:rPr>
        <w:t xml:space="preserve">with access to £1.1 billion of available liquidity and </w:t>
      </w:r>
      <w:r w:rsidRPr="005F6D8A">
        <w:rPr>
          <w:rFonts w:cs="Arial"/>
        </w:rPr>
        <w:t xml:space="preserve">an LTV of 23 per cent at 31 December 2021 (31 December 2020: 24 per cent). </w:t>
      </w:r>
    </w:p>
    <w:p w14:paraId="1EBA99EE" w14:textId="77777777" w:rsidR="008C16E2" w:rsidRPr="005F6D8A" w:rsidRDefault="008C16E2" w:rsidP="008C16E2">
      <w:pPr>
        <w:pStyle w:val="ListParagraph"/>
        <w:autoSpaceDE w:val="0"/>
        <w:autoSpaceDN w:val="0"/>
        <w:adjustRightInd w:val="0"/>
      </w:pPr>
    </w:p>
    <w:p w14:paraId="77AFF5B5" w14:textId="621F8019" w:rsidR="008C16E2" w:rsidRPr="005F6D8A" w:rsidRDefault="008C16E2" w:rsidP="009D4B2B">
      <w:pPr>
        <w:pStyle w:val="Normal1"/>
        <w:numPr>
          <w:ilvl w:val="0"/>
          <w:numId w:val="15"/>
        </w:numPr>
        <w:spacing w:after="240"/>
        <w:ind w:left="714" w:hanging="357"/>
        <w:rPr>
          <w:rFonts w:cs="Arial"/>
          <w:spacing w:val="0"/>
          <w:szCs w:val="22"/>
        </w:rPr>
      </w:pPr>
      <w:r w:rsidRPr="005F6D8A">
        <w:rPr>
          <w:rFonts w:cs="Arial"/>
          <w:b/>
          <w:spacing w:val="0"/>
        </w:rPr>
        <w:t xml:space="preserve">2021 full year dividend </w:t>
      </w:r>
      <w:r w:rsidRPr="00C63CA4">
        <w:rPr>
          <w:rFonts w:cs="Arial"/>
          <w:b/>
          <w:spacing w:val="0"/>
        </w:rPr>
        <w:t>increased 10 per cent to 24.3 pence</w:t>
      </w:r>
      <w:r w:rsidRPr="00C63CA4">
        <w:rPr>
          <w:rFonts w:cs="Arial"/>
          <w:spacing w:val="0"/>
        </w:rPr>
        <w:t xml:space="preserve"> (2020: 22.1 pence). Final dividend increased by 11 per cent to 16.9 pence (2020: 15</w:t>
      </w:r>
      <w:r w:rsidRPr="005F6D8A">
        <w:rPr>
          <w:rFonts w:cs="Arial"/>
          <w:spacing w:val="0"/>
        </w:rPr>
        <w:t>.2 pence).</w:t>
      </w:r>
    </w:p>
    <w:p w14:paraId="77571026" w14:textId="77777777" w:rsidR="003B12BC" w:rsidRDefault="003B12BC" w:rsidP="008C16E2">
      <w:pPr>
        <w:pStyle w:val="Heading2"/>
      </w:pPr>
    </w:p>
    <w:p w14:paraId="1D87057B" w14:textId="77777777" w:rsidR="003B12BC" w:rsidRDefault="003B12BC" w:rsidP="008C16E2">
      <w:pPr>
        <w:pStyle w:val="Heading2"/>
      </w:pPr>
    </w:p>
    <w:p w14:paraId="1842F1AA" w14:textId="621367EE" w:rsidR="008C16E2" w:rsidRPr="005F6D8A" w:rsidRDefault="008C16E2" w:rsidP="008C16E2">
      <w:pPr>
        <w:pStyle w:val="Heading2"/>
      </w:pPr>
      <w:r w:rsidRPr="005F6D8A">
        <w:t>FINANCIAL SUMMARY</w:t>
      </w:r>
    </w:p>
    <w:tbl>
      <w:tblPr>
        <w:tblW w:w="0" w:type="auto"/>
        <w:tblCellMar>
          <w:left w:w="0" w:type="dxa"/>
          <w:right w:w="57" w:type="dxa"/>
        </w:tblCellMar>
        <w:tblLook w:val="04A0" w:firstRow="1" w:lastRow="0" w:firstColumn="1" w:lastColumn="0" w:noHBand="0" w:noVBand="1"/>
      </w:tblPr>
      <w:tblGrid>
        <w:gridCol w:w="5534"/>
        <w:gridCol w:w="1549"/>
        <w:gridCol w:w="1708"/>
        <w:gridCol w:w="1560"/>
      </w:tblGrid>
      <w:tr w:rsidR="005F6D8A" w:rsidRPr="005F6D8A" w14:paraId="2EA1E3E8" w14:textId="77777777" w:rsidTr="005F6D8A">
        <w:trPr>
          <w:trHeight w:val="464"/>
        </w:trPr>
        <w:tc>
          <w:tcPr>
            <w:tcW w:w="5534" w:type="dxa"/>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5B3DBF2D" w14:textId="77777777" w:rsidR="008C16E2" w:rsidRPr="005F6D8A" w:rsidRDefault="008C16E2" w:rsidP="005F6D8A">
            <w:pPr>
              <w:spacing w:after="120" w:line="240" w:lineRule="auto"/>
              <w:ind w:left="147"/>
              <w:jc w:val="both"/>
              <w:rPr>
                <w:rFonts w:cs="Arial"/>
                <w:b/>
                <w:sz w:val="21"/>
                <w:szCs w:val="21"/>
              </w:rPr>
            </w:pPr>
          </w:p>
        </w:tc>
        <w:tc>
          <w:tcPr>
            <w:tcW w:w="1549" w:type="dxa"/>
            <w:tcBorders>
              <w:top w:val="single" w:sz="4" w:space="0" w:color="auto"/>
              <w:left w:val="nil"/>
              <w:bottom w:val="single" w:sz="4" w:space="0" w:color="auto"/>
              <w:right w:val="nil"/>
            </w:tcBorders>
            <w:shd w:val="clear" w:color="auto" w:fill="F2F2F2" w:themeFill="background1" w:themeFillShade="F2"/>
            <w:vAlign w:val="bottom"/>
            <w:hideMark/>
          </w:tcPr>
          <w:p w14:paraId="6ADC18EE" w14:textId="77777777" w:rsidR="008C16E2" w:rsidRPr="005F6D8A" w:rsidRDefault="008C16E2" w:rsidP="005F6D8A">
            <w:pPr>
              <w:spacing w:after="120" w:line="240" w:lineRule="auto"/>
              <w:jc w:val="right"/>
              <w:rPr>
                <w:rFonts w:cs="Arial"/>
                <w:b/>
                <w:sz w:val="21"/>
                <w:szCs w:val="21"/>
              </w:rPr>
            </w:pPr>
            <w:r w:rsidRPr="005F6D8A">
              <w:rPr>
                <w:rFonts w:cs="Arial"/>
                <w:b/>
                <w:sz w:val="21"/>
                <w:szCs w:val="21"/>
              </w:rPr>
              <w:t>2021</w:t>
            </w:r>
          </w:p>
        </w:tc>
        <w:tc>
          <w:tcPr>
            <w:tcW w:w="1708" w:type="dxa"/>
            <w:tcBorders>
              <w:top w:val="single" w:sz="4" w:space="0" w:color="auto"/>
              <w:left w:val="nil"/>
              <w:bottom w:val="single" w:sz="4" w:space="0" w:color="auto"/>
              <w:right w:val="nil"/>
            </w:tcBorders>
            <w:shd w:val="clear" w:color="auto" w:fill="F2F2F2" w:themeFill="background1" w:themeFillShade="F2"/>
            <w:vAlign w:val="bottom"/>
            <w:hideMark/>
          </w:tcPr>
          <w:p w14:paraId="18B55EC5" w14:textId="77777777" w:rsidR="008C16E2" w:rsidRPr="005F6D8A" w:rsidRDefault="008C16E2" w:rsidP="005F6D8A">
            <w:pPr>
              <w:spacing w:after="120" w:line="240" w:lineRule="auto"/>
              <w:jc w:val="right"/>
              <w:rPr>
                <w:rFonts w:cs="Arial"/>
                <w:b/>
                <w:sz w:val="21"/>
                <w:szCs w:val="21"/>
              </w:rPr>
            </w:pPr>
            <w:r w:rsidRPr="005F6D8A">
              <w:rPr>
                <w:rFonts w:cs="Arial"/>
                <w:b/>
                <w:sz w:val="21"/>
                <w:szCs w:val="21"/>
              </w:rPr>
              <w:t>2020</w:t>
            </w:r>
          </w:p>
        </w:tc>
        <w:tc>
          <w:tcPr>
            <w:tcW w:w="15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1016C3C" w14:textId="77777777" w:rsidR="008C16E2" w:rsidRPr="005F6D8A" w:rsidRDefault="008C16E2" w:rsidP="005F6D8A">
            <w:pPr>
              <w:spacing w:after="120" w:line="240" w:lineRule="auto"/>
              <w:ind w:right="83"/>
              <w:jc w:val="right"/>
              <w:rPr>
                <w:rFonts w:cs="Arial"/>
                <w:b/>
                <w:sz w:val="21"/>
                <w:szCs w:val="21"/>
                <w:highlight w:val="yellow"/>
              </w:rPr>
            </w:pPr>
            <w:r w:rsidRPr="005F6D8A">
              <w:rPr>
                <w:rFonts w:cs="Arial"/>
                <w:b/>
                <w:sz w:val="21"/>
                <w:szCs w:val="21"/>
              </w:rPr>
              <w:t xml:space="preserve">Change </w:t>
            </w:r>
            <w:r w:rsidRPr="005F6D8A">
              <w:rPr>
                <w:rFonts w:cs="Arial"/>
                <w:b/>
                <w:sz w:val="21"/>
                <w:szCs w:val="21"/>
              </w:rPr>
              <w:br/>
              <w:t xml:space="preserve"> per cent</w:t>
            </w:r>
          </w:p>
        </w:tc>
      </w:tr>
      <w:tr w:rsidR="005F6D8A" w:rsidRPr="005F6D8A" w14:paraId="5F6B72AA" w14:textId="77777777" w:rsidTr="005F6D8A">
        <w:tc>
          <w:tcPr>
            <w:tcW w:w="5534" w:type="dxa"/>
            <w:tcBorders>
              <w:left w:val="single" w:sz="4" w:space="0" w:color="auto"/>
              <w:bottom w:val="nil"/>
              <w:right w:val="nil"/>
            </w:tcBorders>
            <w:vAlign w:val="center"/>
            <w:hideMark/>
          </w:tcPr>
          <w:p w14:paraId="13B11845" w14:textId="77777777" w:rsidR="008C16E2" w:rsidRPr="005F6D8A" w:rsidRDefault="008C16E2" w:rsidP="005F6D8A">
            <w:pPr>
              <w:spacing w:after="40" w:line="240" w:lineRule="auto"/>
              <w:ind w:left="147"/>
              <w:jc w:val="both"/>
              <w:rPr>
                <w:rFonts w:cs="Arial"/>
                <w:sz w:val="21"/>
                <w:szCs w:val="21"/>
              </w:rPr>
            </w:pPr>
            <w:r w:rsidRPr="005F6D8A">
              <w:rPr>
                <w:rFonts w:cs="Arial"/>
                <w:sz w:val="21"/>
                <w:szCs w:val="21"/>
              </w:rPr>
              <w:t>Adjusted</w:t>
            </w:r>
            <w:r w:rsidRPr="005F6D8A">
              <w:rPr>
                <w:rFonts w:cs="Arial"/>
                <w:sz w:val="21"/>
                <w:szCs w:val="21"/>
                <w:vertAlign w:val="superscript"/>
              </w:rPr>
              <w:t>1</w:t>
            </w:r>
            <w:r w:rsidRPr="005F6D8A">
              <w:rPr>
                <w:rFonts w:cs="Arial"/>
                <w:sz w:val="21"/>
                <w:szCs w:val="21"/>
              </w:rPr>
              <w:t xml:space="preserve"> profit before tax (£m)</w:t>
            </w:r>
          </w:p>
        </w:tc>
        <w:tc>
          <w:tcPr>
            <w:tcW w:w="1549" w:type="dxa"/>
            <w:tcBorders>
              <w:left w:val="nil"/>
              <w:bottom w:val="nil"/>
              <w:right w:val="nil"/>
            </w:tcBorders>
            <w:vAlign w:val="center"/>
          </w:tcPr>
          <w:p w14:paraId="0BFCDE02" w14:textId="77777777" w:rsidR="008C16E2" w:rsidRPr="005F6D8A" w:rsidRDefault="008C16E2" w:rsidP="005F6D8A">
            <w:pPr>
              <w:tabs>
                <w:tab w:val="left" w:pos="142"/>
              </w:tabs>
              <w:spacing w:before="20" w:after="20"/>
              <w:ind w:right="57"/>
              <w:jc w:val="right"/>
              <w:rPr>
                <w:b/>
                <w:bCs/>
                <w:sz w:val="21"/>
                <w:szCs w:val="21"/>
              </w:rPr>
            </w:pPr>
            <w:r w:rsidRPr="005F6D8A">
              <w:rPr>
                <w:b/>
                <w:bCs/>
                <w:sz w:val="21"/>
                <w:szCs w:val="21"/>
              </w:rPr>
              <w:t>356</w:t>
            </w:r>
          </w:p>
        </w:tc>
        <w:tc>
          <w:tcPr>
            <w:tcW w:w="1708" w:type="dxa"/>
            <w:tcBorders>
              <w:left w:val="nil"/>
              <w:bottom w:val="nil"/>
              <w:right w:val="nil"/>
            </w:tcBorders>
            <w:vAlign w:val="center"/>
            <w:hideMark/>
          </w:tcPr>
          <w:p w14:paraId="7EDDA0C4" w14:textId="77777777" w:rsidR="008C16E2" w:rsidRPr="005F6D8A" w:rsidRDefault="008C16E2" w:rsidP="005F6D8A">
            <w:pPr>
              <w:tabs>
                <w:tab w:val="left" w:pos="142"/>
              </w:tabs>
              <w:spacing w:before="20" w:after="20"/>
              <w:ind w:right="57"/>
              <w:jc w:val="right"/>
              <w:rPr>
                <w:sz w:val="21"/>
                <w:szCs w:val="21"/>
              </w:rPr>
            </w:pPr>
            <w:r w:rsidRPr="005F6D8A">
              <w:rPr>
                <w:szCs w:val="22"/>
              </w:rPr>
              <w:t>296</w:t>
            </w:r>
          </w:p>
        </w:tc>
        <w:tc>
          <w:tcPr>
            <w:tcW w:w="1560" w:type="dxa"/>
            <w:tcBorders>
              <w:left w:val="nil"/>
              <w:bottom w:val="nil"/>
              <w:right w:val="single" w:sz="4" w:space="0" w:color="auto"/>
            </w:tcBorders>
            <w:shd w:val="clear" w:color="auto" w:fill="auto"/>
            <w:vAlign w:val="center"/>
          </w:tcPr>
          <w:p w14:paraId="176D83F1" w14:textId="77777777" w:rsidR="008C16E2" w:rsidRPr="005F6D8A" w:rsidRDefault="008C16E2" w:rsidP="005F6D8A">
            <w:pPr>
              <w:tabs>
                <w:tab w:val="left" w:pos="142"/>
              </w:tabs>
              <w:spacing w:before="20" w:after="20"/>
              <w:ind w:right="57"/>
              <w:jc w:val="right"/>
              <w:rPr>
                <w:sz w:val="21"/>
                <w:szCs w:val="21"/>
              </w:rPr>
            </w:pPr>
            <w:r w:rsidRPr="005F6D8A">
              <w:rPr>
                <w:sz w:val="21"/>
                <w:szCs w:val="21"/>
              </w:rPr>
              <w:t>20.3</w:t>
            </w:r>
          </w:p>
        </w:tc>
      </w:tr>
      <w:tr w:rsidR="005F6D8A" w:rsidRPr="005F6D8A" w14:paraId="38B143F2" w14:textId="77777777" w:rsidTr="005F6D8A">
        <w:tc>
          <w:tcPr>
            <w:tcW w:w="5534" w:type="dxa"/>
            <w:tcBorders>
              <w:top w:val="nil"/>
              <w:left w:val="single" w:sz="4" w:space="0" w:color="auto"/>
              <w:bottom w:val="nil"/>
              <w:right w:val="nil"/>
            </w:tcBorders>
            <w:vAlign w:val="center"/>
            <w:hideMark/>
          </w:tcPr>
          <w:p w14:paraId="381AD3DA" w14:textId="77777777" w:rsidR="008C16E2" w:rsidRPr="005F6D8A" w:rsidRDefault="008C16E2" w:rsidP="005F6D8A">
            <w:pPr>
              <w:spacing w:after="40" w:line="240" w:lineRule="auto"/>
              <w:ind w:left="147"/>
              <w:jc w:val="both"/>
              <w:rPr>
                <w:rFonts w:cs="Arial"/>
                <w:sz w:val="21"/>
                <w:szCs w:val="21"/>
              </w:rPr>
            </w:pPr>
            <w:r w:rsidRPr="005F6D8A">
              <w:rPr>
                <w:rFonts w:cs="Arial"/>
                <w:sz w:val="21"/>
                <w:szCs w:val="21"/>
              </w:rPr>
              <w:t>IFRS profit before tax (£m)</w:t>
            </w:r>
          </w:p>
        </w:tc>
        <w:tc>
          <w:tcPr>
            <w:tcW w:w="1549" w:type="dxa"/>
            <w:vAlign w:val="center"/>
          </w:tcPr>
          <w:p w14:paraId="783E21D7" w14:textId="689E0F49" w:rsidR="008C16E2" w:rsidRPr="005F6D8A" w:rsidRDefault="008C16E2" w:rsidP="005F6D8A">
            <w:pPr>
              <w:tabs>
                <w:tab w:val="left" w:pos="142"/>
              </w:tabs>
              <w:spacing w:before="20" w:after="20"/>
              <w:ind w:right="57"/>
              <w:jc w:val="right"/>
              <w:rPr>
                <w:b/>
                <w:bCs/>
                <w:sz w:val="21"/>
                <w:szCs w:val="21"/>
              </w:rPr>
            </w:pPr>
            <w:r w:rsidRPr="005F6D8A">
              <w:rPr>
                <w:b/>
                <w:bCs/>
                <w:sz w:val="21"/>
                <w:szCs w:val="21"/>
              </w:rPr>
              <w:t>4,3</w:t>
            </w:r>
            <w:r w:rsidR="00DF0087">
              <w:rPr>
                <w:b/>
                <w:bCs/>
                <w:sz w:val="21"/>
                <w:szCs w:val="21"/>
              </w:rPr>
              <w:t>5</w:t>
            </w:r>
            <w:r w:rsidRPr="005F6D8A">
              <w:rPr>
                <w:b/>
                <w:bCs/>
                <w:sz w:val="21"/>
                <w:szCs w:val="21"/>
              </w:rPr>
              <w:t>5</w:t>
            </w:r>
          </w:p>
        </w:tc>
        <w:tc>
          <w:tcPr>
            <w:tcW w:w="1708" w:type="dxa"/>
            <w:vAlign w:val="center"/>
            <w:hideMark/>
          </w:tcPr>
          <w:p w14:paraId="02A53889" w14:textId="77777777" w:rsidR="008C16E2" w:rsidRPr="005F6D8A" w:rsidRDefault="008C16E2" w:rsidP="005F6D8A">
            <w:pPr>
              <w:tabs>
                <w:tab w:val="left" w:pos="142"/>
              </w:tabs>
              <w:spacing w:before="20" w:after="20"/>
              <w:ind w:right="57"/>
              <w:jc w:val="right"/>
              <w:rPr>
                <w:sz w:val="21"/>
                <w:szCs w:val="21"/>
              </w:rPr>
            </w:pPr>
            <w:r w:rsidRPr="005F6D8A">
              <w:rPr>
                <w:szCs w:val="22"/>
              </w:rPr>
              <w:t>1,464</w:t>
            </w:r>
          </w:p>
        </w:tc>
        <w:tc>
          <w:tcPr>
            <w:tcW w:w="1560" w:type="dxa"/>
            <w:tcBorders>
              <w:top w:val="nil"/>
              <w:left w:val="nil"/>
              <w:bottom w:val="nil"/>
              <w:right w:val="single" w:sz="4" w:space="0" w:color="auto"/>
            </w:tcBorders>
            <w:shd w:val="clear" w:color="auto" w:fill="auto"/>
            <w:vAlign w:val="center"/>
          </w:tcPr>
          <w:p w14:paraId="177683F6" w14:textId="77777777" w:rsidR="008C16E2" w:rsidRPr="005F6D8A" w:rsidRDefault="008C16E2" w:rsidP="005F6D8A">
            <w:pPr>
              <w:tabs>
                <w:tab w:val="left" w:pos="142"/>
              </w:tabs>
              <w:spacing w:before="20" w:after="20"/>
              <w:ind w:right="17"/>
              <w:jc w:val="right"/>
              <w:rPr>
                <w:sz w:val="21"/>
                <w:szCs w:val="21"/>
              </w:rPr>
            </w:pPr>
            <w:r w:rsidRPr="005F6D8A">
              <w:rPr>
                <w:sz w:val="21"/>
                <w:szCs w:val="21"/>
              </w:rPr>
              <w:t>-</w:t>
            </w:r>
          </w:p>
        </w:tc>
      </w:tr>
      <w:tr w:rsidR="005F6D8A" w:rsidRPr="005F6D8A" w14:paraId="601EC02B" w14:textId="77777777" w:rsidTr="005F6D8A">
        <w:tc>
          <w:tcPr>
            <w:tcW w:w="5534" w:type="dxa"/>
            <w:tcBorders>
              <w:top w:val="nil"/>
              <w:left w:val="single" w:sz="4" w:space="0" w:color="auto"/>
              <w:bottom w:val="nil"/>
              <w:right w:val="nil"/>
            </w:tcBorders>
            <w:vAlign w:val="center"/>
            <w:hideMark/>
          </w:tcPr>
          <w:p w14:paraId="038861A6" w14:textId="77777777" w:rsidR="008C16E2" w:rsidRPr="005F6D8A" w:rsidRDefault="008C16E2" w:rsidP="005F6D8A">
            <w:pPr>
              <w:spacing w:after="40" w:line="240" w:lineRule="auto"/>
              <w:ind w:left="147"/>
              <w:jc w:val="both"/>
              <w:rPr>
                <w:rFonts w:cs="Arial"/>
                <w:sz w:val="21"/>
                <w:szCs w:val="21"/>
              </w:rPr>
            </w:pPr>
            <w:r w:rsidRPr="005F6D8A">
              <w:rPr>
                <w:rFonts w:cs="Arial"/>
                <w:sz w:val="21"/>
                <w:szCs w:val="21"/>
              </w:rPr>
              <w:t>Adjusted</w:t>
            </w:r>
            <w:r w:rsidRPr="005F6D8A">
              <w:rPr>
                <w:rFonts w:cs="Arial"/>
                <w:sz w:val="21"/>
                <w:szCs w:val="21"/>
                <w:vertAlign w:val="superscript"/>
              </w:rPr>
              <w:t>2</w:t>
            </w:r>
            <w:r w:rsidRPr="005F6D8A">
              <w:rPr>
                <w:rFonts w:cs="Arial"/>
                <w:sz w:val="21"/>
                <w:szCs w:val="21"/>
              </w:rPr>
              <w:t xml:space="preserve"> earnings per share (pence)</w:t>
            </w:r>
          </w:p>
        </w:tc>
        <w:tc>
          <w:tcPr>
            <w:tcW w:w="1549" w:type="dxa"/>
            <w:vAlign w:val="center"/>
          </w:tcPr>
          <w:p w14:paraId="2216E2C4" w14:textId="77777777" w:rsidR="008C16E2" w:rsidRPr="005F6D8A" w:rsidRDefault="008C16E2" w:rsidP="005F6D8A">
            <w:pPr>
              <w:tabs>
                <w:tab w:val="left" w:pos="142"/>
              </w:tabs>
              <w:spacing w:before="20" w:after="20"/>
              <w:ind w:right="57"/>
              <w:jc w:val="right"/>
              <w:rPr>
                <w:b/>
                <w:bCs/>
                <w:sz w:val="21"/>
                <w:szCs w:val="21"/>
              </w:rPr>
            </w:pPr>
            <w:r w:rsidRPr="005F6D8A">
              <w:rPr>
                <w:b/>
                <w:bCs/>
                <w:sz w:val="21"/>
                <w:szCs w:val="21"/>
              </w:rPr>
              <w:t>29.1</w:t>
            </w:r>
          </w:p>
        </w:tc>
        <w:tc>
          <w:tcPr>
            <w:tcW w:w="1708" w:type="dxa"/>
            <w:vAlign w:val="center"/>
            <w:hideMark/>
          </w:tcPr>
          <w:p w14:paraId="63063B4A" w14:textId="77777777" w:rsidR="008C16E2" w:rsidRPr="005F6D8A" w:rsidRDefault="008C16E2" w:rsidP="005F6D8A">
            <w:pPr>
              <w:tabs>
                <w:tab w:val="left" w:pos="142"/>
              </w:tabs>
              <w:spacing w:before="20" w:after="20"/>
              <w:ind w:right="57"/>
              <w:jc w:val="right"/>
              <w:rPr>
                <w:sz w:val="21"/>
                <w:szCs w:val="21"/>
              </w:rPr>
            </w:pPr>
            <w:r w:rsidRPr="005F6D8A">
              <w:rPr>
                <w:szCs w:val="22"/>
              </w:rPr>
              <w:t>25.4</w:t>
            </w:r>
          </w:p>
        </w:tc>
        <w:tc>
          <w:tcPr>
            <w:tcW w:w="1560" w:type="dxa"/>
            <w:tcBorders>
              <w:top w:val="nil"/>
              <w:left w:val="nil"/>
              <w:bottom w:val="nil"/>
              <w:right w:val="single" w:sz="4" w:space="0" w:color="auto"/>
            </w:tcBorders>
            <w:shd w:val="clear" w:color="auto" w:fill="auto"/>
            <w:vAlign w:val="center"/>
          </w:tcPr>
          <w:p w14:paraId="011D67AB" w14:textId="77777777" w:rsidR="008C16E2" w:rsidRPr="005F6D8A" w:rsidRDefault="008C16E2" w:rsidP="005F6D8A">
            <w:pPr>
              <w:tabs>
                <w:tab w:val="left" w:pos="142"/>
              </w:tabs>
              <w:spacing w:before="20" w:after="20"/>
              <w:ind w:right="57"/>
              <w:jc w:val="right"/>
              <w:rPr>
                <w:sz w:val="21"/>
                <w:szCs w:val="21"/>
              </w:rPr>
            </w:pPr>
            <w:r w:rsidRPr="005F6D8A">
              <w:rPr>
                <w:sz w:val="21"/>
                <w:szCs w:val="21"/>
              </w:rPr>
              <w:t>14.6</w:t>
            </w:r>
          </w:p>
        </w:tc>
      </w:tr>
      <w:tr w:rsidR="005F6D8A" w:rsidRPr="005F6D8A" w14:paraId="3BC830B5" w14:textId="77777777" w:rsidTr="005F6D8A">
        <w:tc>
          <w:tcPr>
            <w:tcW w:w="5534" w:type="dxa"/>
            <w:tcBorders>
              <w:top w:val="nil"/>
              <w:left w:val="single" w:sz="4" w:space="0" w:color="auto"/>
              <w:bottom w:val="nil"/>
              <w:right w:val="nil"/>
            </w:tcBorders>
            <w:vAlign w:val="center"/>
            <w:hideMark/>
          </w:tcPr>
          <w:p w14:paraId="16BF228B" w14:textId="77777777" w:rsidR="008C16E2" w:rsidRPr="005F6D8A" w:rsidRDefault="008C16E2" w:rsidP="005F6D8A">
            <w:pPr>
              <w:spacing w:after="40" w:line="240" w:lineRule="auto"/>
              <w:ind w:left="147"/>
              <w:jc w:val="both"/>
              <w:rPr>
                <w:rFonts w:cs="Arial"/>
                <w:sz w:val="21"/>
                <w:szCs w:val="21"/>
              </w:rPr>
            </w:pPr>
            <w:r w:rsidRPr="005F6D8A">
              <w:rPr>
                <w:rFonts w:cs="Arial"/>
                <w:sz w:val="21"/>
                <w:szCs w:val="21"/>
              </w:rPr>
              <w:t>IFRS earnings per share (pence)</w:t>
            </w:r>
          </w:p>
        </w:tc>
        <w:tc>
          <w:tcPr>
            <w:tcW w:w="1549" w:type="dxa"/>
            <w:vAlign w:val="center"/>
          </w:tcPr>
          <w:p w14:paraId="3D9CE32C" w14:textId="77777777" w:rsidR="008C16E2" w:rsidRPr="005F6D8A" w:rsidRDefault="008C16E2" w:rsidP="005F6D8A">
            <w:pPr>
              <w:tabs>
                <w:tab w:val="left" w:pos="142"/>
              </w:tabs>
              <w:spacing w:before="20" w:after="20"/>
              <w:ind w:right="57"/>
              <w:jc w:val="right"/>
              <w:rPr>
                <w:b/>
                <w:bCs/>
                <w:sz w:val="21"/>
                <w:szCs w:val="21"/>
              </w:rPr>
            </w:pPr>
            <w:r w:rsidRPr="005F6D8A">
              <w:rPr>
                <w:b/>
                <w:bCs/>
                <w:sz w:val="21"/>
                <w:szCs w:val="21"/>
              </w:rPr>
              <w:t>339.0</w:t>
            </w:r>
          </w:p>
        </w:tc>
        <w:tc>
          <w:tcPr>
            <w:tcW w:w="1708" w:type="dxa"/>
            <w:vAlign w:val="center"/>
            <w:hideMark/>
          </w:tcPr>
          <w:p w14:paraId="46C3DD0F" w14:textId="77777777" w:rsidR="008C16E2" w:rsidRPr="005F6D8A" w:rsidRDefault="008C16E2" w:rsidP="005F6D8A">
            <w:pPr>
              <w:tabs>
                <w:tab w:val="left" w:pos="142"/>
              </w:tabs>
              <w:spacing w:before="20" w:after="20"/>
              <w:ind w:right="57"/>
              <w:jc w:val="right"/>
              <w:rPr>
                <w:sz w:val="21"/>
                <w:szCs w:val="21"/>
              </w:rPr>
            </w:pPr>
            <w:r w:rsidRPr="005F6D8A">
              <w:rPr>
                <w:szCs w:val="22"/>
              </w:rPr>
              <w:t>124.1</w:t>
            </w:r>
          </w:p>
        </w:tc>
        <w:tc>
          <w:tcPr>
            <w:tcW w:w="1560" w:type="dxa"/>
            <w:tcBorders>
              <w:top w:val="nil"/>
              <w:left w:val="nil"/>
              <w:bottom w:val="nil"/>
              <w:right w:val="single" w:sz="4" w:space="0" w:color="auto"/>
            </w:tcBorders>
            <w:shd w:val="clear" w:color="auto" w:fill="auto"/>
            <w:vAlign w:val="center"/>
          </w:tcPr>
          <w:p w14:paraId="63046CA0" w14:textId="77777777" w:rsidR="008C16E2" w:rsidRPr="005F6D8A" w:rsidRDefault="008C16E2" w:rsidP="005F6D8A">
            <w:pPr>
              <w:tabs>
                <w:tab w:val="left" w:pos="142"/>
              </w:tabs>
              <w:spacing w:before="20" w:after="20"/>
              <w:ind w:right="17"/>
              <w:jc w:val="right"/>
              <w:rPr>
                <w:sz w:val="21"/>
                <w:szCs w:val="21"/>
              </w:rPr>
            </w:pPr>
            <w:r w:rsidRPr="005F6D8A">
              <w:rPr>
                <w:sz w:val="21"/>
                <w:szCs w:val="21"/>
              </w:rPr>
              <w:t>-</w:t>
            </w:r>
          </w:p>
        </w:tc>
      </w:tr>
      <w:tr w:rsidR="005F6D8A" w:rsidRPr="005F6D8A" w14:paraId="48C136A8" w14:textId="77777777" w:rsidTr="005F6D8A">
        <w:tc>
          <w:tcPr>
            <w:tcW w:w="5534" w:type="dxa"/>
            <w:tcBorders>
              <w:top w:val="nil"/>
              <w:left w:val="single" w:sz="4" w:space="0" w:color="auto"/>
              <w:right w:val="nil"/>
            </w:tcBorders>
            <w:vAlign w:val="center"/>
          </w:tcPr>
          <w:p w14:paraId="0A016FE4" w14:textId="77777777" w:rsidR="008C16E2" w:rsidRPr="005F6D8A" w:rsidRDefault="008C16E2" w:rsidP="005F6D8A">
            <w:pPr>
              <w:spacing w:after="40" w:line="240" w:lineRule="auto"/>
              <w:ind w:left="147"/>
              <w:rPr>
                <w:rFonts w:cs="Arial"/>
                <w:sz w:val="21"/>
                <w:szCs w:val="21"/>
              </w:rPr>
            </w:pPr>
            <w:r w:rsidRPr="005F6D8A">
              <w:rPr>
                <w:rFonts w:cs="Arial"/>
                <w:sz w:val="21"/>
                <w:szCs w:val="21"/>
              </w:rPr>
              <w:t>Dividend per share (pence)</w:t>
            </w:r>
          </w:p>
        </w:tc>
        <w:tc>
          <w:tcPr>
            <w:tcW w:w="1549" w:type="dxa"/>
            <w:tcBorders>
              <w:top w:val="nil"/>
              <w:left w:val="nil"/>
              <w:right w:val="nil"/>
            </w:tcBorders>
            <w:shd w:val="clear" w:color="auto" w:fill="auto"/>
            <w:vAlign w:val="center"/>
          </w:tcPr>
          <w:p w14:paraId="742E3306" w14:textId="05EFF745" w:rsidR="008C16E2" w:rsidRPr="00C63CA4" w:rsidRDefault="008C16E2" w:rsidP="005F6D8A">
            <w:pPr>
              <w:tabs>
                <w:tab w:val="left" w:pos="142"/>
              </w:tabs>
              <w:spacing w:before="20" w:after="20"/>
              <w:ind w:right="57"/>
              <w:jc w:val="right"/>
              <w:rPr>
                <w:b/>
                <w:bCs/>
                <w:sz w:val="21"/>
                <w:szCs w:val="21"/>
              </w:rPr>
            </w:pPr>
            <w:r w:rsidRPr="00C63CA4">
              <w:rPr>
                <w:b/>
                <w:bCs/>
                <w:sz w:val="21"/>
                <w:szCs w:val="21"/>
              </w:rPr>
              <w:t>24.3</w:t>
            </w:r>
          </w:p>
        </w:tc>
        <w:tc>
          <w:tcPr>
            <w:tcW w:w="1708" w:type="dxa"/>
            <w:tcBorders>
              <w:top w:val="nil"/>
              <w:left w:val="nil"/>
              <w:right w:val="nil"/>
            </w:tcBorders>
            <w:vAlign w:val="center"/>
          </w:tcPr>
          <w:p w14:paraId="2B686C09" w14:textId="77777777" w:rsidR="008C16E2" w:rsidRPr="00C63CA4" w:rsidRDefault="008C16E2" w:rsidP="005F6D8A">
            <w:pPr>
              <w:tabs>
                <w:tab w:val="left" w:pos="142"/>
              </w:tabs>
              <w:spacing w:before="20" w:after="20"/>
              <w:ind w:right="57"/>
              <w:jc w:val="right"/>
              <w:rPr>
                <w:sz w:val="21"/>
                <w:szCs w:val="21"/>
              </w:rPr>
            </w:pPr>
            <w:r w:rsidRPr="00C63CA4">
              <w:rPr>
                <w:sz w:val="21"/>
                <w:szCs w:val="21"/>
              </w:rPr>
              <w:t>22.1</w:t>
            </w:r>
          </w:p>
        </w:tc>
        <w:tc>
          <w:tcPr>
            <w:tcW w:w="1560" w:type="dxa"/>
            <w:tcBorders>
              <w:top w:val="nil"/>
              <w:left w:val="nil"/>
              <w:right w:val="single" w:sz="4" w:space="0" w:color="auto"/>
            </w:tcBorders>
            <w:vAlign w:val="center"/>
          </w:tcPr>
          <w:p w14:paraId="60055CAD" w14:textId="77777777" w:rsidR="008C16E2" w:rsidRPr="005F6D8A" w:rsidRDefault="008C16E2" w:rsidP="005F6D8A">
            <w:pPr>
              <w:tabs>
                <w:tab w:val="left" w:pos="142"/>
              </w:tabs>
              <w:spacing w:before="20" w:after="20"/>
              <w:ind w:right="57"/>
              <w:jc w:val="right"/>
              <w:rPr>
                <w:sz w:val="21"/>
                <w:szCs w:val="21"/>
              </w:rPr>
            </w:pPr>
            <w:r w:rsidRPr="005F6D8A">
              <w:rPr>
                <w:sz w:val="21"/>
                <w:szCs w:val="21"/>
              </w:rPr>
              <w:t>10.0</w:t>
            </w:r>
          </w:p>
        </w:tc>
      </w:tr>
      <w:tr w:rsidR="005F6D8A" w:rsidRPr="005F6D8A" w14:paraId="3A3CFBFC" w14:textId="77777777" w:rsidTr="005F6D8A">
        <w:tc>
          <w:tcPr>
            <w:tcW w:w="5534" w:type="dxa"/>
            <w:tcBorders>
              <w:top w:val="nil"/>
              <w:left w:val="single" w:sz="4" w:space="0" w:color="auto"/>
              <w:right w:val="nil"/>
            </w:tcBorders>
            <w:vAlign w:val="bottom"/>
            <w:hideMark/>
          </w:tcPr>
          <w:p w14:paraId="375AB4C2" w14:textId="77777777" w:rsidR="008C16E2" w:rsidRPr="005F6D8A" w:rsidRDefault="008C16E2" w:rsidP="005F6D8A">
            <w:pPr>
              <w:spacing w:after="40" w:line="240" w:lineRule="auto"/>
              <w:ind w:left="147"/>
              <w:rPr>
                <w:rFonts w:cs="Arial"/>
                <w:sz w:val="21"/>
                <w:szCs w:val="21"/>
              </w:rPr>
            </w:pPr>
            <w:r w:rsidRPr="005F6D8A">
              <w:rPr>
                <w:rFonts w:cs="Arial"/>
                <w:sz w:val="21"/>
                <w:szCs w:val="21"/>
              </w:rPr>
              <w:t>Total Accounting Return (%)</w:t>
            </w:r>
            <w:r w:rsidRPr="005F6D8A">
              <w:rPr>
                <w:rFonts w:cs="Arial"/>
                <w:sz w:val="21"/>
                <w:szCs w:val="21"/>
                <w:vertAlign w:val="superscript"/>
              </w:rPr>
              <w:t>3</w:t>
            </w:r>
          </w:p>
        </w:tc>
        <w:tc>
          <w:tcPr>
            <w:tcW w:w="1549" w:type="dxa"/>
            <w:tcBorders>
              <w:top w:val="nil"/>
              <w:left w:val="nil"/>
              <w:right w:val="nil"/>
            </w:tcBorders>
            <w:shd w:val="clear" w:color="auto" w:fill="auto"/>
            <w:vAlign w:val="center"/>
          </w:tcPr>
          <w:p w14:paraId="2DD53545" w14:textId="77777777" w:rsidR="008C16E2" w:rsidRPr="005F6D8A" w:rsidRDefault="008C16E2" w:rsidP="005F6D8A">
            <w:pPr>
              <w:tabs>
                <w:tab w:val="left" w:pos="142"/>
              </w:tabs>
              <w:spacing w:before="20" w:after="20"/>
              <w:ind w:right="57"/>
              <w:jc w:val="right"/>
              <w:rPr>
                <w:b/>
                <w:bCs/>
                <w:sz w:val="21"/>
                <w:szCs w:val="21"/>
              </w:rPr>
            </w:pPr>
            <w:r w:rsidRPr="005F6D8A">
              <w:rPr>
                <w:b/>
                <w:bCs/>
                <w:sz w:val="21"/>
                <w:szCs w:val="21"/>
              </w:rPr>
              <w:t>42.5</w:t>
            </w:r>
          </w:p>
        </w:tc>
        <w:tc>
          <w:tcPr>
            <w:tcW w:w="1708" w:type="dxa"/>
            <w:tcBorders>
              <w:top w:val="nil"/>
              <w:left w:val="nil"/>
              <w:right w:val="nil"/>
            </w:tcBorders>
            <w:vAlign w:val="center"/>
            <w:hideMark/>
          </w:tcPr>
          <w:p w14:paraId="676953C8" w14:textId="77777777" w:rsidR="008C16E2" w:rsidRPr="005F6D8A" w:rsidRDefault="008C16E2" w:rsidP="005F6D8A">
            <w:pPr>
              <w:tabs>
                <w:tab w:val="left" w:pos="142"/>
              </w:tabs>
              <w:spacing w:before="20" w:after="20"/>
              <w:ind w:right="57"/>
              <w:jc w:val="right"/>
              <w:rPr>
                <w:sz w:val="21"/>
                <w:szCs w:val="21"/>
              </w:rPr>
            </w:pPr>
            <w:r w:rsidRPr="005F6D8A">
              <w:rPr>
                <w:sz w:val="21"/>
                <w:szCs w:val="21"/>
              </w:rPr>
              <w:t>19.3</w:t>
            </w:r>
          </w:p>
        </w:tc>
        <w:tc>
          <w:tcPr>
            <w:tcW w:w="1560" w:type="dxa"/>
            <w:tcBorders>
              <w:top w:val="nil"/>
              <w:left w:val="nil"/>
              <w:right w:val="single" w:sz="4" w:space="0" w:color="auto"/>
            </w:tcBorders>
            <w:vAlign w:val="center"/>
          </w:tcPr>
          <w:p w14:paraId="4EC016F1" w14:textId="77777777" w:rsidR="008C16E2" w:rsidRPr="005F6D8A" w:rsidRDefault="008C16E2" w:rsidP="005F6D8A">
            <w:pPr>
              <w:tabs>
                <w:tab w:val="left" w:pos="142"/>
              </w:tabs>
              <w:spacing w:before="20" w:after="20"/>
              <w:ind w:right="57"/>
              <w:jc w:val="right"/>
              <w:rPr>
                <w:sz w:val="21"/>
                <w:szCs w:val="21"/>
                <w:highlight w:val="yellow"/>
              </w:rPr>
            </w:pPr>
            <w:r w:rsidRPr="005F6D8A">
              <w:rPr>
                <w:sz w:val="21"/>
                <w:szCs w:val="21"/>
              </w:rPr>
              <w:t>-</w:t>
            </w:r>
          </w:p>
        </w:tc>
      </w:tr>
      <w:tr w:rsidR="005F6D8A" w:rsidRPr="005F6D8A" w14:paraId="1D1FA95B" w14:textId="77777777" w:rsidTr="005F6D8A">
        <w:tc>
          <w:tcPr>
            <w:tcW w:w="5534" w:type="dxa"/>
            <w:tcBorders>
              <w:top w:val="single" w:sz="4" w:space="0" w:color="auto"/>
              <w:left w:val="single" w:sz="4" w:space="0" w:color="auto"/>
              <w:bottom w:val="nil"/>
              <w:right w:val="nil"/>
            </w:tcBorders>
            <w:shd w:val="clear" w:color="auto" w:fill="F2F2F2" w:themeFill="background1" w:themeFillShade="F2"/>
            <w:vAlign w:val="center"/>
          </w:tcPr>
          <w:p w14:paraId="509BC39E" w14:textId="77777777" w:rsidR="008C16E2" w:rsidRPr="005F6D8A" w:rsidRDefault="008C16E2" w:rsidP="005F6D8A">
            <w:pPr>
              <w:spacing w:after="40" w:line="240" w:lineRule="auto"/>
              <w:ind w:left="147"/>
              <w:jc w:val="both"/>
              <w:rPr>
                <w:rFonts w:cs="Arial"/>
                <w:sz w:val="21"/>
                <w:szCs w:val="21"/>
              </w:rPr>
            </w:pPr>
          </w:p>
        </w:tc>
        <w:tc>
          <w:tcPr>
            <w:tcW w:w="1549" w:type="dxa"/>
            <w:tcBorders>
              <w:top w:val="single" w:sz="4" w:space="0" w:color="auto"/>
              <w:left w:val="nil"/>
              <w:bottom w:val="nil"/>
              <w:right w:val="nil"/>
            </w:tcBorders>
            <w:shd w:val="clear" w:color="auto" w:fill="F2F2F2" w:themeFill="background1" w:themeFillShade="F2"/>
            <w:vAlign w:val="bottom"/>
          </w:tcPr>
          <w:p w14:paraId="02AC72C6" w14:textId="77777777" w:rsidR="008C16E2" w:rsidRPr="005F6D8A" w:rsidRDefault="008C16E2" w:rsidP="005F6D8A">
            <w:pPr>
              <w:tabs>
                <w:tab w:val="left" w:pos="142"/>
              </w:tabs>
              <w:spacing w:before="20" w:after="20"/>
              <w:ind w:right="57"/>
              <w:jc w:val="right"/>
              <w:rPr>
                <w:b/>
                <w:bCs/>
                <w:sz w:val="21"/>
                <w:szCs w:val="21"/>
              </w:rPr>
            </w:pPr>
            <w:r w:rsidRPr="005F6D8A">
              <w:rPr>
                <w:rFonts w:cs="Arial"/>
                <w:b/>
                <w:sz w:val="21"/>
                <w:szCs w:val="21"/>
              </w:rPr>
              <w:t>2021</w:t>
            </w:r>
          </w:p>
        </w:tc>
        <w:tc>
          <w:tcPr>
            <w:tcW w:w="1708" w:type="dxa"/>
            <w:tcBorders>
              <w:top w:val="single" w:sz="4" w:space="0" w:color="auto"/>
              <w:left w:val="nil"/>
              <w:bottom w:val="nil"/>
              <w:right w:val="nil"/>
            </w:tcBorders>
            <w:shd w:val="clear" w:color="auto" w:fill="F2F2F2" w:themeFill="background1" w:themeFillShade="F2"/>
            <w:vAlign w:val="bottom"/>
          </w:tcPr>
          <w:p w14:paraId="2CBBB866" w14:textId="77777777" w:rsidR="008C16E2" w:rsidRPr="005F6D8A" w:rsidRDefault="008C16E2" w:rsidP="005F6D8A">
            <w:pPr>
              <w:tabs>
                <w:tab w:val="left" w:pos="142"/>
              </w:tabs>
              <w:spacing w:before="20" w:after="20"/>
              <w:ind w:right="57"/>
              <w:jc w:val="right"/>
              <w:rPr>
                <w:sz w:val="21"/>
                <w:szCs w:val="21"/>
              </w:rPr>
            </w:pPr>
            <w:r w:rsidRPr="005F6D8A">
              <w:rPr>
                <w:rFonts w:cs="Arial"/>
                <w:b/>
                <w:sz w:val="21"/>
                <w:szCs w:val="21"/>
              </w:rPr>
              <w:t>2020</w:t>
            </w:r>
          </w:p>
        </w:tc>
        <w:tc>
          <w:tcPr>
            <w:tcW w:w="1560" w:type="dxa"/>
            <w:tcBorders>
              <w:top w:val="single" w:sz="4" w:space="0" w:color="auto"/>
              <w:left w:val="nil"/>
              <w:bottom w:val="nil"/>
              <w:right w:val="single" w:sz="4" w:space="0" w:color="auto"/>
            </w:tcBorders>
            <w:shd w:val="clear" w:color="auto" w:fill="F2F2F2" w:themeFill="background1" w:themeFillShade="F2"/>
            <w:vAlign w:val="bottom"/>
          </w:tcPr>
          <w:p w14:paraId="389DE9D0" w14:textId="77777777" w:rsidR="008C16E2" w:rsidRPr="005F6D8A" w:rsidRDefault="008C16E2" w:rsidP="005F6D8A">
            <w:pPr>
              <w:tabs>
                <w:tab w:val="left" w:pos="142"/>
              </w:tabs>
              <w:spacing w:before="20" w:after="20"/>
              <w:ind w:right="57"/>
              <w:jc w:val="right"/>
              <w:rPr>
                <w:sz w:val="21"/>
                <w:szCs w:val="21"/>
                <w:highlight w:val="yellow"/>
              </w:rPr>
            </w:pPr>
            <w:r w:rsidRPr="005F6D8A">
              <w:rPr>
                <w:rFonts w:cs="Arial"/>
                <w:b/>
                <w:sz w:val="21"/>
                <w:szCs w:val="21"/>
              </w:rPr>
              <w:t xml:space="preserve">Change </w:t>
            </w:r>
            <w:r w:rsidRPr="005F6D8A">
              <w:rPr>
                <w:rFonts w:cs="Arial"/>
                <w:b/>
                <w:sz w:val="21"/>
                <w:szCs w:val="21"/>
              </w:rPr>
              <w:br/>
              <w:t xml:space="preserve"> per cent</w:t>
            </w:r>
          </w:p>
        </w:tc>
      </w:tr>
      <w:tr w:rsidR="00CD4D67" w:rsidRPr="005F6D8A" w14:paraId="47CA45C6" w14:textId="77777777" w:rsidTr="00AB5380">
        <w:tc>
          <w:tcPr>
            <w:tcW w:w="5534" w:type="dxa"/>
            <w:tcBorders>
              <w:top w:val="single" w:sz="4" w:space="0" w:color="auto"/>
              <w:left w:val="single" w:sz="4" w:space="0" w:color="auto"/>
              <w:right w:val="nil"/>
            </w:tcBorders>
            <w:vAlign w:val="bottom"/>
          </w:tcPr>
          <w:p w14:paraId="4DF743AF" w14:textId="10A595C4" w:rsidR="00CD4D67" w:rsidRPr="005F6D8A" w:rsidRDefault="00CD4D67" w:rsidP="00CD4D67">
            <w:pPr>
              <w:spacing w:after="40" w:line="240" w:lineRule="auto"/>
              <w:ind w:left="147"/>
              <w:jc w:val="both"/>
              <w:rPr>
                <w:rFonts w:cs="Arial"/>
                <w:spacing w:val="0"/>
                <w:sz w:val="21"/>
                <w:szCs w:val="21"/>
              </w:rPr>
            </w:pPr>
            <w:r w:rsidRPr="005F6D8A">
              <w:rPr>
                <w:rFonts w:cs="Arial"/>
                <w:spacing w:val="0"/>
                <w:sz w:val="21"/>
                <w:szCs w:val="21"/>
              </w:rPr>
              <w:t>Assets under Management (£m)</w:t>
            </w:r>
          </w:p>
        </w:tc>
        <w:tc>
          <w:tcPr>
            <w:tcW w:w="1549" w:type="dxa"/>
            <w:tcBorders>
              <w:top w:val="single" w:sz="4" w:space="0" w:color="auto"/>
              <w:left w:val="nil"/>
              <w:right w:val="nil"/>
            </w:tcBorders>
            <w:vAlign w:val="bottom"/>
          </w:tcPr>
          <w:p w14:paraId="21EC7295" w14:textId="12BD483A" w:rsidR="00CD4D67" w:rsidRPr="005F6D8A" w:rsidRDefault="00CD4D67" w:rsidP="00CD4D67">
            <w:pPr>
              <w:tabs>
                <w:tab w:val="left" w:pos="142"/>
              </w:tabs>
              <w:spacing w:before="20" w:after="20"/>
              <w:ind w:right="57"/>
              <w:jc w:val="right"/>
              <w:rPr>
                <w:b/>
                <w:bCs/>
                <w:sz w:val="21"/>
                <w:szCs w:val="21"/>
              </w:rPr>
            </w:pPr>
            <w:r w:rsidRPr="005F6D8A">
              <w:rPr>
                <w:b/>
                <w:bCs/>
                <w:sz w:val="21"/>
                <w:szCs w:val="21"/>
              </w:rPr>
              <w:t>21,2</w:t>
            </w:r>
            <w:r w:rsidR="00023CF3">
              <w:rPr>
                <w:b/>
                <w:bCs/>
                <w:sz w:val="21"/>
                <w:szCs w:val="21"/>
              </w:rPr>
              <w:t>86</w:t>
            </w:r>
          </w:p>
        </w:tc>
        <w:tc>
          <w:tcPr>
            <w:tcW w:w="1708" w:type="dxa"/>
            <w:tcBorders>
              <w:top w:val="single" w:sz="4" w:space="0" w:color="auto"/>
              <w:left w:val="nil"/>
              <w:right w:val="nil"/>
            </w:tcBorders>
            <w:vAlign w:val="bottom"/>
          </w:tcPr>
          <w:p w14:paraId="06F48816" w14:textId="02889158" w:rsidR="00CD4D67" w:rsidRPr="005F6D8A" w:rsidRDefault="00CD4D67" w:rsidP="00CD4D67">
            <w:pPr>
              <w:tabs>
                <w:tab w:val="left" w:pos="142"/>
              </w:tabs>
              <w:spacing w:before="20" w:after="20"/>
              <w:ind w:right="57"/>
              <w:jc w:val="right"/>
              <w:rPr>
                <w:sz w:val="21"/>
                <w:szCs w:val="21"/>
              </w:rPr>
            </w:pPr>
            <w:r w:rsidRPr="005F6D8A">
              <w:rPr>
                <w:sz w:val="21"/>
                <w:szCs w:val="21"/>
              </w:rPr>
              <w:t>15,34</w:t>
            </w:r>
            <w:r w:rsidR="00DF0087">
              <w:rPr>
                <w:sz w:val="21"/>
                <w:szCs w:val="21"/>
              </w:rPr>
              <w:t>3</w:t>
            </w:r>
          </w:p>
        </w:tc>
        <w:tc>
          <w:tcPr>
            <w:tcW w:w="1560" w:type="dxa"/>
            <w:tcBorders>
              <w:top w:val="single" w:sz="4" w:space="0" w:color="auto"/>
              <w:left w:val="nil"/>
              <w:right w:val="single" w:sz="4" w:space="0" w:color="auto"/>
            </w:tcBorders>
            <w:vAlign w:val="bottom"/>
          </w:tcPr>
          <w:p w14:paraId="6E15722E" w14:textId="7E2BC756" w:rsidR="00CD4D67" w:rsidRPr="005F6D8A" w:rsidRDefault="00CD4D67" w:rsidP="00CD4D67">
            <w:pPr>
              <w:tabs>
                <w:tab w:val="left" w:pos="142"/>
              </w:tabs>
              <w:spacing w:before="20" w:after="20"/>
              <w:ind w:right="57"/>
              <w:jc w:val="right"/>
              <w:rPr>
                <w:sz w:val="21"/>
                <w:szCs w:val="21"/>
              </w:rPr>
            </w:pPr>
            <w:r w:rsidRPr="005F6D8A">
              <w:rPr>
                <w:sz w:val="21"/>
                <w:szCs w:val="21"/>
              </w:rPr>
              <w:t>-</w:t>
            </w:r>
          </w:p>
        </w:tc>
      </w:tr>
      <w:tr w:rsidR="00CD4D67" w:rsidRPr="005F6D8A" w14:paraId="183AB1AC" w14:textId="77777777" w:rsidTr="00AB5380">
        <w:tc>
          <w:tcPr>
            <w:tcW w:w="5534" w:type="dxa"/>
            <w:tcBorders>
              <w:left w:val="single" w:sz="4" w:space="0" w:color="auto"/>
              <w:right w:val="nil"/>
            </w:tcBorders>
            <w:vAlign w:val="bottom"/>
          </w:tcPr>
          <w:p w14:paraId="62B0C4E6" w14:textId="77777777" w:rsidR="00CD4D67" w:rsidRPr="005F6D8A" w:rsidRDefault="00CD4D67" w:rsidP="00CD4D67">
            <w:pPr>
              <w:spacing w:after="40" w:line="240" w:lineRule="auto"/>
              <w:ind w:left="147"/>
              <w:jc w:val="both"/>
              <w:rPr>
                <w:rFonts w:cs="Arial"/>
                <w:sz w:val="21"/>
                <w:szCs w:val="21"/>
              </w:rPr>
            </w:pPr>
            <w:r w:rsidRPr="005F6D8A">
              <w:rPr>
                <w:rFonts w:cs="Arial"/>
                <w:spacing w:val="0"/>
                <w:sz w:val="21"/>
                <w:szCs w:val="21"/>
              </w:rPr>
              <w:t>Portfolio valuation (SEGRO share, £m)</w:t>
            </w:r>
          </w:p>
        </w:tc>
        <w:tc>
          <w:tcPr>
            <w:tcW w:w="1549" w:type="dxa"/>
            <w:tcBorders>
              <w:left w:val="nil"/>
              <w:right w:val="nil"/>
            </w:tcBorders>
            <w:vAlign w:val="bottom"/>
          </w:tcPr>
          <w:p w14:paraId="327E9847" w14:textId="4C3CA041" w:rsidR="00CD4D67" w:rsidRPr="005F6D8A" w:rsidRDefault="00CD4D67" w:rsidP="00CD4D67">
            <w:pPr>
              <w:tabs>
                <w:tab w:val="left" w:pos="142"/>
              </w:tabs>
              <w:spacing w:before="20" w:after="20"/>
              <w:ind w:right="57"/>
              <w:jc w:val="right"/>
              <w:rPr>
                <w:b/>
                <w:bCs/>
                <w:sz w:val="21"/>
                <w:szCs w:val="21"/>
              </w:rPr>
            </w:pPr>
            <w:r w:rsidRPr="005F6D8A">
              <w:rPr>
                <w:b/>
                <w:bCs/>
                <w:sz w:val="21"/>
                <w:szCs w:val="21"/>
              </w:rPr>
              <w:t>18,37</w:t>
            </w:r>
            <w:r w:rsidR="00A73D99">
              <w:rPr>
                <w:b/>
                <w:bCs/>
                <w:sz w:val="21"/>
                <w:szCs w:val="21"/>
              </w:rPr>
              <w:t>7</w:t>
            </w:r>
          </w:p>
        </w:tc>
        <w:tc>
          <w:tcPr>
            <w:tcW w:w="1708" w:type="dxa"/>
            <w:tcBorders>
              <w:left w:val="nil"/>
              <w:right w:val="nil"/>
            </w:tcBorders>
            <w:vAlign w:val="bottom"/>
          </w:tcPr>
          <w:p w14:paraId="3DA4A4C6" w14:textId="77777777" w:rsidR="00CD4D67" w:rsidRPr="005F6D8A" w:rsidRDefault="00CD4D67" w:rsidP="00CD4D67">
            <w:pPr>
              <w:tabs>
                <w:tab w:val="left" w:pos="142"/>
              </w:tabs>
              <w:spacing w:before="20" w:after="20"/>
              <w:ind w:right="57"/>
              <w:jc w:val="right"/>
              <w:rPr>
                <w:sz w:val="21"/>
                <w:szCs w:val="21"/>
              </w:rPr>
            </w:pPr>
            <w:r w:rsidRPr="005F6D8A">
              <w:rPr>
                <w:sz w:val="21"/>
                <w:szCs w:val="21"/>
              </w:rPr>
              <w:t>12,995</w:t>
            </w:r>
          </w:p>
        </w:tc>
        <w:tc>
          <w:tcPr>
            <w:tcW w:w="1560" w:type="dxa"/>
            <w:tcBorders>
              <w:left w:val="nil"/>
              <w:right w:val="single" w:sz="4" w:space="0" w:color="auto"/>
            </w:tcBorders>
            <w:vAlign w:val="bottom"/>
          </w:tcPr>
          <w:p w14:paraId="7052169E" w14:textId="77777777" w:rsidR="00CD4D67" w:rsidRPr="005F6D8A" w:rsidRDefault="00CD4D67" w:rsidP="00CD4D67">
            <w:pPr>
              <w:tabs>
                <w:tab w:val="left" w:pos="142"/>
              </w:tabs>
              <w:spacing w:before="20" w:after="20"/>
              <w:ind w:right="57"/>
              <w:jc w:val="right"/>
              <w:rPr>
                <w:sz w:val="21"/>
                <w:szCs w:val="21"/>
                <w:vertAlign w:val="superscript"/>
              </w:rPr>
            </w:pPr>
            <w:r w:rsidRPr="005F6D8A">
              <w:rPr>
                <w:sz w:val="21"/>
                <w:szCs w:val="21"/>
              </w:rPr>
              <w:t>28.8</w:t>
            </w:r>
            <w:r w:rsidRPr="005F6D8A">
              <w:rPr>
                <w:sz w:val="21"/>
                <w:szCs w:val="21"/>
                <w:vertAlign w:val="superscript"/>
              </w:rPr>
              <w:t>4</w:t>
            </w:r>
          </w:p>
        </w:tc>
      </w:tr>
      <w:tr w:rsidR="00CD4D67" w:rsidRPr="005F6D8A" w14:paraId="5E46047F" w14:textId="77777777" w:rsidTr="005F6D8A">
        <w:tc>
          <w:tcPr>
            <w:tcW w:w="5534" w:type="dxa"/>
            <w:tcBorders>
              <w:top w:val="nil"/>
              <w:left w:val="single" w:sz="4" w:space="0" w:color="auto"/>
              <w:bottom w:val="nil"/>
              <w:right w:val="nil"/>
            </w:tcBorders>
            <w:vAlign w:val="bottom"/>
          </w:tcPr>
          <w:p w14:paraId="058DB6CD" w14:textId="77777777" w:rsidR="00CD4D67" w:rsidRPr="005F6D8A" w:rsidRDefault="00CD4D67" w:rsidP="00CD4D67">
            <w:pPr>
              <w:spacing w:after="40" w:line="240" w:lineRule="auto"/>
              <w:ind w:left="147"/>
              <w:jc w:val="both"/>
              <w:rPr>
                <w:rFonts w:cs="Arial"/>
                <w:sz w:val="21"/>
                <w:szCs w:val="21"/>
              </w:rPr>
            </w:pPr>
            <w:r w:rsidRPr="005F6D8A">
              <w:rPr>
                <w:rFonts w:cs="Arial"/>
                <w:spacing w:val="0"/>
                <w:sz w:val="21"/>
                <w:szCs w:val="21"/>
              </w:rPr>
              <w:t>Adjusted</w:t>
            </w:r>
            <w:r w:rsidRPr="005F6D8A">
              <w:rPr>
                <w:rFonts w:cs="Arial"/>
                <w:spacing w:val="0"/>
                <w:sz w:val="21"/>
                <w:szCs w:val="21"/>
                <w:vertAlign w:val="superscript"/>
              </w:rPr>
              <w:t xml:space="preserve">5 6 </w:t>
            </w:r>
            <w:r w:rsidRPr="005F6D8A">
              <w:rPr>
                <w:rFonts w:cs="Arial"/>
                <w:spacing w:val="0"/>
                <w:sz w:val="21"/>
                <w:szCs w:val="21"/>
              </w:rPr>
              <w:t>net asset value per share (pence, diluted)</w:t>
            </w:r>
          </w:p>
        </w:tc>
        <w:tc>
          <w:tcPr>
            <w:tcW w:w="1549" w:type="dxa"/>
            <w:tcBorders>
              <w:top w:val="nil"/>
              <w:left w:val="nil"/>
              <w:bottom w:val="nil"/>
              <w:right w:val="nil"/>
            </w:tcBorders>
            <w:vAlign w:val="bottom"/>
          </w:tcPr>
          <w:p w14:paraId="28AA7DD0" w14:textId="77777777" w:rsidR="00CD4D67" w:rsidRPr="005F6D8A" w:rsidRDefault="00CD4D67" w:rsidP="00CD4D67">
            <w:pPr>
              <w:tabs>
                <w:tab w:val="left" w:pos="142"/>
              </w:tabs>
              <w:spacing w:before="20" w:after="20"/>
              <w:ind w:right="57"/>
              <w:jc w:val="right"/>
              <w:rPr>
                <w:b/>
                <w:bCs/>
                <w:sz w:val="21"/>
                <w:szCs w:val="21"/>
              </w:rPr>
            </w:pPr>
            <w:r w:rsidRPr="005F6D8A">
              <w:rPr>
                <w:b/>
                <w:bCs/>
                <w:sz w:val="21"/>
                <w:szCs w:val="21"/>
              </w:rPr>
              <w:t>1,137</w:t>
            </w:r>
          </w:p>
        </w:tc>
        <w:tc>
          <w:tcPr>
            <w:tcW w:w="1708" w:type="dxa"/>
            <w:tcBorders>
              <w:top w:val="nil"/>
              <w:left w:val="nil"/>
              <w:bottom w:val="nil"/>
              <w:right w:val="nil"/>
            </w:tcBorders>
            <w:vAlign w:val="bottom"/>
          </w:tcPr>
          <w:p w14:paraId="2FA955E7" w14:textId="77777777" w:rsidR="00CD4D67" w:rsidRPr="005F6D8A" w:rsidRDefault="00CD4D67" w:rsidP="00CD4D67">
            <w:pPr>
              <w:tabs>
                <w:tab w:val="left" w:pos="142"/>
              </w:tabs>
              <w:spacing w:before="20" w:after="20"/>
              <w:ind w:right="57"/>
              <w:jc w:val="right"/>
              <w:rPr>
                <w:sz w:val="21"/>
                <w:szCs w:val="21"/>
              </w:rPr>
            </w:pPr>
            <w:r w:rsidRPr="005F6D8A">
              <w:rPr>
                <w:sz w:val="21"/>
                <w:szCs w:val="21"/>
              </w:rPr>
              <w:t>814</w:t>
            </w:r>
          </w:p>
        </w:tc>
        <w:tc>
          <w:tcPr>
            <w:tcW w:w="1560" w:type="dxa"/>
            <w:tcBorders>
              <w:top w:val="nil"/>
              <w:left w:val="nil"/>
              <w:bottom w:val="nil"/>
              <w:right w:val="single" w:sz="4" w:space="0" w:color="auto"/>
            </w:tcBorders>
            <w:vAlign w:val="bottom"/>
          </w:tcPr>
          <w:p w14:paraId="0E514162" w14:textId="77777777" w:rsidR="00CD4D67" w:rsidRPr="005F6D8A" w:rsidRDefault="00CD4D67" w:rsidP="00CD4D67">
            <w:pPr>
              <w:tabs>
                <w:tab w:val="left" w:pos="142"/>
              </w:tabs>
              <w:spacing w:before="20" w:after="20"/>
              <w:ind w:right="57"/>
              <w:jc w:val="right"/>
              <w:rPr>
                <w:sz w:val="21"/>
                <w:szCs w:val="21"/>
              </w:rPr>
            </w:pPr>
            <w:r w:rsidRPr="005F6D8A">
              <w:rPr>
                <w:sz w:val="21"/>
                <w:szCs w:val="21"/>
              </w:rPr>
              <w:t>39.7</w:t>
            </w:r>
          </w:p>
        </w:tc>
      </w:tr>
      <w:tr w:rsidR="00CD4D67" w:rsidRPr="005F6D8A" w14:paraId="18E59350" w14:textId="77777777" w:rsidTr="005F6D8A">
        <w:tc>
          <w:tcPr>
            <w:tcW w:w="5534" w:type="dxa"/>
            <w:tcBorders>
              <w:top w:val="nil"/>
              <w:left w:val="single" w:sz="4" w:space="0" w:color="auto"/>
              <w:bottom w:val="nil"/>
              <w:right w:val="nil"/>
            </w:tcBorders>
            <w:vAlign w:val="bottom"/>
          </w:tcPr>
          <w:p w14:paraId="65FFC820" w14:textId="4CDCBBCD" w:rsidR="00CD4D67" w:rsidRPr="005F6D8A" w:rsidRDefault="00CD4D67">
            <w:pPr>
              <w:spacing w:after="40" w:line="240" w:lineRule="auto"/>
              <w:ind w:left="147"/>
              <w:jc w:val="both"/>
              <w:rPr>
                <w:rFonts w:cs="Arial"/>
                <w:sz w:val="21"/>
                <w:szCs w:val="21"/>
              </w:rPr>
            </w:pPr>
            <w:r w:rsidRPr="005F6D8A">
              <w:rPr>
                <w:rFonts w:cs="Arial"/>
                <w:spacing w:val="0"/>
                <w:sz w:val="21"/>
                <w:szCs w:val="21"/>
              </w:rPr>
              <w:t>IFRS net asset value per share (pence, diluted)</w:t>
            </w:r>
          </w:p>
        </w:tc>
        <w:tc>
          <w:tcPr>
            <w:tcW w:w="1549" w:type="dxa"/>
            <w:tcBorders>
              <w:top w:val="nil"/>
              <w:left w:val="nil"/>
              <w:bottom w:val="nil"/>
              <w:right w:val="nil"/>
            </w:tcBorders>
            <w:vAlign w:val="bottom"/>
          </w:tcPr>
          <w:p w14:paraId="20AD57F5" w14:textId="77777777" w:rsidR="00CD4D67" w:rsidRPr="005F6D8A" w:rsidRDefault="00CD4D67" w:rsidP="00CD4D67">
            <w:pPr>
              <w:tabs>
                <w:tab w:val="left" w:pos="142"/>
              </w:tabs>
              <w:spacing w:before="20" w:after="20"/>
              <w:ind w:right="57"/>
              <w:jc w:val="right"/>
              <w:rPr>
                <w:b/>
                <w:bCs/>
                <w:sz w:val="21"/>
                <w:szCs w:val="21"/>
              </w:rPr>
            </w:pPr>
            <w:r w:rsidRPr="005F6D8A">
              <w:rPr>
                <w:b/>
                <w:bCs/>
                <w:sz w:val="21"/>
                <w:szCs w:val="21"/>
              </w:rPr>
              <w:t>1,115</w:t>
            </w:r>
          </w:p>
        </w:tc>
        <w:tc>
          <w:tcPr>
            <w:tcW w:w="1708" w:type="dxa"/>
            <w:tcBorders>
              <w:top w:val="nil"/>
              <w:left w:val="nil"/>
              <w:bottom w:val="nil"/>
              <w:right w:val="nil"/>
            </w:tcBorders>
            <w:vAlign w:val="bottom"/>
          </w:tcPr>
          <w:p w14:paraId="35140DCC" w14:textId="77777777" w:rsidR="00CD4D67" w:rsidRPr="005F6D8A" w:rsidRDefault="00CD4D67" w:rsidP="00CD4D67">
            <w:pPr>
              <w:tabs>
                <w:tab w:val="left" w:pos="142"/>
              </w:tabs>
              <w:spacing w:before="20" w:after="20"/>
              <w:ind w:right="57"/>
              <w:jc w:val="right"/>
              <w:rPr>
                <w:sz w:val="21"/>
                <w:szCs w:val="21"/>
              </w:rPr>
            </w:pPr>
            <w:r w:rsidRPr="005F6D8A">
              <w:rPr>
                <w:sz w:val="21"/>
                <w:szCs w:val="21"/>
              </w:rPr>
              <w:t>809</w:t>
            </w:r>
          </w:p>
        </w:tc>
        <w:tc>
          <w:tcPr>
            <w:tcW w:w="1560" w:type="dxa"/>
            <w:tcBorders>
              <w:top w:val="nil"/>
              <w:left w:val="nil"/>
              <w:bottom w:val="nil"/>
              <w:right w:val="single" w:sz="4" w:space="0" w:color="auto"/>
            </w:tcBorders>
            <w:shd w:val="clear" w:color="auto" w:fill="auto"/>
            <w:vAlign w:val="bottom"/>
          </w:tcPr>
          <w:p w14:paraId="5D622300" w14:textId="77777777" w:rsidR="00CD4D67" w:rsidRPr="005F6D8A" w:rsidRDefault="00CD4D67" w:rsidP="00CD4D67">
            <w:pPr>
              <w:tabs>
                <w:tab w:val="left" w:pos="142"/>
              </w:tabs>
              <w:spacing w:before="20" w:after="20"/>
              <w:ind w:right="57"/>
              <w:jc w:val="right"/>
              <w:rPr>
                <w:sz w:val="21"/>
                <w:szCs w:val="21"/>
                <w:highlight w:val="yellow"/>
              </w:rPr>
            </w:pPr>
            <w:r w:rsidRPr="005F6D8A">
              <w:rPr>
                <w:sz w:val="21"/>
                <w:szCs w:val="21"/>
              </w:rPr>
              <w:t>-</w:t>
            </w:r>
          </w:p>
        </w:tc>
      </w:tr>
      <w:tr w:rsidR="00CD4D67" w:rsidRPr="005F6D8A" w14:paraId="5E918FF5" w14:textId="77777777" w:rsidTr="005F6D8A">
        <w:tc>
          <w:tcPr>
            <w:tcW w:w="5534" w:type="dxa"/>
            <w:tcBorders>
              <w:top w:val="nil"/>
              <w:left w:val="single" w:sz="4" w:space="0" w:color="auto"/>
              <w:bottom w:val="nil"/>
              <w:right w:val="nil"/>
            </w:tcBorders>
            <w:vAlign w:val="bottom"/>
          </w:tcPr>
          <w:p w14:paraId="3A513583" w14:textId="77777777" w:rsidR="00CD4D67" w:rsidRPr="005F6D8A" w:rsidRDefault="00CD4D67" w:rsidP="00CD4D67">
            <w:pPr>
              <w:spacing w:after="40" w:line="240" w:lineRule="auto"/>
              <w:ind w:left="147"/>
              <w:jc w:val="both"/>
              <w:rPr>
                <w:rFonts w:cs="Arial"/>
                <w:sz w:val="21"/>
                <w:szCs w:val="21"/>
              </w:rPr>
            </w:pPr>
            <w:r w:rsidRPr="005F6D8A">
              <w:rPr>
                <w:rFonts w:cs="Arial"/>
                <w:spacing w:val="0"/>
                <w:sz w:val="21"/>
                <w:szCs w:val="21"/>
              </w:rPr>
              <w:t>Net debt (SEGRO share, £m)</w:t>
            </w:r>
          </w:p>
        </w:tc>
        <w:tc>
          <w:tcPr>
            <w:tcW w:w="1549" w:type="dxa"/>
            <w:tcBorders>
              <w:top w:val="nil"/>
              <w:left w:val="nil"/>
              <w:bottom w:val="nil"/>
              <w:right w:val="nil"/>
            </w:tcBorders>
            <w:vAlign w:val="bottom"/>
          </w:tcPr>
          <w:p w14:paraId="587EA713" w14:textId="77777777" w:rsidR="00CD4D67" w:rsidRPr="005F6D8A" w:rsidRDefault="00CD4D67" w:rsidP="00CD4D67">
            <w:pPr>
              <w:tabs>
                <w:tab w:val="left" w:pos="142"/>
              </w:tabs>
              <w:spacing w:before="20" w:after="20"/>
              <w:ind w:right="57"/>
              <w:jc w:val="right"/>
              <w:rPr>
                <w:b/>
                <w:bCs/>
                <w:sz w:val="21"/>
                <w:szCs w:val="21"/>
              </w:rPr>
            </w:pPr>
            <w:r w:rsidRPr="005F6D8A">
              <w:rPr>
                <w:b/>
                <w:bCs/>
                <w:sz w:val="21"/>
                <w:szCs w:val="21"/>
              </w:rPr>
              <w:t>4,201</w:t>
            </w:r>
          </w:p>
        </w:tc>
        <w:tc>
          <w:tcPr>
            <w:tcW w:w="1708" w:type="dxa"/>
            <w:tcBorders>
              <w:top w:val="nil"/>
              <w:left w:val="nil"/>
              <w:bottom w:val="nil"/>
              <w:right w:val="nil"/>
            </w:tcBorders>
            <w:vAlign w:val="bottom"/>
          </w:tcPr>
          <w:p w14:paraId="0DDC5E7E" w14:textId="4B1D7E50" w:rsidR="00CD4D67" w:rsidRPr="005F6D8A" w:rsidRDefault="00A73D99" w:rsidP="00CD4D67">
            <w:pPr>
              <w:tabs>
                <w:tab w:val="left" w:pos="142"/>
              </w:tabs>
              <w:spacing w:before="20" w:after="20"/>
              <w:ind w:right="57"/>
              <w:jc w:val="right"/>
              <w:rPr>
                <w:sz w:val="21"/>
                <w:szCs w:val="21"/>
              </w:rPr>
            </w:pPr>
            <w:r>
              <w:rPr>
                <w:sz w:val="21"/>
                <w:szCs w:val="21"/>
              </w:rPr>
              <w:t>3,088</w:t>
            </w:r>
          </w:p>
        </w:tc>
        <w:tc>
          <w:tcPr>
            <w:tcW w:w="1560" w:type="dxa"/>
            <w:tcBorders>
              <w:top w:val="nil"/>
              <w:left w:val="nil"/>
              <w:bottom w:val="nil"/>
              <w:right w:val="single" w:sz="4" w:space="0" w:color="auto"/>
            </w:tcBorders>
            <w:vAlign w:val="bottom"/>
          </w:tcPr>
          <w:p w14:paraId="5A21D267" w14:textId="77777777" w:rsidR="00CD4D67" w:rsidRPr="005F6D8A" w:rsidRDefault="00CD4D67" w:rsidP="00CD4D67">
            <w:pPr>
              <w:tabs>
                <w:tab w:val="left" w:pos="142"/>
              </w:tabs>
              <w:spacing w:before="20" w:after="20"/>
              <w:ind w:right="57"/>
              <w:jc w:val="right"/>
              <w:rPr>
                <w:sz w:val="21"/>
                <w:szCs w:val="21"/>
                <w:highlight w:val="yellow"/>
              </w:rPr>
            </w:pPr>
            <w:r w:rsidRPr="005F6D8A">
              <w:rPr>
                <w:sz w:val="21"/>
                <w:szCs w:val="21"/>
              </w:rPr>
              <w:t>-</w:t>
            </w:r>
          </w:p>
        </w:tc>
      </w:tr>
      <w:tr w:rsidR="00CD4D67" w:rsidRPr="005F6D8A" w14:paraId="398E4139" w14:textId="77777777" w:rsidTr="005F6D8A">
        <w:tc>
          <w:tcPr>
            <w:tcW w:w="5534" w:type="dxa"/>
            <w:tcBorders>
              <w:top w:val="nil"/>
              <w:left w:val="single" w:sz="4" w:space="0" w:color="auto"/>
              <w:bottom w:val="nil"/>
              <w:right w:val="nil"/>
            </w:tcBorders>
            <w:vAlign w:val="bottom"/>
          </w:tcPr>
          <w:p w14:paraId="114CA258" w14:textId="77777777" w:rsidR="00CD4D67" w:rsidRPr="005F6D8A" w:rsidRDefault="00CD4D67" w:rsidP="00CD4D67">
            <w:pPr>
              <w:spacing w:after="40" w:line="240" w:lineRule="auto"/>
              <w:ind w:left="147"/>
              <w:jc w:val="both"/>
              <w:rPr>
                <w:rFonts w:cs="Arial"/>
                <w:sz w:val="21"/>
                <w:szCs w:val="21"/>
              </w:rPr>
            </w:pPr>
            <w:r w:rsidRPr="005F6D8A">
              <w:rPr>
                <w:rFonts w:cs="Arial"/>
                <w:spacing w:val="0"/>
                <w:sz w:val="21"/>
                <w:szCs w:val="21"/>
              </w:rPr>
              <w:t>Loan to value ratio including joint ventures at share (per cent)</w:t>
            </w:r>
          </w:p>
        </w:tc>
        <w:tc>
          <w:tcPr>
            <w:tcW w:w="1549" w:type="dxa"/>
            <w:tcBorders>
              <w:top w:val="nil"/>
              <w:left w:val="nil"/>
              <w:bottom w:val="nil"/>
              <w:right w:val="nil"/>
            </w:tcBorders>
            <w:vAlign w:val="bottom"/>
          </w:tcPr>
          <w:p w14:paraId="43FCB281" w14:textId="77777777" w:rsidR="00CD4D67" w:rsidRPr="005F6D8A" w:rsidRDefault="00CD4D67" w:rsidP="00CD4D67">
            <w:pPr>
              <w:tabs>
                <w:tab w:val="left" w:pos="142"/>
              </w:tabs>
              <w:spacing w:before="20" w:after="20"/>
              <w:ind w:right="57"/>
              <w:jc w:val="right"/>
              <w:rPr>
                <w:b/>
                <w:bCs/>
                <w:sz w:val="21"/>
                <w:szCs w:val="21"/>
              </w:rPr>
            </w:pPr>
            <w:r w:rsidRPr="005F6D8A">
              <w:rPr>
                <w:b/>
                <w:bCs/>
                <w:sz w:val="21"/>
                <w:szCs w:val="21"/>
              </w:rPr>
              <w:t>23</w:t>
            </w:r>
          </w:p>
        </w:tc>
        <w:tc>
          <w:tcPr>
            <w:tcW w:w="1708" w:type="dxa"/>
            <w:tcBorders>
              <w:top w:val="nil"/>
              <w:left w:val="nil"/>
              <w:bottom w:val="nil"/>
              <w:right w:val="nil"/>
            </w:tcBorders>
            <w:vAlign w:val="bottom"/>
          </w:tcPr>
          <w:p w14:paraId="5058E2F8" w14:textId="77777777" w:rsidR="00CD4D67" w:rsidRPr="005F6D8A" w:rsidRDefault="00CD4D67" w:rsidP="00CD4D67">
            <w:pPr>
              <w:tabs>
                <w:tab w:val="left" w:pos="142"/>
              </w:tabs>
              <w:spacing w:before="20" w:after="20"/>
              <w:ind w:right="57"/>
              <w:jc w:val="right"/>
              <w:rPr>
                <w:sz w:val="21"/>
                <w:szCs w:val="21"/>
              </w:rPr>
            </w:pPr>
            <w:r w:rsidRPr="005F6D8A">
              <w:rPr>
                <w:sz w:val="21"/>
                <w:szCs w:val="21"/>
              </w:rPr>
              <w:t>24</w:t>
            </w:r>
          </w:p>
        </w:tc>
        <w:tc>
          <w:tcPr>
            <w:tcW w:w="1560" w:type="dxa"/>
            <w:tcBorders>
              <w:top w:val="nil"/>
              <w:left w:val="nil"/>
              <w:bottom w:val="nil"/>
              <w:right w:val="single" w:sz="4" w:space="0" w:color="auto"/>
            </w:tcBorders>
            <w:vAlign w:val="bottom"/>
          </w:tcPr>
          <w:p w14:paraId="7D081157" w14:textId="77777777" w:rsidR="00CD4D67" w:rsidRPr="005F6D8A" w:rsidRDefault="00CD4D67" w:rsidP="00CD4D67">
            <w:pPr>
              <w:tabs>
                <w:tab w:val="left" w:pos="142"/>
              </w:tabs>
              <w:spacing w:before="20" w:after="20"/>
              <w:ind w:right="57"/>
              <w:jc w:val="right"/>
              <w:rPr>
                <w:sz w:val="21"/>
                <w:szCs w:val="21"/>
                <w:highlight w:val="yellow"/>
              </w:rPr>
            </w:pPr>
            <w:r w:rsidRPr="005F6D8A">
              <w:rPr>
                <w:sz w:val="21"/>
                <w:szCs w:val="21"/>
              </w:rPr>
              <w:t>-</w:t>
            </w:r>
          </w:p>
        </w:tc>
      </w:tr>
      <w:tr w:rsidR="00CD4D67" w:rsidRPr="005F6D8A" w14:paraId="42BEB960" w14:textId="77777777" w:rsidTr="005F6D8A">
        <w:tc>
          <w:tcPr>
            <w:tcW w:w="5534" w:type="dxa"/>
            <w:tcBorders>
              <w:top w:val="nil"/>
              <w:left w:val="single" w:sz="4" w:space="0" w:color="auto"/>
              <w:bottom w:val="single" w:sz="12" w:space="0" w:color="auto"/>
              <w:right w:val="nil"/>
            </w:tcBorders>
            <w:vAlign w:val="bottom"/>
          </w:tcPr>
          <w:p w14:paraId="2169030C" w14:textId="77777777" w:rsidR="00CD4D67" w:rsidRPr="005F6D8A" w:rsidRDefault="00CD4D67" w:rsidP="00CD4D67">
            <w:pPr>
              <w:spacing w:after="40" w:line="240" w:lineRule="auto"/>
              <w:ind w:left="147"/>
              <w:jc w:val="both"/>
              <w:rPr>
                <w:rFonts w:cs="Arial"/>
                <w:spacing w:val="0"/>
                <w:sz w:val="21"/>
                <w:szCs w:val="21"/>
              </w:rPr>
            </w:pPr>
          </w:p>
        </w:tc>
        <w:tc>
          <w:tcPr>
            <w:tcW w:w="1549" w:type="dxa"/>
            <w:tcBorders>
              <w:top w:val="nil"/>
              <w:left w:val="nil"/>
              <w:bottom w:val="single" w:sz="12" w:space="0" w:color="auto"/>
              <w:right w:val="nil"/>
            </w:tcBorders>
            <w:vAlign w:val="bottom"/>
          </w:tcPr>
          <w:p w14:paraId="54A6A6F2" w14:textId="77777777" w:rsidR="00CD4D67" w:rsidRPr="005F6D8A" w:rsidRDefault="00CD4D67" w:rsidP="00CD4D67">
            <w:pPr>
              <w:tabs>
                <w:tab w:val="left" w:pos="142"/>
              </w:tabs>
              <w:spacing w:before="20" w:after="20"/>
              <w:ind w:right="57"/>
              <w:jc w:val="right"/>
              <w:rPr>
                <w:b/>
                <w:bCs/>
                <w:sz w:val="21"/>
                <w:szCs w:val="21"/>
              </w:rPr>
            </w:pPr>
          </w:p>
        </w:tc>
        <w:tc>
          <w:tcPr>
            <w:tcW w:w="1708" w:type="dxa"/>
            <w:tcBorders>
              <w:top w:val="nil"/>
              <w:left w:val="nil"/>
              <w:bottom w:val="single" w:sz="12" w:space="0" w:color="auto"/>
              <w:right w:val="nil"/>
            </w:tcBorders>
            <w:vAlign w:val="bottom"/>
          </w:tcPr>
          <w:p w14:paraId="185F659D" w14:textId="77777777" w:rsidR="00CD4D67" w:rsidRPr="005F6D8A" w:rsidRDefault="00CD4D67" w:rsidP="00CD4D67">
            <w:pPr>
              <w:tabs>
                <w:tab w:val="left" w:pos="142"/>
              </w:tabs>
              <w:spacing w:before="20" w:after="20"/>
              <w:ind w:right="57"/>
              <w:jc w:val="right"/>
              <w:rPr>
                <w:sz w:val="21"/>
                <w:szCs w:val="21"/>
              </w:rPr>
            </w:pPr>
          </w:p>
        </w:tc>
        <w:tc>
          <w:tcPr>
            <w:tcW w:w="1560" w:type="dxa"/>
            <w:tcBorders>
              <w:top w:val="nil"/>
              <w:left w:val="nil"/>
              <w:bottom w:val="single" w:sz="12" w:space="0" w:color="auto"/>
              <w:right w:val="single" w:sz="4" w:space="0" w:color="auto"/>
            </w:tcBorders>
            <w:vAlign w:val="bottom"/>
          </w:tcPr>
          <w:p w14:paraId="1EC9E764" w14:textId="77777777" w:rsidR="00CD4D67" w:rsidRPr="005F6D8A" w:rsidRDefault="00CD4D67" w:rsidP="00CD4D67">
            <w:pPr>
              <w:tabs>
                <w:tab w:val="left" w:pos="142"/>
              </w:tabs>
              <w:spacing w:before="20" w:after="20"/>
              <w:ind w:right="57"/>
              <w:jc w:val="right"/>
              <w:rPr>
                <w:sz w:val="21"/>
                <w:szCs w:val="21"/>
              </w:rPr>
            </w:pPr>
          </w:p>
        </w:tc>
      </w:tr>
    </w:tbl>
    <w:p w14:paraId="29DA6DBF" w14:textId="77777777" w:rsidR="008C16E2" w:rsidRPr="005F6D8A" w:rsidRDefault="008C16E2" w:rsidP="008C16E2">
      <w:pPr>
        <w:spacing w:after="0" w:line="240" w:lineRule="auto"/>
        <w:rPr>
          <w:iCs/>
        </w:rPr>
      </w:pPr>
    </w:p>
    <w:p w14:paraId="3BB0F202" w14:textId="77777777" w:rsidR="008C16E2" w:rsidRPr="00C63CA4" w:rsidRDefault="008C16E2" w:rsidP="008C16E2">
      <w:pPr>
        <w:autoSpaceDE w:val="0"/>
        <w:autoSpaceDN w:val="0"/>
        <w:adjustRightInd w:val="0"/>
        <w:spacing w:after="0" w:line="240" w:lineRule="auto"/>
        <w:jc w:val="both"/>
        <w:rPr>
          <w:rFonts w:cs="Arial"/>
          <w:spacing w:val="0"/>
          <w:sz w:val="16"/>
          <w:szCs w:val="16"/>
        </w:rPr>
      </w:pPr>
      <w:r w:rsidRPr="00C63CA4">
        <w:rPr>
          <w:rFonts w:cs="Arial"/>
          <w:spacing w:val="0"/>
          <w:sz w:val="16"/>
          <w:szCs w:val="16"/>
        </w:rPr>
        <w:t xml:space="preserve">1. A reconciliation between Adjusted profit before tax and IFRS profit before tax is shown in Note 2 to the condensed financial information. </w:t>
      </w:r>
    </w:p>
    <w:p w14:paraId="0E41045B" w14:textId="77777777" w:rsidR="008C16E2" w:rsidRPr="00C63CA4" w:rsidRDefault="008C16E2" w:rsidP="008C16E2">
      <w:pPr>
        <w:autoSpaceDE w:val="0"/>
        <w:autoSpaceDN w:val="0"/>
        <w:adjustRightInd w:val="0"/>
        <w:spacing w:after="0" w:line="240" w:lineRule="auto"/>
        <w:jc w:val="both"/>
        <w:rPr>
          <w:rFonts w:cs="Arial"/>
          <w:spacing w:val="0"/>
          <w:sz w:val="16"/>
          <w:szCs w:val="16"/>
        </w:rPr>
      </w:pPr>
      <w:r w:rsidRPr="00C63CA4">
        <w:rPr>
          <w:rFonts w:cs="Arial"/>
          <w:spacing w:val="0"/>
          <w:sz w:val="16"/>
          <w:szCs w:val="16"/>
        </w:rPr>
        <w:t xml:space="preserve">2. A reconciliation between Adjusted earnings per share and IFRS earnings per share is shown in Note 11 to the condensed financial information. </w:t>
      </w:r>
    </w:p>
    <w:p w14:paraId="6F50D16D" w14:textId="77777777" w:rsidR="008C16E2" w:rsidRPr="00C63CA4" w:rsidRDefault="008C16E2" w:rsidP="008C16E2">
      <w:pPr>
        <w:pStyle w:val="FootnotesNoSpace"/>
        <w:spacing w:after="0"/>
        <w:jc w:val="both"/>
        <w:rPr>
          <w:rFonts w:cs="Arial"/>
          <w:i w:val="0"/>
          <w:szCs w:val="16"/>
        </w:rPr>
      </w:pPr>
      <w:r w:rsidRPr="00C63CA4">
        <w:rPr>
          <w:rFonts w:cs="Arial"/>
          <w:i w:val="0"/>
          <w:szCs w:val="16"/>
        </w:rPr>
        <w:t>3. Total Accounting Return is calculated based on the opening and closing adjusted NAV per share adding back dividends paid during the period.</w:t>
      </w:r>
    </w:p>
    <w:p w14:paraId="0A7F2F8C" w14:textId="77777777" w:rsidR="008C16E2" w:rsidRPr="00C63CA4" w:rsidRDefault="008C16E2" w:rsidP="008C16E2">
      <w:pPr>
        <w:autoSpaceDE w:val="0"/>
        <w:autoSpaceDN w:val="0"/>
        <w:adjustRightInd w:val="0"/>
        <w:spacing w:after="0" w:line="240" w:lineRule="auto"/>
        <w:jc w:val="both"/>
        <w:rPr>
          <w:rFonts w:cs="Arial"/>
          <w:spacing w:val="0"/>
          <w:sz w:val="16"/>
          <w:szCs w:val="16"/>
        </w:rPr>
      </w:pPr>
      <w:r w:rsidRPr="00C63CA4">
        <w:rPr>
          <w:rFonts w:cs="Arial"/>
          <w:spacing w:val="0"/>
          <w:sz w:val="16"/>
          <w:szCs w:val="16"/>
        </w:rPr>
        <w:t xml:space="preserve">4. Percentage valuation movement during the period based on the difference between opening and closing valuations for all properties including buildings under construction and land, adjusting for capital expenditure, acquisitions and disposals. </w:t>
      </w:r>
    </w:p>
    <w:p w14:paraId="4C4FC588" w14:textId="77777777" w:rsidR="008C16E2" w:rsidRPr="00C63CA4" w:rsidRDefault="008C16E2" w:rsidP="008C16E2">
      <w:pPr>
        <w:autoSpaceDE w:val="0"/>
        <w:autoSpaceDN w:val="0"/>
        <w:adjustRightInd w:val="0"/>
        <w:spacing w:after="0" w:line="240" w:lineRule="auto"/>
        <w:jc w:val="both"/>
        <w:rPr>
          <w:rFonts w:cs="Arial"/>
          <w:spacing w:val="0"/>
          <w:sz w:val="16"/>
          <w:szCs w:val="16"/>
        </w:rPr>
      </w:pPr>
      <w:r w:rsidRPr="00C63CA4">
        <w:rPr>
          <w:rFonts w:cs="Arial"/>
          <w:spacing w:val="0"/>
          <w:sz w:val="16"/>
          <w:szCs w:val="16"/>
        </w:rPr>
        <w:t xml:space="preserve">5. A reconciliation between Adjusted net asset value per share and IFRS net asset value per share is shown in Note 11 to the condensed financial information. </w:t>
      </w:r>
    </w:p>
    <w:p w14:paraId="2B59CAAC" w14:textId="1D75B37B" w:rsidR="008C16E2" w:rsidRPr="00C63CA4" w:rsidRDefault="008C16E2" w:rsidP="008C16E2">
      <w:pPr>
        <w:pStyle w:val="FootnotesNoSpace"/>
        <w:spacing w:after="0"/>
        <w:jc w:val="both"/>
        <w:rPr>
          <w:rFonts w:cs="Arial"/>
          <w:i w:val="0"/>
          <w:szCs w:val="16"/>
        </w:rPr>
      </w:pPr>
      <w:r w:rsidRPr="00C63CA4">
        <w:rPr>
          <w:rFonts w:cs="Arial"/>
          <w:i w:val="0"/>
          <w:szCs w:val="16"/>
        </w:rPr>
        <w:t xml:space="preserve">6. Adjusted net asset value is in line with EPRA Net Tangible Assets (NTA) (see Table </w:t>
      </w:r>
      <w:r w:rsidR="00C63CA4" w:rsidRPr="00C63CA4">
        <w:rPr>
          <w:rFonts w:cs="Arial"/>
          <w:i w:val="0"/>
          <w:szCs w:val="16"/>
        </w:rPr>
        <w:t>5</w:t>
      </w:r>
      <w:r w:rsidRPr="00C63CA4">
        <w:rPr>
          <w:rFonts w:cs="Arial"/>
          <w:i w:val="0"/>
          <w:szCs w:val="16"/>
        </w:rPr>
        <w:t xml:space="preserve"> in the Supplementary Notes for a NAV reconciliation). </w:t>
      </w:r>
    </w:p>
    <w:p w14:paraId="2EC10147" w14:textId="77777777" w:rsidR="008C16E2" w:rsidRPr="005F6D8A" w:rsidRDefault="008C16E2" w:rsidP="008C16E2">
      <w:pPr>
        <w:pStyle w:val="Heading2"/>
      </w:pPr>
    </w:p>
    <w:p w14:paraId="3D5ABDA3" w14:textId="5D4826DB" w:rsidR="008C16E2" w:rsidRPr="005F6D8A" w:rsidRDefault="008C16E2" w:rsidP="008C16E2">
      <w:pPr>
        <w:spacing w:after="120" w:line="276" w:lineRule="auto"/>
        <w:jc w:val="both"/>
        <w:rPr>
          <w:rFonts w:cs="Arial"/>
          <w:spacing w:val="0"/>
          <w:sz w:val="16"/>
          <w:szCs w:val="16"/>
        </w:rPr>
      </w:pPr>
      <w:r w:rsidRPr="00C63CA4">
        <w:rPr>
          <w:rFonts w:cs="Arial"/>
          <w:spacing w:val="0"/>
          <w:sz w:val="16"/>
          <w:szCs w:val="16"/>
          <w:vertAlign w:val="superscript"/>
        </w:rPr>
        <w:t>A</w:t>
      </w:r>
      <w:r w:rsidRPr="00C63CA4">
        <w:rPr>
          <w:rFonts w:cs="Arial"/>
          <w:spacing w:val="0"/>
          <w:sz w:val="16"/>
          <w:szCs w:val="16"/>
        </w:rPr>
        <w:t xml:space="preserve"> Figures quoted on pages 1 to 1</w:t>
      </w:r>
      <w:r w:rsidR="00C63CA4" w:rsidRPr="00C63CA4">
        <w:rPr>
          <w:rFonts w:cs="Arial"/>
          <w:spacing w:val="0"/>
          <w:sz w:val="16"/>
          <w:szCs w:val="16"/>
        </w:rPr>
        <w:t>9</w:t>
      </w:r>
      <w:r w:rsidRPr="00C63CA4">
        <w:rPr>
          <w:rFonts w:cs="Arial"/>
          <w:spacing w:val="0"/>
          <w:sz w:val="16"/>
          <w:szCs w:val="16"/>
        </w:rPr>
        <w:t xml:space="preserve"> refer to SEGRO’s share, except for land (hectares) and space (square metres) which are quoted at 100 per cent, unless otherwise stated. Please refer to the Presentation of Financial Information statement in the Financial Review for further details.</w:t>
      </w:r>
    </w:p>
    <w:p w14:paraId="5D29DC92" w14:textId="77777777" w:rsidR="008C16E2" w:rsidRPr="005F6D8A" w:rsidRDefault="008C16E2" w:rsidP="008C16E2"/>
    <w:p w14:paraId="29FFBC62" w14:textId="77777777" w:rsidR="008C16E2" w:rsidRPr="005F6D8A" w:rsidRDefault="008C16E2" w:rsidP="008C16E2"/>
    <w:p w14:paraId="52EAD24B" w14:textId="77777777" w:rsidR="008C16E2" w:rsidRPr="005F6D8A" w:rsidRDefault="008C16E2" w:rsidP="008C16E2"/>
    <w:p w14:paraId="15926728" w14:textId="77777777" w:rsidR="008C16E2" w:rsidRPr="005F6D8A" w:rsidRDefault="008C16E2" w:rsidP="008C16E2"/>
    <w:p w14:paraId="2C8C3031" w14:textId="4055246C" w:rsidR="008C16E2" w:rsidRDefault="008C16E2" w:rsidP="008C16E2"/>
    <w:p w14:paraId="1D631429" w14:textId="7D0922F6" w:rsidR="003835F7" w:rsidRDefault="003835F7" w:rsidP="008C16E2"/>
    <w:p w14:paraId="628F2ECD" w14:textId="2A035CFE" w:rsidR="003835F7" w:rsidRDefault="003835F7" w:rsidP="008C16E2"/>
    <w:p w14:paraId="5E13530A" w14:textId="26658D83" w:rsidR="003835F7" w:rsidRDefault="003835F7" w:rsidP="008C16E2"/>
    <w:p w14:paraId="20F29D21" w14:textId="1682B9DB" w:rsidR="003835F7" w:rsidRDefault="003835F7" w:rsidP="008C16E2"/>
    <w:p w14:paraId="3020C93F" w14:textId="77777777" w:rsidR="003835F7" w:rsidRPr="005F6D8A" w:rsidRDefault="003835F7" w:rsidP="008C16E2"/>
    <w:p w14:paraId="1921864B" w14:textId="1013BEBE" w:rsidR="008C16E2" w:rsidRDefault="008C16E2" w:rsidP="008C16E2"/>
    <w:p w14:paraId="608938CB" w14:textId="0B549F50" w:rsidR="003835F7" w:rsidRDefault="003835F7" w:rsidP="008C16E2"/>
    <w:p w14:paraId="0F5582C7" w14:textId="77777777" w:rsidR="008C16E2" w:rsidRPr="005F6D8A" w:rsidRDefault="008C16E2" w:rsidP="008C16E2">
      <w:pPr>
        <w:pStyle w:val="Heading2"/>
      </w:pPr>
      <w:r w:rsidRPr="005F6D8A">
        <w:lastRenderedPageBreak/>
        <w:t>OPERATING SUMMARY &amp; KEY METRICS</w:t>
      </w:r>
    </w:p>
    <w:tbl>
      <w:tblPr>
        <w:tblW w:w="0" w:type="auto"/>
        <w:tblLayout w:type="fixed"/>
        <w:tblCellMar>
          <w:left w:w="0" w:type="dxa"/>
          <w:right w:w="57" w:type="dxa"/>
        </w:tblCellMar>
        <w:tblLook w:val="04A0" w:firstRow="1" w:lastRow="0" w:firstColumn="1" w:lastColumn="0" w:noHBand="0" w:noVBand="1"/>
      </w:tblPr>
      <w:tblGrid>
        <w:gridCol w:w="6232"/>
        <w:gridCol w:w="1134"/>
        <w:gridCol w:w="1701"/>
        <w:gridCol w:w="1390"/>
      </w:tblGrid>
      <w:tr w:rsidR="005F6D8A" w:rsidRPr="005F6D8A" w14:paraId="641C1C2A" w14:textId="77777777" w:rsidTr="005F6D8A">
        <w:tc>
          <w:tcPr>
            <w:tcW w:w="7366" w:type="dxa"/>
            <w:gridSpan w:val="2"/>
            <w:tcBorders>
              <w:top w:val="single" w:sz="4" w:space="0" w:color="auto"/>
              <w:left w:val="single" w:sz="4" w:space="0" w:color="auto"/>
              <w:bottom w:val="single" w:sz="4" w:space="0" w:color="auto"/>
              <w:right w:val="nil"/>
            </w:tcBorders>
            <w:shd w:val="clear" w:color="auto" w:fill="F2F2F2" w:themeFill="background1" w:themeFillShade="F2"/>
            <w:vAlign w:val="bottom"/>
            <w:hideMark/>
          </w:tcPr>
          <w:p w14:paraId="5E86CF21" w14:textId="77777777" w:rsidR="008C16E2" w:rsidRPr="005F6D8A" w:rsidRDefault="008C16E2" w:rsidP="005F6D8A">
            <w:pPr>
              <w:spacing w:after="120" w:line="240" w:lineRule="auto"/>
              <w:ind w:left="147"/>
              <w:jc w:val="both"/>
              <w:rPr>
                <w:rFonts w:cs="Arial"/>
                <w:b/>
                <w:sz w:val="21"/>
                <w:szCs w:val="21"/>
              </w:rPr>
            </w:pPr>
          </w:p>
        </w:tc>
        <w:tc>
          <w:tcPr>
            <w:tcW w:w="1701" w:type="dxa"/>
            <w:tcBorders>
              <w:top w:val="single" w:sz="4" w:space="0" w:color="auto"/>
              <w:left w:val="nil"/>
              <w:bottom w:val="single" w:sz="4" w:space="0" w:color="auto"/>
              <w:right w:val="nil"/>
            </w:tcBorders>
            <w:shd w:val="clear" w:color="auto" w:fill="F2F2F2" w:themeFill="background1" w:themeFillShade="F2"/>
            <w:vAlign w:val="bottom"/>
            <w:hideMark/>
          </w:tcPr>
          <w:p w14:paraId="74C4FFB9" w14:textId="77777777" w:rsidR="008C16E2" w:rsidRPr="005F6D8A" w:rsidRDefault="008C16E2" w:rsidP="005F6D8A">
            <w:pPr>
              <w:spacing w:after="120" w:line="240" w:lineRule="auto"/>
              <w:jc w:val="right"/>
              <w:rPr>
                <w:rFonts w:cs="Arial"/>
                <w:b/>
                <w:sz w:val="21"/>
                <w:szCs w:val="21"/>
              </w:rPr>
            </w:pPr>
            <w:r w:rsidRPr="005F6D8A">
              <w:rPr>
                <w:rFonts w:cs="Arial"/>
                <w:b/>
                <w:sz w:val="21"/>
                <w:szCs w:val="21"/>
              </w:rPr>
              <w:t>2021</w:t>
            </w:r>
          </w:p>
        </w:tc>
        <w:tc>
          <w:tcPr>
            <w:tcW w:w="139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4935B23" w14:textId="77777777" w:rsidR="008C16E2" w:rsidRPr="005F6D8A" w:rsidRDefault="008C16E2" w:rsidP="005F6D8A">
            <w:pPr>
              <w:spacing w:after="120" w:line="240" w:lineRule="auto"/>
              <w:ind w:right="83"/>
              <w:jc w:val="right"/>
              <w:rPr>
                <w:rFonts w:cs="Arial"/>
                <w:bCs/>
                <w:sz w:val="21"/>
                <w:szCs w:val="21"/>
                <w:highlight w:val="yellow"/>
              </w:rPr>
            </w:pPr>
            <w:r w:rsidRPr="005F6D8A">
              <w:rPr>
                <w:rFonts w:cs="Arial"/>
                <w:bCs/>
                <w:sz w:val="21"/>
                <w:szCs w:val="21"/>
              </w:rPr>
              <w:t>2020</w:t>
            </w:r>
          </w:p>
        </w:tc>
      </w:tr>
      <w:tr w:rsidR="005F6D8A" w:rsidRPr="005F6D8A" w14:paraId="165B528E" w14:textId="77777777" w:rsidTr="005F6D8A">
        <w:tc>
          <w:tcPr>
            <w:tcW w:w="9067" w:type="dxa"/>
            <w:gridSpan w:val="3"/>
            <w:tcBorders>
              <w:left w:val="single" w:sz="4" w:space="0" w:color="auto"/>
              <w:bottom w:val="nil"/>
              <w:right w:val="nil"/>
            </w:tcBorders>
            <w:vAlign w:val="center"/>
          </w:tcPr>
          <w:p w14:paraId="257157EB" w14:textId="5BEA4397" w:rsidR="008C16E2" w:rsidRPr="00534093" w:rsidRDefault="008C16E2" w:rsidP="005F6D8A">
            <w:pPr>
              <w:spacing w:before="100" w:after="100" w:line="276" w:lineRule="auto"/>
              <w:rPr>
                <w:b/>
                <w:bCs/>
                <w:szCs w:val="22"/>
              </w:rPr>
            </w:pPr>
            <w:r w:rsidRPr="00534093">
              <w:rPr>
                <w:rFonts w:cs="Arial"/>
                <w:b/>
                <w:spacing w:val="0"/>
                <w:szCs w:val="22"/>
              </w:rPr>
              <w:t xml:space="preserve">STRONG PORTFOLIO PERFORMANCE (see page </w:t>
            </w:r>
            <w:r w:rsidR="00C63CA4">
              <w:rPr>
                <w:rFonts w:cs="Arial"/>
                <w:b/>
                <w:spacing w:val="0"/>
                <w:szCs w:val="22"/>
              </w:rPr>
              <w:t>9</w:t>
            </w:r>
            <w:r w:rsidRPr="00534093">
              <w:rPr>
                <w:rFonts w:cs="Arial"/>
                <w:b/>
                <w:spacing w:val="0"/>
                <w:szCs w:val="22"/>
              </w:rPr>
              <w:t>):</w:t>
            </w:r>
            <w:r w:rsidRPr="00534093">
              <w:rPr>
                <w:b/>
                <w:bCs/>
                <w:szCs w:val="22"/>
              </w:rPr>
              <w:t xml:space="preserve"> </w:t>
            </w:r>
          </w:p>
        </w:tc>
        <w:tc>
          <w:tcPr>
            <w:tcW w:w="1390" w:type="dxa"/>
            <w:tcBorders>
              <w:left w:val="nil"/>
              <w:bottom w:val="nil"/>
              <w:right w:val="single" w:sz="4" w:space="0" w:color="auto"/>
            </w:tcBorders>
            <w:shd w:val="clear" w:color="auto" w:fill="auto"/>
            <w:vAlign w:val="center"/>
          </w:tcPr>
          <w:p w14:paraId="084691FD" w14:textId="77777777" w:rsidR="008C16E2" w:rsidRPr="005F6D8A" w:rsidRDefault="008C16E2" w:rsidP="005F6D8A">
            <w:pPr>
              <w:tabs>
                <w:tab w:val="left" w:pos="142"/>
              </w:tabs>
              <w:spacing w:before="20" w:after="20"/>
              <w:ind w:right="57"/>
              <w:jc w:val="right"/>
              <w:rPr>
                <w:bCs/>
                <w:sz w:val="21"/>
                <w:szCs w:val="21"/>
              </w:rPr>
            </w:pPr>
          </w:p>
        </w:tc>
      </w:tr>
      <w:tr w:rsidR="005F6D8A" w:rsidRPr="005F6D8A" w14:paraId="2C4521B0" w14:textId="77777777" w:rsidTr="005F6D8A">
        <w:tc>
          <w:tcPr>
            <w:tcW w:w="10457" w:type="dxa"/>
            <w:gridSpan w:val="4"/>
            <w:tcBorders>
              <w:left w:val="single" w:sz="4" w:space="0" w:color="auto"/>
              <w:bottom w:val="nil"/>
              <w:right w:val="single" w:sz="4" w:space="0" w:color="auto"/>
            </w:tcBorders>
            <w:vAlign w:val="center"/>
          </w:tcPr>
          <w:p w14:paraId="487ADB8A" w14:textId="6826990F" w:rsidR="008C16E2" w:rsidRPr="00CB1881" w:rsidRDefault="008C16E2" w:rsidP="00534093">
            <w:pPr>
              <w:pStyle w:val="TableFigures"/>
              <w:spacing w:after="100" w:line="276" w:lineRule="auto"/>
              <w:jc w:val="both"/>
              <w:rPr>
                <w:bCs/>
                <w:sz w:val="21"/>
                <w:szCs w:val="21"/>
              </w:rPr>
            </w:pPr>
            <w:r w:rsidRPr="00CB1881">
              <w:rPr>
                <w:sz w:val="21"/>
                <w:szCs w:val="21"/>
              </w:rPr>
              <w:t xml:space="preserve">Valuation increase driven by </w:t>
            </w:r>
            <w:r w:rsidR="00584223" w:rsidRPr="00CB1881">
              <w:rPr>
                <w:sz w:val="21"/>
                <w:szCs w:val="21"/>
              </w:rPr>
              <w:t>rental value growth</w:t>
            </w:r>
            <w:r w:rsidR="00584223">
              <w:rPr>
                <w:sz w:val="21"/>
                <w:szCs w:val="21"/>
              </w:rPr>
              <w:t>,</w:t>
            </w:r>
            <w:r w:rsidR="00584223" w:rsidRPr="00CB1881">
              <w:rPr>
                <w:sz w:val="21"/>
                <w:szCs w:val="21"/>
              </w:rPr>
              <w:t xml:space="preserve"> </w:t>
            </w:r>
            <w:r w:rsidRPr="00CB1881">
              <w:rPr>
                <w:sz w:val="21"/>
                <w:szCs w:val="21"/>
              </w:rPr>
              <w:t xml:space="preserve">yield compression and active asset management of the standing portfolio, supplemented by gains recognised on completed development and buildings under construction. </w:t>
            </w:r>
          </w:p>
        </w:tc>
      </w:tr>
      <w:tr w:rsidR="005F6D8A" w:rsidRPr="005F6D8A" w14:paraId="5D8E7525" w14:textId="77777777" w:rsidTr="005F6D8A">
        <w:tc>
          <w:tcPr>
            <w:tcW w:w="6232" w:type="dxa"/>
            <w:tcBorders>
              <w:top w:val="nil"/>
              <w:left w:val="single" w:sz="4" w:space="0" w:color="auto"/>
              <w:bottom w:val="nil"/>
            </w:tcBorders>
          </w:tcPr>
          <w:p w14:paraId="732A2DA2" w14:textId="77777777" w:rsidR="008C16E2" w:rsidRPr="00CB1881" w:rsidRDefault="008C16E2" w:rsidP="005F6D8A">
            <w:pPr>
              <w:spacing w:after="40" w:line="240" w:lineRule="auto"/>
              <w:ind w:left="147"/>
              <w:jc w:val="both"/>
              <w:rPr>
                <w:sz w:val="21"/>
                <w:szCs w:val="21"/>
              </w:rPr>
            </w:pPr>
            <w:r w:rsidRPr="00CB1881">
              <w:rPr>
                <w:sz w:val="21"/>
                <w:szCs w:val="21"/>
              </w:rPr>
              <w:t>Portfolio valuation uplift (%):</w:t>
            </w:r>
          </w:p>
        </w:tc>
        <w:tc>
          <w:tcPr>
            <w:tcW w:w="1134" w:type="dxa"/>
            <w:tcBorders>
              <w:top w:val="nil"/>
              <w:bottom w:val="nil"/>
              <w:right w:val="nil"/>
            </w:tcBorders>
          </w:tcPr>
          <w:p w14:paraId="342591BE" w14:textId="77777777" w:rsidR="008C16E2" w:rsidRPr="00CB1881" w:rsidRDefault="008C16E2" w:rsidP="005F6D8A">
            <w:pPr>
              <w:spacing w:after="40" w:line="240" w:lineRule="auto"/>
              <w:ind w:left="147"/>
              <w:jc w:val="both"/>
              <w:rPr>
                <w:sz w:val="21"/>
                <w:szCs w:val="21"/>
              </w:rPr>
            </w:pPr>
            <w:r w:rsidRPr="00CB1881">
              <w:rPr>
                <w:sz w:val="21"/>
                <w:szCs w:val="21"/>
              </w:rPr>
              <w:t>Group</w:t>
            </w:r>
          </w:p>
        </w:tc>
        <w:tc>
          <w:tcPr>
            <w:tcW w:w="1701" w:type="dxa"/>
            <w:shd w:val="clear" w:color="auto" w:fill="D9D9D9" w:themeFill="background1" w:themeFillShade="D9"/>
          </w:tcPr>
          <w:p w14:paraId="20550376" w14:textId="77777777" w:rsidR="008C16E2" w:rsidRPr="005F6D8A" w:rsidDel="00123CA1" w:rsidRDefault="008C16E2" w:rsidP="005F6D8A">
            <w:pPr>
              <w:pStyle w:val="TableFiguresBold0"/>
              <w:rPr>
                <w:sz w:val="21"/>
                <w:szCs w:val="21"/>
              </w:rPr>
            </w:pPr>
            <w:r w:rsidRPr="005F6D8A">
              <w:rPr>
                <w:sz w:val="21"/>
                <w:szCs w:val="21"/>
              </w:rPr>
              <w:t>28.8</w:t>
            </w:r>
          </w:p>
        </w:tc>
        <w:tc>
          <w:tcPr>
            <w:tcW w:w="1390" w:type="dxa"/>
            <w:tcBorders>
              <w:top w:val="nil"/>
              <w:left w:val="nil"/>
              <w:bottom w:val="nil"/>
              <w:right w:val="single" w:sz="4" w:space="0" w:color="auto"/>
            </w:tcBorders>
            <w:shd w:val="clear" w:color="auto" w:fill="auto"/>
          </w:tcPr>
          <w:p w14:paraId="78728CBF" w14:textId="77777777" w:rsidR="008C16E2" w:rsidRPr="00CB1881" w:rsidRDefault="008C16E2" w:rsidP="005F6D8A">
            <w:pPr>
              <w:pStyle w:val="TableFigures"/>
              <w:rPr>
                <w:bCs/>
                <w:sz w:val="21"/>
                <w:szCs w:val="21"/>
              </w:rPr>
            </w:pPr>
            <w:r w:rsidRPr="00CB1881">
              <w:rPr>
                <w:bCs/>
                <w:sz w:val="21"/>
                <w:szCs w:val="21"/>
              </w:rPr>
              <w:t>10.3</w:t>
            </w:r>
          </w:p>
        </w:tc>
      </w:tr>
      <w:tr w:rsidR="005F6D8A" w:rsidRPr="005F6D8A" w14:paraId="28EFA137" w14:textId="77777777" w:rsidTr="005F6D8A">
        <w:tc>
          <w:tcPr>
            <w:tcW w:w="6232" w:type="dxa"/>
            <w:tcBorders>
              <w:top w:val="nil"/>
              <w:left w:val="single" w:sz="4" w:space="0" w:color="auto"/>
              <w:bottom w:val="nil"/>
            </w:tcBorders>
            <w:hideMark/>
          </w:tcPr>
          <w:p w14:paraId="3D30ECBA" w14:textId="77777777" w:rsidR="008C16E2" w:rsidRPr="00CB1881" w:rsidRDefault="008C16E2" w:rsidP="005F6D8A">
            <w:pPr>
              <w:spacing w:after="40" w:line="240" w:lineRule="auto"/>
              <w:ind w:left="147"/>
              <w:jc w:val="both"/>
              <w:rPr>
                <w:rFonts w:cs="Arial"/>
                <w:sz w:val="21"/>
                <w:szCs w:val="21"/>
              </w:rPr>
            </w:pPr>
          </w:p>
        </w:tc>
        <w:tc>
          <w:tcPr>
            <w:tcW w:w="1134" w:type="dxa"/>
            <w:tcBorders>
              <w:top w:val="nil"/>
              <w:bottom w:val="nil"/>
              <w:right w:val="nil"/>
            </w:tcBorders>
          </w:tcPr>
          <w:p w14:paraId="18F65EB5" w14:textId="77777777" w:rsidR="008C16E2" w:rsidRPr="00CB1881" w:rsidRDefault="008C16E2" w:rsidP="005F6D8A">
            <w:pPr>
              <w:spacing w:after="40" w:line="240" w:lineRule="auto"/>
              <w:ind w:left="147"/>
              <w:jc w:val="both"/>
              <w:rPr>
                <w:rFonts w:cs="Arial"/>
                <w:sz w:val="21"/>
                <w:szCs w:val="21"/>
              </w:rPr>
            </w:pPr>
            <w:r w:rsidRPr="00CB1881">
              <w:rPr>
                <w:sz w:val="21"/>
                <w:szCs w:val="21"/>
              </w:rPr>
              <w:t>UK</w:t>
            </w:r>
          </w:p>
        </w:tc>
        <w:tc>
          <w:tcPr>
            <w:tcW w:w="1701" w:type="dxa"/>
            <w:shd w:val="clear" w:color="auto" w:fill="D9D9D9" w:themeFill="background1" w:themeFillShade="D9"/>
          </w:tcPr>
          <w:p w14:paraId="3E9C1601" w14:textId="77777777" w:rsidR="008C16E2" w:rsidRPr="005F6D8A" w:rsidRDefault="008C16E2" w:rsidP="005F6D8A">
            <w:pPr>
              <w:pStyle w:val="TableFiguresBold0"/>
              <w:rPr>
                <w:sz w:val="21"/>
                <w:szCs w:val="21"/>
              </w:rPr>
            </w:pPr>
            <w:r w:rsidRPr="005F6D8A">
              <w:rPr>
                <w:sz w:val="21"/>
                <w:szCs w:val="21"/>
              </w:rPr>
              <w:t>32.2</w:t>
            </w:r>
          </w:p>
        </w:tc>
        <w:tc>
          <w:tcPr>
            <w:tcW w:w="1390" w:type="dxa"/>
            <w:tcBorders>
              <w:top w:val="nil"/>
              <w:left w:val="nil"/>
              <w:bottom w:val="nil"/>
              <w:right w:val="single" w:sz="4" w:space="0" w:color="auto"/>
            </w:tcBorders>
            <w:shd w:val="clear" w:color="auto" w:fill="auto"/>
          </w:tcPr>
          <w:p w14:paraId="0504EC73" w14:textId="77777777" w:rsidR="008C16E2" w:rsidRPr="00CB1881" w:rsidRDefault="008C16E2" w:rsidP="005F6D8A">
            <w:pPr>
              <w:pStyle w:val="TableFigures"/>
              <w:rPr>
                <w:bCs/>
                <w:sz w:val="21"/>
                <w:szCs w:val="21"/>
              </w:rPr>
            </w:pPr>
            <w:r w:rsidRPr="00CB1881">
              <w:rPr>
                <w:bCs/>
                <w:sz w:val="21"/>
                <w:szCs w:val="21"/>
              </w:rPr>
              <w:t>9.6</w:t>
            </w:r>
          </w:p>
        </w:tc>
      </w:tr>
      <w:tr w:rsidR="005F6D8A" w:rsidRPr="005F6D8A" w14:paraId="46A836B8" w14:textId="77777777" w:rsidTr="005F6D8A">
        <w:tc>
          <w:tcPr>
            <w:tcW w:w="6232" w:type="dxa"/>
            <w:tcBorders>
              <w:top w:val="nil"/>
              <w:left w:val="single" w:sz="4" w:space="0" w:color="auto"/>
              <w:bottom w:val="nil"/>
            </w:tcBorders>
            <w:vAlign w:val="center"/>
          </w:tcPr>
          <w:p w14:paraId="0C087F9E" w14:textId="77777777" w:rsidR="008C16E2" w:rsidRPr="00CB1881" w:rsidRDefault="008C16E2" w:rsidP="005F6D8A">
            <w:pPr>
              <w:spacing w:after="40" w:line="240" w:lineRule="auto"/>
              <w:ind w:left="147"/>
              <w:jc w:val="both"/>
              <w:rPr>
                <w:rFonts w:cs="Arial"/>
                <w:sz w:val="21"/>
                <w:szCs w:val="21"/>
              </w:rPr>
            </w:pPr>
          </w:p>
        </w:tc>
        <w:tc>
          <w:tcPr>
            <w:tcW w:w="1134" w:type="dxa"/>
            <w:tcBorders>
              <w:top w:val="nil"/>
              <w:bottom w:val="nil"/>
              <w:right w:val="nil"/>
            </w:tcBorders>
          </w:tcPr>
          <w:p w14:paraId="3D149290" w14:textId="77777777" w:rsidR="008C16E2" w:rsidRPr="00CB1881" w:rsidRDefault="008C16E2" w:rsidP="005F6D8A">
            <w:pPr>
              <w:spacing w:after="40" w:line="240" w:lineRule="auto"/>
              <w:ind w:left="147"/>
              <w:jc w:val="both"/>
              <w:rPr>
                <w:rFonts w:cs="Arial"/>
                <w:sz w:val="21"/>
                <w:szCs w:val="21"/>
              </w:rPr>
            </w:pPr>
            <w:r w:rsidRPr="00CB1881">
              <w:rPr>
                <w:sz w:val="21"/>
                <w:szCs w:val="21"/>
              </w:rPr>
              <w:t>CE</w:t>
            </w:r>
          </w:p>
        </w:tc>
        <w:tc>
          <w:tcPr>
            <w:tcW w:w="1701" w:type="dxa"/>
            <w:shd w:val="clear" w:color="auto" w:fill="D9D9D9" w:themeFill="background1" w:themeFillShade="D9"/>
          </w:tcPr>
          <w:p w14:paraId="594760B3" w14:textId="77777777" w:rsidR="008C16E2" w:rsidRPr="005F6D8A" w:rsidRDefault="008C16E2" w:rsidP="005F6D8A">
            <w:pPr>
              <w:pStyle w:val="TableFiguresBold0"/>
              <w:rPr>
                <w:sz w:val="21"/>
                <w:szCs w:val="21"/>
              </w:rPr>
            </w:pPr>
            <w:r w:rsidRPr="005F6D8A">
              <w:rPr>
                <w:sz w:val="21"/>
                <w:szCs w:val="21"/>
              </w:rPr>
              <w:t>22.5</w:t>
            </w:r>
          </w:p>
        </w:tc>
        <w:tc>
          <w:tcPr>
            <w:tcW w:w="1390" w:type="dxa"/>
            <w:tcBorders>
              <w:top w:val="nil"/>
              <w:left w:val="nil"/>
              <w:bottom w:val="nil"/>
              <w:right w:val="single" w:sz="4" w:space="0" w:color="auto"/>
            </w:tcBorders>
            <w:shd w:val="clear" w:color="auto" w:fill="auto"/>
          </w:tcPr>
          <w:p w14:paraId="22558A52" w14:textId="77777777" w:rsidR="008C16E2" w:rsidRPr="00CB1881" w:rsidRDefault="008C16E2" w:rsidP="005F6D8A">
            <w:pPr>
              <w:pStyle w:val="TableFigures"/>
              <w:rPr>
                <w:bCs/>
                <w:sz w:val="21"/>
                <w:szCs w:val="21"/>
              </w:rPr>
            </w:pPr>
            <w:r w:rsidRPr="00CB1881">
              <w:rPr>
                <w:bCs/>
                <w:sz w:val="21"/>
                <w:szCs w:val="21"/>
              </w:rPr>
              <w:t>11.5</w:t>
            </w:r>
          </w:p>
        </w:tc>
      </w:tr>
      <w:tr w:rsidR="005F6D8A" w:rsidRPr="005F6D8A" w14:paraId="4736A4AC" w14:textId="77777777" w:rsidTr="005F6D8A">
        <w:tc>
          <w:tcPr>
            <w:tcW w:w="6232" w:type="dxa"/>
            <w:tcBorders>
              <w:top w:val="nil"/>
              <w:left w:val="single" w:sz="4" w:space="0" w:color="auto"/>
              <w:bottom w:val="nil"/>
            </w:tcBorders>
            <w:hideMark/>
          </w:tcPr>
          <w:p w14:paraId="3E47FCE5" w14:textId="77777777" w:rsidR="008C16E2" w:rsidRPr="00CB1881" w:rsidRDefault="008C16E2" w:rsidP="005F6D8A">
            <w:pPr>
              <w:spacing w:after="40" w:line="240" w:lineRule="auto"/>
              <w:ind w:left="147"/>
              <w:jc w:val="both"/>
              <w:rPr>
                <w:rFonts w:cs="Arial"/>
                <w:sz w:val="21"/>
                <w:szCs w:val="21"/>
              </w:rPr>
            </w:pPr>
            <w:r w:rsidRPr="00CB1881">
              <w:rPr>
                <w:sz w:val="21"/>
                <w:szCs w:val="21"/>
              </w:rPr>
              <w:t>Estimated rental value (ERV) growth (%)</w:t>
            </w:r>
          </w:p>
        </w:tc>
        <w:tc>
          <w:tcPr>
            <w:tcW w:w="1134" w:type="dxa"/>
            <w:tcBorders>
              <w:top w:val="nil"/>
              <w:bottom w:val="nil"/>
              <w:right w:val="nil"/>
            </w:tcBorders>
          </w:tcPr>
          <w:p w14:paraId="6ABDC50A" w14:textId="77777777" w:rsidR="008C16E2" w:rsidRPr="00CB1881" w:rsidRDefault="008C16E2" w:rsidP="005F6D8A">
            <w:pPr>
              <w:spacing w:after="40" w:line="240" w:lineRule="auto"/>
              <w:ind w:left="147"/>
              <w:jc w:val="both"/>
              <w:rPr>
                <w:rFonts w:cs="Arial"/>
                <w:sz w:val="21"/>
                <w:szCs w:val="21"/>
              </w:rPr>
            </w:pPr>
            <w:r w:rsidRPr="00CB1881">
              <w:rPr>
                <w:sz w:val="21"/>
                <w:szCs w:val="21"/>
              </w:rPr>
              <w:t>Group</w:t>
            </w:r>
          </w:p>
        </w:tc>
        <w:tc>
          <w:tcPr>
            <w:tcW w:w="1701" w:type="dxa"/>
            <w:shd w:val="clear" w:color="auto" w:fill="D9D9D9" w:themeFill="background1" w:themeFillShade="D9"/>
          </w:tcPr>
          <w:p w14:paraId="0D3D0766" w14:textId="77777777" w:rsidR="008C16E2" w:rsidRPr="005F6D8A" w:rsidRDefault="008C16E2" w:rsidP="005F6D8A">
            <w:pPr>
              <w:pStyle w:val="TableFiguresBold0"/>
              <w:rPr>
                <w:sz w:val="21"/>
                <w:szCs w:val="21"/>
              </w:rPr>
            </w:pPr>
            <w:r w:rsidRPr="005F6D8A">
              <w:rPr>
                <w:sz w:val="21"/>
                <w:szCs w:val="21"/>
              </w:rPr>
              <w:t>13.1</w:t>
            </w:r>
          </w:p>
        </w:tc>
        <w:tc>
          <w:tcPr>
            <w:tcW w:w="1390" w:type="dxa"/>
            <w:tcBorders>
              <w:top w:val="nil"/>
              <w:left w:val="nil"/>
              <w:bottom w:val="nil"/>
              <w:right w:val="single" w:sz="4" w:space="0" w:color="auto"/>
            </w:tcBorders>
            <w:shd w:val="clear" w:color="auto" w:fill="auto"/>
          </w:tcPr>
          <w:p w14:paraId="795183B5" w14:textId="77777777" w:rsidR="008C16E2" w:rsidRPr="00CB1881" w:rsidRDefault="008C16E2" w:rsidP="005F6D8A">
            <w:pPr>
              <w:pStyle w:val="TableFigures"/>
              <w:rPr>
                <w:bCs/>
                <w:sz w:val="21"/>
                <w:szCs w:val="21"/>
              </w:rPr>
            </w:pPr>
            <w:r w:rsidRPr="00CB1881">
              <w:rPr>
                <w:sz w:val="21"/>
                <w:szCs w:val="21"/>
              </w:rPr>
              <w:t>2.5</w:t>
            </w:r>
          </w:p>
        </w:tc>
      </w:tr>
      <w:tr w:rsidR="005F6D8A" w:rsidRPr="005F6D8A" w14:paraId="0E0E5406" w14:textId="77777777" w:rsidTr="005F6D8A">
        <w:tc>
          <w:tcPr>
            <w:tcW w:w="6232" w:type="dxa"/>
            <w:tcBorders>
              <w:top w:val="nil"/>
              <w:left w:val="single" w:sz="4" w:space="0" w:color="auto"/>
              <w:bottom w:val="nil"/>
            </w:tcBorders>
          </w:tcPr>
          <w:p w14:paraId="1658464F" w14:textId="77777777" w:rsidR="008C16E2" w:rsidRPr="00CB1881" w:rsidRDefault="008C16E2" w:rsidP="005F6D8A">
            <w:pPr>
              <w:spacing w:after="40" w:line="240" w:lineRule="auto"/>
              <w:ind w:left="147"/>
              <w:jc w:val="both"/>
              <w:rPr>
                <w:sz w:val="21"/>
                <w:szCs w:val="21"/>
              </w:rPr>
            </w:pPr>
          </w:p>
        </w:tc>
        <w:tc>
          <w:tcPr>
            <w:tcW w:w="1134" w:type="dxa"/>
            <w:tcBorders>
              <w:top w:val="nil"/>
              <w:bottom w:val="nil"/>
              <w:right w:val="nil"/>
            </w:tcBorders>
          </w:tcPr>
          <w:p w14:paraId="538E06C9" w14:textId="77777777" w:rsidR="008C16E2" w:rsidRPr="00CB1881" w:rsidRDefault="008C16E2" w:rsidP="005F6D8A">
            <w:pPr>
              <w:spacing w:after="40" w:line="240" w:lineRule="auto"/>
              <w:ind w:left="147"/>
              <w:jc w:val="both"/>
              <w:rPr>
                <w:sz w:val="21"/>
                <w:szCs w:val="21"/>
              </w:rPr>
            </w:pPr>
            <w:r w:rsidRPr="00CB1881">
              <w:rPr>
                <w:sz w:val="21"/>
                <w:szCs w:val="21"/>
              </w:rPr>
              <w:t>UK</w:t>
            </w:r>
          </w:p>
        </w:tc>
        <w:tc>
          <w:tcPr>
            <w:tcW w:w="1701" w:type="dxa"/>
            <w:shd w:val="clear" w:color="auto" w:fill="D9D9D9" w:themeFill="background1" w:themeFillShade="D9"/>
          </w:tcPr>
          <w:p w14:paraId="0AA72ECE" w14:textId="77777777" w:rsidR="008C16E2" w:rsidRPr="005F6D8A" w:rsidRDefault="008C16E2" w:rsidP="005F6D8A">
            <w:pPr>
              <w:pStyle w:val="TableFiguresBold0"/>
              <w:rPr>
                <w:sz w:val="21"/>
                <w:szCs w:val="21"/>
              </w:rPr>
            </w:pPr>
            <w:r w:rsidRPr="005F6D8A">
              <w:rPr>
                <w:sz w:val="21"/>
                <w:szCs w:val="21"/>
              </w:rPr>
              <w:t>18.8</w:t>
            </w:r>
          </w:p>
        </w:tc>
        <w:tc>
          <w:tcPr>
            <w:tcW w:w="1390" w:type="dxa"/>
            <w:tcBorders>
              <w:top w:val="nil"/>
              <w:left w:val="nil"/>
              <w:bottom w:val="nil"/>
              <w:right w:val="single" w:sz="4" w:space="0" w:color="auto"/>
            </w:tcBorders>
            <w:shd w:val="clear" w:color="auto" w:fill="auto"/>
          </w:tcPr>
          <w:p w14:paraId="4ABB49E3" w14:textId="77777777" w:rsidR="008C16E2" w:rsidRPr="00CB1881" w:rsidRDefault="008C16E2" w:rsidP="005F6D8A">
            <w:pPr>
              <w:pStyle w:val="TableFigures"/>
              <w:rPr>
                <w:sz w:val="21"/>
                <w:szCs w:val="21"/>
              </w:rPr>
            </w:pPr>
            <w:r w:rsidRPr="00CB1881">
              <w:rPr>
                <w:sz w:val="21"/>
                <w:szCs w:val="21"/>
              </w:rPr>
              <w:t>3.1</w:t>
            </w:r>
          </w:p>
        </w:tc>
      </w:tr>
      <w:tr w:rsidR="005F6D8A" w:rsidRPr="005F6D8A" w14:paraId="0D21DB4E" w14:textId="77777777" w:rsidTr="005F6D8A">
        <w:tc>
          <w:tcPr>
            <w:tcW w:w="6232" w:type="dxa"/>
            <w:tcBorders>
              <w:top w:val="nil"/>
              <w:left w:val="single" w:sz="4" w:space="0" w:color="auto"/>
              <w:bottom w:val="nil"/>
            </w:tcBorders>
            <w:vAlign w:val="center"/>
            <w:hideMark/>
          </w:tcPr>
          <w:p w14:paraId="56BA1364" w14:textId="77777777" w:rsidR="008C16E2" w:rsidRPr="00CB1881" w:rsidRDefault="008C16E2" w:rsidP="005F6D8A">
            <w:pPr>
              <w:spacing w:after="40" w:line="240" w:lineRule="auto"/>
              <w:ind w:left="147"/>
              <w:jc w:val="both"/>
              <w:rPr>
                <w:rFonts w:cs="Arial"/>
                <w:sz w:val="21"/>
                <w:szCs w:val="21"/>
              </w:rPr>
            </w:pPr>
          </w:p>
        </w:tc>
        <w:tc>
          <w:tcPr>
            <w:tcW w:w="1134" w:type="dxa"/>
            <w:tcBorders>
              <w:top w:val="nil"/>
              <w:bottom w:val="nil"/>
              <w:right w:val="nil"/>
            </w:tcBorders>
          </w:tcPr>
          <w:p w14:paraId="3B86B96C" w14:textId="77777777" w:rsidR="008C16E2" w:rsidRPr="00CB1881" w:rsidRDefault="008C16E2" w:rsidP="005F6D8A">
            <w:pPr>
              <w:spacing w:after="40" w:line="240" w:lineRule="auto"/>
              <w:ind w:left="147"/>
              <w:jc w:val="both"/>
              <w:rPr>
                <w:rFonts w:cs="Arial"/>
                <w:sz w:val="21"/>
                <w:szCs w:val="21"/>
              </w:rPr>
            </w:pPr>
            <w:r w:rsidRPr="00CB1881">
              <w:rPr>
                <w:sz w:val="21"/>
                <w:szCs w:val="21"/>
              </w:rPr>
              <w:t>CE</w:t>
            </w:r>
          </w:p>
        </w:tc>
        <w:tc>
          <w:tcPr>
            <w:tcW w:w="1701" w:type="dxa"/>
            <w:shd w:val="clear" w:color="auto" w:fill="D9D9D9" w:themeFill="background1" w:themeFillShade="D9"/>
          </w:tcPr>
          <w:p w14:paraId="3A8432C3" w14:textId="77777777" w:rsidR="008C16E2" w:rsidRPr="005F6D8A" w:rsidRDefault="008C16E2" w:rsidP="005F6D8A">
            <w:pPr>
              <w:pStyle w:val="TableFiguresBold0"/>
              <w:rPr>
                <w:sz w:val="21"/>
                <w:szCs w:val="21"/>
              </w:rPr>
            </w:pPr>
            <w:r w:rsidRPr="005F6D8A">
              <w:rPr>
                <w:sz w:val="21"/>
                <w:szCs w:val="21"/>
              </w:rPr>
              <w:t>4.1</w:t>
            </w:r>
          </w:p>
        </w:tc>
        <w:tc>
          <w:tcPr>
            <w:tcW w:w="1390" w:type="dxa"/>
            <w:tcBorders>
              <w:top w:val="nil"/>
              <w:left w:val="nil"/>
              <w:bottom w:val="nil"/>
              <w:right w:val="single" w:sz="4" w:space="0" w:color="auto"/>
            </w:tcBorders>
            <w:shd w:val="clear" w:color="auto" w:fill="auto"/>
          </w:tcPr>
          <w:p w14:paraId="7C9C2419" w14:textId="77777777" w:rsidR="008C16E2" w:rsidRPr="00CB1881" w:rsidRDefault="008C16E2" w:rsidP="005F6D8A">
            <w:pPr>
              <w:pStyle w:val="TableFigures"/>
              <w:rPr>
                <w:bCs/>
                <w:sz w:val="21"/>
                <w:szCs w:val="21"/>
              </w:rPr>
            </w:pPr>
            <w:r w:rsidRPr="00CB1881">
              <w:rPr>
                <w:sz w:val="21"/>
                <w:szCs w:val="21"/>
              </w:rPr>
              <w:t>1.5</w:t>
            </w:r>
          </w:p>
        </w:tc>
      </w:tr>
      <w:tr w:rsidR="005F6D8A" w:rsidRPr="005F6D8A" w14:paraId="464B583C" w14:textId="77777777" w:rsidTr="005F6D8A">
        <w:tc>
          <w:tcPr>
            <w:tcW w:w="10457" w:type="dxa"/>
            <w:gridSpan w:val="4"/>
            <w:tcBorders>
              <w:left w:val="single" w:sz="4" w:space="0" w:color="auto"/>
              <w:bottom w:val="nil"/>
              <w:right w:val="single" w:sz="4" w:space="0" w:color="auto"/>
            </w:tcBorders>
            <w:vAlign w:val="center"/>
          </w:tcPr>
          <w:p w14:paraId="66E6FB80" w14:textId="7B9BA821" w:rsidR="008C16E2" w:rsidRPr="00534093" w:rsidRDefault="008C16E2" w:rsidP="005F6D8A">
            <w:pPr>
              <w:pStyle w:val="TableFigures"/>
              <w:spacing w:before="100" w:after="100" w:line="276" w:lineRule="auto"/>
              <w:jc w:val="left"/>
              <w:rPr>
                <w:rFonts w:cs="Arial"/>
                <w:spacing w:val="0"/>
                <w:sz w:val="22"/>
                <w:szCs w:val="22"/>
              </w:rPr>
            </w:pPr>
            <w:r w:rsidRPr="00534093">
              <w:rPr>
                <w:rFonts w:cs="Arial"/>
                <w:b/>
                <w:spacing w:val="0"/>
                <w:sz w:val="22"/>
                <w:szCs w:val="22"/>
              </w:rPr>
              <w:t xml:space="preserve">RECORD RENTAL GROWTH FROM ACTIVE ASSET MANAGEMENT (see page </w:t>
            </w:r>
            <w:r w:rsidR="00C63CA4">
              <w:rPr>
                <w:rFonts w:cs="Arial"/>
                <w:b/>
                <w:spacing w:val="0"/>
                <w:sz w:val="22"/>
                <w:szCs w:val="22"/>
              </w:rPr>
              <w:t>11</w:t>
            </w:r>
            <w:r w:rsidRPr="00534093">
              <w:rPr>
                <w:rFonts w:cs="Arial"/>
                <w:b/>
                <w:spacing w:val="0"/>
                <w:sz w:val="22"/>
                <w:szCs w:val="22"/>
              </w:rPr>
              <w:t xml:space="preserve">): </w:t>
            </w:r>
          </w:p>
        </w:tc>
      </w:tr>
      <w:tr w:rsidR="005F6D8A" w:rsidRPr="005F6D8A" w14:paraId="2666D12F" w14:textId="77777777" w:rsidTr="005F6D8A">
        <w:tc>
          <w:tcPr>
            <w:tcW w:w="10457" w:type="dxa"/>
            <w:gridSpan w:val="4"/>
            <w:tcBorders>
              <w:left w:val="single" w:sz="4" w:space="0" w:color="auto"/>
              <w:bottom w:val="nil"/>
              <w:right w:val="single" w:sz="4" w:space="0" w:color="auto"/>
            </w:tcBorders>
          </w:tcPr>
          <w:p w14:paraId="5384BD81" w14:textId="1B506A41" w:rsidR="008C16E2" w:rsidRPr="00CB1881" w:rsidRDefault="008C16E2" w:rsidP="00534093">
            <w:pPr>
              <w:pStyle w:val="TableFigures"/>
              <w:spacing w:after="100" w:line="276" w:lineRule="auto"/>
              <w:jc w:val="both"/>
              <w:rPr>
                <w:rFonts w:cs="Arial"/>
                <w:spacing w:val="0"/>
                <w:sz w:val="21"/>
                <w:szCs w:val="21"/>
              </w:rPr>
            </w:pPr>
            <w:r w:rsidRPr="00CB1881">
              <w:rPr>
                <w:sz w:val="21"/>
                <w:szCs w:val="21"/>
              </w:rPr>
              <w:t xml:space="preserve">Operational performance captured significant new rent, including leases signed with </w:t>
            </w:r>
            <w:r w:rsidR="00CD4D67" w:rsidRPr="00CB1881">
              <w:rPr>
                <w:sz w:val="21"/>
                <w:szCs w:val="21"/>
              </w:rPr>
              <w:t xml:space="preserve">existing and new </w:t>
            </w:r>
            <w:r w:rsidRPr="00CB1881">
              <w:rPr>
                <w:sz w:val="21"/>
                <w:szCs w:val="21"/>
              </w:rPr>
              <w:t>customers from</w:t>
            </w:r>
            <w:r w:rsidR="00CD4D67" w:rsidRPr="00CB1881">
              <w:rPr>
                <w:sz w:val="21"/>
                <w:szCs w:val="21"/>
              </w:rPr>
              <w:t xml:space="preserve"> a wide range of sectors</w:t>
            </w:r>
            <w:r w:rsidRPr="00CB1881">
              <w:rPr>
                <w:sz w:val="21"/>
                <w:szCs w:val="21"/>
              </w:rPr>
              <w:t xml:space="preserve">, highlighting the versatility of our urban portfolio. </w:t>
            </w:r>
          </w:p>
        </w:tc>
      </w:tr>
      <w:tr w:rsidR="005F6D8A" w:rsidRPr="005F6D8A" w14:paraId="4AEAA38C" w14:textId="77777777" w:rsidTr="005F6D8A">
        <w:tc>
          <w:tcPr>
            <w:tcW w:w="7366" w:type="dxa"/>
            <w:gridSpan w:val="2"/>
            <w:tcBorders>
              <w:left w:val="single" w:sz="4" w:space="0" w:color="auto"/>
              <w:bottom w:val="nil"/>
            </w:tcBorders>
          </w:tcPr>
          <w:p w14:paraId="5173D150" w14:textId="77777777" w:rsidR="008C16E2" w:rsidRPr="00CB1881" w:rsidRDefault="008C16E2" w:rsidP="005F6D8A">
            <w:pPr>
              <w:spacing w:after="40" w:line="240" w:lineRule="auto"/>
              <w:ind w:left="147"/>
              <w:jc w:val="both"/>
              <w:rPr>
                <w:rFonts w:cs="Arial"/>
                <w:sz w:val="21"/>
                <w:szCs w:val="21"/>
              </w:rPr>
            </w:pPr>
            <w:r w:rsidRPr="00CB1881">
              <w:rPr>
                <w:rFonts w:cs="Arial"/>
                <w:spacing w:val="0"/>
                <w:sz w:val="21"/>
                <w:szCs w:val="21"/>
              </w:rPr>
              <w:t>Total new rent signed during the period (£m)</w:t>
            </w:r>
          </w:p>
        </w:tc>
        <w:tc>
          <w:tcPr>
            <w:tcW w:w="1701" w:type="dxa"/>
            <w:tcBorders>
              <w:left w:val="nil"/>
              <w:bottom w:val="nil"/>
              <w:right w:val="nil"/>
            </w:tcBorders>
            <w:shd w:val="clear" w:color="auto" w:fill="D9D9D9" w:themeFill="background1" w:themeFillShade="D9"/>
          </w:tcPr>
          <w:p w14:paraId="6331D0B6" w14:textId="77777777" w:rsidR="008C16E2" w:rsidRPr="005F6D8A" w:rsidRDefault="008C16E2" w:rsidP="005F6D8A">
            <w:pPr>
              <w:pStyle w:val="TableFiguresBold0"/>
              <w:rPr>
                <w:sz w:val="21"/>
                <w:szCs w:val="21"/>
              </w:rPr>
            </w:pPr>
            <w:r w:rsidRPr="005F6D8A">
              <w:rPr>
                <w:sz w:val="21"/>
                <w:szCs w:val="21"/>
              </w:rPr>
              <w:t>95</w:t>
            </w:r>
          </w:p>
        </w:tc>
        <w:tc>
          <w:tcPr>
            <w:tcW w:w="1390" w:type="dxa"/>
            <w:tcBorders>
              <w:left w:val="nil"/>
              <w:bottom w:val="nil"/>
              <w:right w:val="single" w:sz="4" w:space="0" w:color="auto"/>
            </w:tcBorders>
            <w:shd w:val="clear" w:color="auto" w:fill="auto"/>
          </w:tcPr>
          <w:p w14:paraId="0920D07B" w14:textId="77777777" w:rsidR="008C16E2" w:rsidRPr="00CB1881" w:rsidRDefault="008C16E2" w:rsidP="005F6D8A">
            <w:pPr>
              <w:pStyle w:val="TableFigures"/>
              <w:rPr>
                <w:bCs/>
                <w:sz w:val="21"/>
                <w:szCs w:val="21"/>
              </w:rPr>
            </w:pPr>
            <w:r w:rsidRPr="00CB1881">
              <w:rPr>
                <w:rFonts w:cs="Arial"/>
                <w:spacing w:val="0"/>
                <w:sz w:val="21"/>
                <w:szCs w:val="21"/>
              </w:rPr>
              <w:t>78</w:t>
            </w:r>
          </w:p>
        </w:tc>
      </w:tr>
      <w:tr w:rsidR="005F6D8A" w:rsidRPr="005F6D8A" w14:paraId="6E720A34" w14:textId="77777777" w:rsidTr="005F6D8A">
        <w:tc>
          <w:tcPr>
            <w:tcW w:w="6232" w:type="dxa"/>
            <w:tcBorders>
              <w:top w:val="nil"/>
              <w:left w:val="single" w:sz="4" w:space="0" w:color="auto"/>
            </w:tcBorders>
          </w:tcPr>
          <w:p w14:paraId="269119C9" w14:textId="77777777" w:rsidR="008C16E2" w:rsidRPr="00CB1881" w:rsidRDefault="008C16E2" w:rsidP="005F6D8A">
            <w:pPr>
              <w:spacing w:after="40" w:line="240" w:lineRule="auto"/>
              <w:ind w:left="147"/>
              <w:jc w:val="both"/>
              <w:rPr>
                <w:rFonts w:cs="Arial"/>
                <w:sz w:val="21"/>
                <w:szCs w:val="21"/>
              </w:rPr>
            </w:pPr>
            <w:r w:rsidRPr="00CB1881">
              <w:rPr>
                <w:rFonts w:cs="Arial"/>
                <w:spacing w:val="0"/>
                <w:sz w:val="21"/>
                <w:szCs w:val="21"/>
              </w:rPr>
              <w:t>Pre-lets signed during the period (£m)</w:t>
            </w:r>
          </w:p>
        </w:tc>
        <w:tc>
          <w:tcPr>
            <w:tcW w:w="1134" w:type="dxa"/>
            <w:tcBorders>
              <w:top w:val="nil"/>
              <w:right w:val="nil"/>
            </w:tcBorders>
          </w:tcPr>
          <w:p w14:paraId="27970B63" w14:textId="77777777" w:rsidR="008C16E2" w:rsidRPr="00CB1881" w:rsidRDefault="008C16E2" w:rsidP="005F6D8A">
            <w:pPr>
              <w:spacing w:after="40" w:line="240" w:lineRule="auto"/>
              <w:ind w:left="147"/>
              <w:jc w:val="both"/>
              <w:rPr>
                <w:rFonts w:cs="Arial"/>
                <w:sz w:val="21"/>
                <w:szCs w:val="21"/>
              </w:rPr>
            </w:pPr>
          </w:p>
        </w:tc>
        <w:tc>
          <w:tcPr>
            <w:tcW w:w="1701" w:type="dxa"/>
            <w:shd w:val="clear" w:color="auto" w:fill="D9D9D9" w:themeFill="background1" w:themeFillShade="D9"/>
          </w:tcPr>
          <w:p w14:paraId="689CA6DC" w14:textId="77777777" w:rsidR="008C16E2" w:rsidRPr="005F6D8A" w:rsidRDefault="008C16E2" w:rsidP="005F6D8A">
            <w:pPr>
              <w:pStyle w:val="TableFiguresBold0"/>
              <w:rPr>
                <w:sz w:val="21"/>
                <w:szCs w:val="21"/>
              </w:rPr>
            </w:pPr>
            <w:r w:rsidRPr="005F6D8A">
              <w:rPr>
                <w:sz w:val="21"/>
                <w:szCs w:val="21"/>
              </w:rPr>
              <w:t>49</w:t>
            </w:r>
          </w:p>
        </w:tc>
        <w:tc>
          <w:tcPr>
            <w:tcW w:w="1390" w:type="dxa"/>
            <w:tcBorders>
              <w:top w:val="nil"/>
              <w:left w:val="nil"/>
              <w:bottom w:val="nil"/>
              <w:right w:val="single" w:sz="4" w:space="0" w:color="auto"/>
            </w:tcBorders>
            <w:shd w:val="clear" w:color="auto" w:fill="auto"/>
          </w:tcPr>
          <w:p w14:paraId="5CBA3437" w14:textId="77777777" w:rsidR="008C16E2" w:rsidRPr="00CB1881" w:rsidRDefault="008C16E2" w:rsidP="005F6D8A">
            <w:pPr>
              <w:pStyle w:val="TableFigures"/>
              <w:rPr>
                <w:bCs/>
                <w:sz w:val="21"/>
                <w:szCs w:val="21"/>
              </w:rPr>
            </w:pPr>
            <w:r w:rsidRPr="00CB1881">
              <w:rPr>
                <w:rFonts w:cs="Arial"/>
                <w:spacing w:val="0"/>
                <w:sz w:val="21"/>
                <w:szCs w:val="21"/>
              </w:rPr>
              <w:t>41</w:t>
            </w:r>
          </w:p>
        </w:tc>
      </w:tr>
      <w:tr w:rsidR="005F6D8A" w:rsidRPr="005F6D8A" w14:paraId="1FD71CDD" w14:textId="77777777" w:rsidTr="005F6D8A">
        <w:tc>
          <w:tcPr>
            <w:tcW w:w="6232" w:type="dxa"/>
            <w:tcBorders>
              <w:top w:val="nil"/>
              <w:left w:val="single" w:sz="4" w:space="0" w:color="auto"/>
              <w:bottom w:val="nil"/>
            </w:tcBorders>
          </w:tcPr>
          <w:p w14:paraId="27FE6022" w14:textId="77777777" w:rsidR="008C16E2" w:rsidRPr="00CB1881" w:rsidRDefault="008C16E2" w:rsidP="005F6D8A">
            <w:pPr>
              <w:spacing w:after="40" w:line="240" w:lineRule="auto"/>
              <w:ind w:left="147"/>
              <w:jc w:val="both"/>
              <w:rPr>
                <w:rFonts w:cs="Arial"/>
                <w:sz w:val="21"/>
                <w:szCs w:val="21"/>
              </w:rPr>
            </w:pPr>
            <w:r w:rsidRPr="00CB1881">
              <w:rPr>
                <w:rFonts w:cs="Arial"/>
                <w:spacing w:val="0"/>
                <w:sz w:val="21"/>
                <w:szCs w:val="21"/>
              </w:rPr>
              <w:t xml:space="preserve">Like-for-like net rental income growth (%):                       </w:t>
            </w:r>
          </w:p>
        </w:tc>
        <w:tc>
          <w:tcPr>
            <w:tcW w:w="1134" w:type="dxa"/>
            <w:tcBorders>
              <w:top w:val="nil"/>
              <w:bottom w:val="nil"/>
            </w:tcBorders>
          </w:tcPr>
          <w:p w14:paraId="64BAB9E9" w14:textId="77777777" w:rsidR="008C16E2" w:rsidRPr="00CB1881" w:rsidRDefault="008C16E2" w:rsidP="005F6D8A">
            <w:pPr>
              <w:spacing w:after="40" w:line="240" w:lineRule="auto"/>
              <w:ind w:left="140"/>
              <w:jc w:val="both"/>
              <w:rPr>
                <w:rFonts w:cs="Arial"/>
                <w:sz w:val="21"/>
                <w:szCs w:val="21"/>
              </w:rPr>
            </w:pPr>
            <w:r w:rsidRPr="00CB1881">
              <w:rPr>
                <w:rFonts w:cs="Arial"/>
                <w:spacing w:val="0"/>
                <w:sz w:val="21"/>
                <w:szCs w:val="21"/>
              </w:rPr>
              <w:t>Group</w:t>
            </w:r>
          </w:p>
        </w:tc>
        <w:tc>
          <w:tcPr>
            <w:tcW w:w="1701" w:type="dxa"/>
            <w:shd w:val="clear" w:color="auto" w:fill="D9D9D9" w:themeFill="background1" w:themeFillShade="D9"/>
          </w:tcPr>
          <w:p w14:paraId="6A7B1D5F" w14:textId="77777777" w:rsidR="008C16E2" w:rsidRPr="005F6D8A" w:rsidRDefault="008C16E2" w:rsidP="005F6D8A">
            <w:pPr>
              <w:pStyle w:val="TableFiguresBold0"/>
              <w:rPr>
                <w:sz w:val="21"/>
                <w:szCs w:val="21"/>
              </w:rPr>
            </w:pPr>
            <w:r w:rsidRPr="005F6D8A">
              <w:rPr>
                <w:sz w:val="21"/>
                <w:szCs w:val="21"/>
              </w:rPr>
              <w:t>4.9</w:t>
            </w:r>
          </w:p>
        </w:tc>
        <w:tc>
          <w:tcPr>
            <w:tcW w:w="1390" w:type="dxa"/>
            <w:tcBorders>
              <w:top w:val="nil"/>
              <w:left w:val="nil"/>
              <w:bottom w:val="nil"/>
              <w:right w:val="single" w:sz="4" w:space="0" w:color="auto"/>
            </w:tcBorders>
            <w:shd w:val="clear" w:color="auto" w:fill="auto"/>
          </w:tcPr>
          <w:p w14:paraId="1022BDC6" w14:textId="77777777" w:rsidR="008C16E2" w:rsidRPr="00CB1881" w:rsidRDefault="008C16E2" w:rsidP="005F6D8A">
            <w:pPr>
              <w:pStyle w:val="TableFigures"/>
              <w:rPr>
                <w:bCs/>
                <w:sz w:val="21"/>
                <w:szCs w:val="21"/>
              </w:rPr>
            </w:pPr>
            <w:r w:rsidRPr="00CB1881">
              <w:rPr>
                <w:rFonts w:cs="Arial"/>
                <w:spacing w:val="0"/>
                <w:sz w:val="21"/>
                <w:szCs w:val="21"/>
              </w:rPr>
              <w:t>2.1</w:t>
            </w:r>
          </w:p>
        </w:tc>
      </w:tr>
      <w:tr w:rsidR="005F6D8A" w:rsidRPr="005F6D8A" w14:paraId="155B569E" w14:textId="77777777" w:rsidTr="005F6D8A">
        <w:tc>
          <w:tcPr>
            <w:tcW w:w="6232" w:type="dxa"/>
            <w:tcBorders>
              <w:top w:val="nil"/>
              <w:left w:val="single" w:sz="4" w:space="0" w:color="auto"/>
              <w:bottom w:val="nil"/>
            </w:tcBorders>
          </w:tcPr>
          <w:p w14:paraId="1A7B0C26" w14:textId="77777777" w:rsidR="008C16E2" w:rsidRPr="00CB1881" w:rsidRDefault="008C16E2" w:rsidP="005F6D8A">
            <w:pPr>
              <w:spacing w:after="40" w:line="240" w:lineRule="auto"/>
              <w:ind w:left="147"/>
              <w:jc w:val="both"/>
              <w:rPr>
                <w:rFonts w:cs="Arial"/>
                <w:sz w:val="21"/>
                <w:szCs w:val="21"/>
              </w:rPr>
            </w:pPr>
          </w:p>
        </w:tc>
        <w:tc>
          <w:tcPr>
            <w:tcW w:w="1134" w:type="dxa"/>
            <w:tcBorders>
              <w:top w:val="nil"/>
              <w:bottom w:val="nil"/>
              <w:right w:val="nil"/>
            </w:tcBorders>
          </w:tcPr>
          <w:p w14:paraId="7D8DDAAD" w14:textId="77777777" w:rsidR="008C16E2" w:rsidRPr="00CB1881" w:rsidRDefault="008C16E2" w:rsidP="005F6D8A">
            <w:pPr>
              <w:spacing w:after="40" w:line="240" w:lineRule="auto"/>
              <w:ind w:left="140"/>
              <w:jc w:val="both"/>
              <w:rPr>
                <w:rFonts w:cs="Arial"/>
                <w:sz w:val="21"/>
                <w:szCs w:val="21"/>
              </w:rPr>
            </w:pPr>
            <w:r w:rsidRPr="00CB1881">
              <w:rPr>
                <w:rFonts w:cs="Arial"/>
                <w:spacing w:val="0"/>
                <w:sz w:val="21"/>
                <w:szCs w:val="21"/>
              </w:rPr>
              <w:t>UK</w:t>
            </w:r>
          </w:p>
        </w:tc>
        <w:tc>
          <w:tcPr>
            <w:tcW w:w="1701" w:type="dxa"/>
            <w:shd w:val="clear" w:color="auto" w:fill="D9D9D9" w:themeFill="background1" w:themeFillShade="D9"/>
          </w:tcPr>
          <w:p w14:paraId="460B2CFD" w14:textId="77777777" w:rsidR="008C16E2" w:rsidRPr="005F6D8A" w:rsidRDefault="008C16E2" w:rsidP="005F6D8A">
            <w:pPr>
              <w:pStyle w:val="TableFiguresBold0"/>
              <w:rPr>
                <w:sz w:val="21"/>
                <w:szCs w:val="21"/>
              </w:rPr>
            </w:pPr>
            <w:r w:rsidRPr="005F6D8A">
              <w:rPr>
                <w:sz w:val="21"/>
                <w:szCs w:val="21"/>
              </w:rPr>
              <w:t>5.6</w:t>
            </w:r>
          </w:p>
        </w:tc>
        <w:tc>
          <w:tcPr>
            <w:tcW w:w="1390" w:type="dxa"/>
            <w:tcBorders>
              <w:top w:val="nil"/>
              <w:left w:val="nil"/>
              <w:bottom w:val="nil"/>
              <w:right w:val="single" w:sz="4" w:space="0" w:color="auto"/>
            </w:tcBorders>
            <w:shd w:val="clear" w:color="auto" w:fill="auto"/>
          </w:tcPr>
          <w:p w14:paraId="35C9AF6A" w14:textId="77777777" w:rsidR="008C16E2" w:rsidRPr="00CB1881" w:rsidRDefault="008C16E2" w:rsidP="005F6D8A">
            <w:pPr>
              <w:pStyle w:val="TableFigures"/>
              <w:rPr>
                <w:bCs/>
                <w:sz w:val="21"/>
                <w:szCs w:val="21"/>
              </w:rPr>
            </w:pPr>
            <w:r w:rsidRPr="00CB1881">
              <w:rPr>
                <w:rFonts w:cs="Arial"/>
                <w:spacing w:val="0"/>
                <w:sz w:val="21"/>
                <w:szCs w:val="21"/>
              </w:rPr>
              <w:t>0.9</w:t>
            </w:r>
          </w:p>
        </w:tc>
      </w:tr>
      <w:tr w:rsidR="005F6D8A" w:rsidRPr="005F6D8A" w14:paraId="03F3F41C" w14:textId="77777777" w:rsidTr="005F6D8A">
        <w:tc>
          <w:tcPr>
            <w:tcW w:w="6232" w:type="dxa"/>
            <w:tcBorders>
              <w:top w:val="nil"/>
              <w:left w:val="single" w:sz="4" w:space="0" w:color="auto"/>
              <w:bottom w:val="nil"/>
            </w:tcBorders>
          </w:tcPr>
          <w:p w14:paraId="6C16AE75" w14:textId="77777777" w:rsidR="008C16E2" w:rsidRPr="00CB1881" w:rsidRDefault="008C16E2" w:rsidP="005F6D8A">
            <w:pPr>
              <w:spacing w:after="40" w:line="240" w:lineRule="auto"/>
              <w:ind w:left="147"/>
              <w:jc w:val="both"/>
              <w:rPr>
                <w:rFonts w:cs="Arial"/>
                <w:sz w:val="21"/>
                <w:szCs w:val="21"/>
              </w:rPr>
            </w:pPr>
          </w:p>
        </w:tc>
        <w:tc>
          <w:tcPr>
            <w:tcW w:w="1134" w:type="dxa"/>
            <w:tcBorders>
              <w:top w:val="nil"/>
              <w:bottom w:val="nil"/>
              <w:right w:val="nil"/>
            </w:tcBorders>
          </w:tcPr>
          <w:p w14:paraId="3D2FAE26" w14:textId="77777777" w:rsidR="008C16E2" w:rsidRPr="00CB1881" w:rsidRDefault="008C16E2" w:rsidP="005F6D8A">
            <w:pPr>
              <w:spacing w:after="40" w:line="240" w:lineRule="auto"/>
              <w:ind w:left="140"/>
              <w:jc w:val="both"/>
              <w:rPr>
                <w:rFonts w:cs="Arial"/>
                <w:sz w:val="21"/>
                <w:szCs w:val="21"/>
              </w:rPr>
            </w:pPr>
            <w:r w:rsidRPr="00CB1881">
              <w:rPr>
                <w:rFonts w:cs="Arial"/>
                <w:spacing w:val="0"/>
                <w:sz w:val="21"/>
                <w:szCs w:val="21"/>
              </w:rPr>
              <w:t>CE</w:t>
            </w:r>
          </w:p>
        </w:tc>
        <w:tc>
          <w:tcPr>
            <w:tcW w:w="1701" w:type="dxa"/>
            <w:shd w:val="clear" w:color="auto" w:fill="D9D9D9" w:themeFill="background1" w:themeFillShade="D9"/>
          </w:tcPr>
          <w:p w14:paraId="6938B428" w14:textId="77777777" w:rsidR="008C16E2" w:rsidRPr="005F6D8A" w:rsidRDefault="008C16E2" w:rsidP="005F6D8A">
            <w:pPr>
              <w:pStyle w:val="TableFiguresBold0"/>
              <w:rPr>
                <w:sz w:val="21"/>
                <w:szCs w:val="21"/>
              </w:rPr>
            </w:pPr>
            <w:r w:rsidRPr="005F6D8A">
              <w:rPr>
                <w:sz w:val="21"/>
                <w:szCs w:val="21"/>
              </w:rPr>
              <w:t>3.6</w:t>
            </w:r>
          </w:p>
        </w:tc>
        <w:tc>
          <w:tcPr>
            <w:tcW w:w="1390" w:type="dxa"/>
            <w:tcBorders>
              <w:top w:val="nil"/>
              <w:left w:val="nil"/>
              <w:bottom w:val="nil"/>
              <w:right w:val="single" w:sz="4" w:space="0" w:color="auto"/>
            </w:tcBorders>
            <w:shd w:val="clear" w:color="auto" w:fill="auto"/>
          </w:tcPr>
          <w:p w14:paraId="3F643FE4" w14:textId="77777777" w:rsidR="008C16E2" w:rsidRPr="00CB1881" w:rsidRDefault="008C16E2" w:rsidP="005F6D8A">
            <w:pPr>
              <w:pStyle w:val="TableFigures"/>
              <w:rPr>
                <w:bCs/>
                <w:sz w:val="21"/>
                <w:szCs w:val="21"/>
              </w:rPr>
            </w:pPr>
            <w:r w:rsidRPr="00CB1881">
              <w:rPr>
                <w:rFonts w:cs="Arial"/>
                <w:spacing w:val="0"/>
                <w:sz w:val="21"/>
                <w:szCs w:val="21"/>
              </w:rPr>
              <w:t>4.3</w:t>
            </w:r>
          </w:p>
        </w:tc>
      </w:tr>
      <w:tr w:rsidR="005F6D8A" w:rsidRPr="005F6D8A" w14:paraId="77D464C8" w14:textId="77777777" w:rsidTr="005F6D8A">
        <w:tc>
          <w:tcPr>
            <w:tcW w:w="6232" w:type="dxa"/>
            <w:tcBorders>
              <w:top w:val="nil"/>
              <w:left w:val="single" w:sz="4" w:space="0" w:color="auto"/>
              <w:bottom w:val="nil"/>
            </w:tcBorders>
          </w:tcPr>
          <w:p w14:paraId="40E88753" w14:textId="77777777" w:rsidR="008C16E2" w:rsidRPr="00CB1881" w:rsidRDefault="008C16E2" w:rsidP="005F6D8A">
            <w:pPr>
              <w:spacing w:after="40" w:line="240" w:lineRule="auto"/>
              <w:ind w:left="147"/>
              <w:jc w:val="both"/>
              <w:rPr>
                <w:rFonts w:cs="Arial"/>
                <w:sz w:val="21"/>
                <w:szCs w:val="21"/>
              </w:rPr>
            </w:pPr>
            <w:r w:rsidRPr="00CB1881">
              <w:rPr>
                <w:rFonts w:cs="Arial"/>
                <w:spacing w:val="0"/>
                <w:sz w:val="21"/>
                <w:szCs w:val="21"/>
              </w:rPr>
              <w:t>Uplift on rent reviews and renewals (%):</w:t>
            </w:r>
          </w:p>
        </w:tc>
        <w:tc>
          <w:tcPr>
            <w:tcW w:w="1134" w:type="dxa"/>
            <w:tcBorders>
              <w:top w:val="nil"/>
              <w:bottom w:val="nil"/>
              <w:right w:val="nil"/>
            </w:tcBorders>
          </w:tcPr>
          <w:p w14:paraId="339C5AFD" w14:textId="77777777" w:rsidR="008C16E2" w:rsidRPr="00CB1881" w:rsidRDefault="008C16E2" w:rsidP="005F6D8A">
            <w:pPr>
              <w:spacing w:after="40" w:line="240" w:lineRule="auto"/>
              <w:ind w:left="140"/>
              <w:jc w:val="both"/>
              <w:rPr>
                <w:rFonts w:cs="Arial"/>
                <w:sz w:val="21"/>
                <w:szCs w:val="21"/>
              </w:rPr>
            </w:pPr>
            <w:r w:rsidRPr="00CB1881">
              <w:rPr>
                <w:rFonts w:cs="Arial"/>
                <w:sz w:val="21"/>
                <w:szCs w:val="21"/>
              </w:rPr>
              <w:t>Group</w:t>
            </w:r>
          </w:p>
        </w:tc>
        <w:tc>
          <w:tcPr>
            <w:tcW w:w="1701" w:type="dxa"/>
            <w:shd w:val="clear" w:color="auto" w:fill="D9D9D9" w:themeFill="background1" w:themeFillShade="D9"/>
          </w:tcPr>
          <w:p w14:paraId="105B5B9A" w14:textId="77777777" w:rsidR="008C16E2" w:rsidRPr="005F6D8A" w:rsidRDefault="008C16E2" w:rsidP="005F6D8A">
            <w:pPr>
              <w:pStyle w:val="TableFiguresBold0"/>
              <w:rPr>
                <w:sz w:val="21"/>
                <w:szCs w:val="21"/>
              </w:rPr>
            </w:pPr>
            <w:r w:rsidRPr="005F6D8A">
              <w:rPr>
                <w:sz w:val="21"/>
                <w:szCs w:val="21"/>
              </w:rPr>
              <w:t>13.0</w:t>
            </w:r>
          </w:p>
        </w:tc>
        <w:tc>
          <w:tcPr>
            <w:tcW w:w="1390" w:type="dxa"/>
            <w:tcBorders>
              <w:top w:val="nil"/>
              <w:left w:val="nil"/>
              <w:bottom w:val="nil"/>
              <w:right w:val="single" w:sz="4" w:space="0" w:color="auto"/>
            </w:tcBorders>
            <w:shd w:val="clear" w:color="auto" w:fill="auto"/>
          </w:tcPr>
          <w:p w14:paraId="1BD5E58F" w14:textId="77777777" w:rsidR="008C16E2" w:rsidRPr="00CB1881" w:rsidRDefault="008C16E2" w:rsidP="005F6D8A">
            <w:pPr>
              <w:pStyle w:val="TableFigures"/>
              <w:rPr>
                <w:bCs/>
                <w:sz w:val="21"/>
                <w:szCs w:val="21"/>
              </w:rPr>
            </w:pPr>
            <w:r w:rsidRPr="00CB1881">
              <w:rPr>
                <w:rFonts w:cs="Arial"/>
                <w:spacing w:val="0"/>
                <w:sz w:val="21"/>
                <w:szCs w:val="21"/>
              </w:rPr>
              <w:t>19.1</w:t>
            </w:r>
          </w:p>
        </w:tc>
      </w:tr>
      <w:tr w:rsidR="005F6D8A" w:rsidRPr="005F6D8A" w14:paraId="39B4A832" w14:textId="77777777" w:rsidTr="005F6D8A">
        <w:tc>
          <w:tcPr>
            <w:tcW w:w="6232" w:type="dxa"/>
            <w:tcBorders>
              <w:top w:val="nil"/>
              <w:left w:val="single" w:sz="4" w:space="0" w:color="auto"/>
              <w:bottom w:val="nil"/>
            </w:tcBorders>
          </w:tcPr>
          <w:p w14:paraId="2A2B3196" w14:textId="77777777" w:rsidR="008C16E2" w:rsidRPr="00CB1881" w:rsidRDefault="008C16E2" w:rsidP="005F6D8A">
            <w:pPr>
              <w:spacing w:after="40" w:line="240" w:lineRule="auto"/>
              <w:ind w:left="147"/>
              <w:jc w:val="both"/>
              <w:rPr>
                <w:rFonts w:cs="Arial"/>
                <w:spacing w:val="0"/>
                <w:sz w:val="21"/>
                <w:szCs w:val="21"/>
              </w:rPr>
            </w:pPr>
          </w:p>
        </w:tc>
        <w:tc>
          <w:tcPr>
            <w:tcW w:w="1134" w:type="dxa"/>
            <w:tcBorders>
              <w:top w:val="nil"/>
              <w:bottom w:val="nil"/>
              <w:right w:val="nil"/>
            </w:tcBorders>
          </w:tcPr>
          <w:p w14:paraId="561A14BE" w14:textId="77777777" w:rsidR="008C16E2" w:rsidRPr="00CB1881" w:rsidRDefault="008C16E2" w:rsidP="005F6D8A">
            <w:pPr>
              <w:spacing w:after="40" w:line="240" w:lineRule="auto"/>
              <w:ind w:left="140"/>
              <w:jc w:val="both"/>
              <w:rPr>
                <w:rFonts w:cs="Arial"/>
                <w:spacing w:val="0"/>
                <w:sz w:val="21"/>
                <w:szCs w:val="21"/>
              </w:rPr>
            </w:pPr>
            <w:r w:rsidRPr="00CB1881">
              <w:rPr>
                <w:rFonts w:cs="Arial"/>
                <w:spacing w:val="0"/>
                <w:sz w:val="21"/>
                <w:szCs w:val="21"/>
              </w:rPr>
              <w:t>UK</w:t>
            </w:r>
          </w:p>
        </w:tc>
        <w:tc>
          <w:tcPr>
            <w:tcW w:w="1701" w:type="dxa"/>
            <w:shd w:val="clear" w:color="auto" w:fill="D9D9D9" w:themeFill="background1" w:themeFillShade="D9"/>
          </w:tcPr>
          <w:p w14:paraId="419AA147" w14:textId="77777777" w:rsidR="008C16E2" w:rsidRPr="002E04BD" w:rsidRDefault="008C16E2">
            <w:pPr>
              <w:pStyle w:val="TableFiguresBold0"/>
              <w:rPr>
                <w:sz w:val="21"/>
                <w:szCs w:val="21"/>
              </w:rPr>
            </w:pPr>
            <w:r w:rsidRPr="002E04BD">
              <w:rPr>
                <w:sz w:val="21"/>
                <w:szCs w:val="21"/>
              </w:rPr>
              <w:t>18.7</w:t>
            </w:r>
          </w:p>
        </w:tc>
        <w:tc>
          <w:tcPr>
            <w:tcW w:w="1390" w:type="dxa"/>
            <w:tcBorders>
              <w:top w:val="nil"/>
              <w:left w:val="nil"/>
              <w:bottom w:val="nil"/>
              <w:right w:val="single" w:sz="4" w:space="0" w:color="auto"/>
            </w:tcBorders>
            <w:shd w:val="clear" w:color="auto" w:fill="auto"/>
          </w:tcPr>
          <w:p w14:paraId="6429FBFB" w14:textId="77777777" w:rsidR="008C16E2" w:rsidRPr="00CB1881" w:rsidRDefault="008C16E2" w:rsidP="005F6D8A">
            <w:pPr>
              <w:pStyle w:val="TableFigures"/>
              <w:rPr>
                <w:bCs/>
                <w:sz w:val="21"/>
                <w:szCs w:val="21"/>
              </w:rPr>
            </w:pPr>
            <w:r w:rsidRPr="00CB1881">
              <w:rPr>
                <w:rFonts w:cs="Arial"/>
                <w:spacing w:val="0"/>
                <w:sz w:val="21"/>
                <w:szCs w:val="21"/>
              </w:rPr>
              <w:t>28.2</w:t>
            </w:r>
          </w:p>
        </w:tc>
      </w:tr>
      <w:tr w:rsidR="005F6D8A" w:rsidRPr="005F6D8A" w14:paraId="053284B8" w14:textId="77777777" w:rsidTr="005F6D8A">
        <w:tc>
          <w:tcPr>
            <w:tcW w:w="6232" w:type="dxa"/>
            <w:tcBorders>
              <w:top w:val="nil"/>
              <w:left w:val="single" w:sz="4" w:space="0" w:color="auto"/>
              <w:bottom w:val="nil"/>
            </w:tcBorders>
          </w:tcPr>
          <w:p w14:paraId="62A56219" w14:textId="77777777" w:rsidR="008C16E2" w:rsidRPr="00CB1881" w:rsidRDefault="008C16E2" w:rsidP="005F6D8A">
            <w:pPr>
              <w:spacing w:after="40" w:line="276" w:lineRule="auto"/>
              <w:ind w:left="147"/>
              <w:jc w:val="both"/>
              <w:rPr>
                <w:rFonts w:cs="Arial"/>
                <w:spacing w:val="0"/>
                <w:sz w:val="21"/>
                <w:szCs w:val="21"/>
              </w:rPr>
            </w:pPr>
          </w:p>
        </w:tc>
        <w:tc>
          <w:tcPr>
            <w:tcW w:w="1134" w:type="dxa"/>
            <w:tcBorders>
              <w:top w:val="nil"/>
              <w:bottom w:val="nil"/>
              <w:right w:val="nil"/>
            </w:tcBorders>
          </w:tcPr>
          <w:p w14:paraId="7DB15469" w14:textId="77777777" w:rsidR="008C16E2" w:rsidRPr="00CB1881" w:rsidRDefault="008C16E2" w:rsidP="005F6D8A">
            <w:pPr>
              <w:spacing w:after="40" w:line="240" w:lineRule="auto"/>
              <w:ind w:left="140"/>
              <w:jc w:val="both"/>
              <w:rPr>
                <w:rFonts w:cs="Arial"/>
                <w:spacing w:val="0"/>
                <w:sz w:val="21"/>
                <w:szCs w:val="21"/>
              </w:rPr>
            </w:pPr>
            <w:r w:rsidRPr="00CB1881">
              <w:rPr>
                <w:rFonts w:cs="Arial"/>
                <w:spacing w:val="0"/>
                <w:sz w:val="21"/>
                <w:szCs w:val="21"/>
              </w:rPr>
              <w:t>CE</w:t>
            </w:r>
          </w:p>
        </w:tc>
        <w:tc>
          <w:tcPr>
            <w:tcW w:w="1701" w:type="dxa"/>
            <w:shd w:val="clear" w:color="auto" w:fill="D9D9D9" w:themeFill="background1" w:themeFillShade="D9"/>
          </w:tcPr>
          <w:p w14:paraId="17003F9A" w14:textId="77777777" w:rsidR="008C16E2" w:rsidRPr="002E04BD" w:rsidRDefault="008C16E2">
            <w:pPr>
              <w:pStyle w:val="TableFiguresBold0"/>
              <w:rPr>
                <w:sz w:val="21"/>
                <w:szCs w:val="21"/>
              </w:rPr>
            </w:pPr>
            <w:r w:rsidRPr="002E04BD">
              <w:rPr>
                <w:sz w:val="21"/>
                <w:szCs w:val="21"/>
              </w:rPr>
              <w:t>1.5</w:t>
            </w:r>
          </w:p>
        </w:tc>
        <w:tc>
          <w:tcPr>
            <w:tcW w:w="1390" w:type="dxa"/>
            <w:tcBorders>
              <w:top w:val="nil"/>
              <w:left w:val="nil"/>
              <w:bottom w:val="nil"/>
              <w:right w:val="single" w:sz="4" w:space="0" w:color="auto"/>
            </w:tcBorders>
            <w:shd w:val="clear" w:color="auto" w:fill="auto"/>
          </w:tcPr>
          <w:p w14:paraId="7F94A95E" w14:textId="77777777" w:rsidR="008C16E2" w:rsidRPr="00CB1881" w:rsidRDefault="008C16E2" w:rsidP="005F6D8A">
            <w:pPr>
              <w:pStyle w:val="TableFigures"/>
              <w:rPr>
                <w:bCs/>
                <w:sz w:val="21"/>
                <w:szCs w:val="21"/>
              </w:rPr>
            </w:pPr>
            <w:r w:rsidRPr="00CB1881">
              <w:rPr>
                <w:rFonts w:cs="Arial"/>
                <w:spacing w:val="0"/>
                <w:sz w:val="21"/>
                <w:szCs w:val="21"/>
              </w:rPr>
              <w:t>0.5</w:t>
            </w:r>
          </w:p>
        </w:tc>
      </w:tr>
      <w:tr w:rsidR="005F6D8A" w:rsidRPr="005F6D8A" w14:paraId="2755BE6A" w14:textId="77777777" w:rsidTr="005F6D8A">
        <w:tc>
          <w:tcPr>
            <w:tcW w:w="6232" w:type="dxa"/>
            <w:tcBorders>
              <w:top w:val="nil"/>
              <w:left w:val="single" w:sz="4" w:space="0" w:color="auto"/>
              <w:bottom w:val="nil"/>
            </w:tcBorders>
          </w:tcPr>
          <w:p w14:paraId="7E1A4D33" w14:textId="77777777" w:rsidR="008C16E2" w:rsidRPr="00CB1881" w:rsidRDefault="008C16E2" w:rsidP="005F6D8A">
            <w:pPr>
              <w:spacing w:after="40" w:line="276" w:lineRule="auto"/>
              <w:ind w:left="147"/>
              <w:jc w:val="both"/>
              <w:rPr>
                <w:rFonts w:cs="Arial"/>
                <w:spacing w:val="0"/>
                <w:sz w:val="21"/>
                <w:szCs w:val="21"/>
              </w:rPr>
            </w:pPr>
            <w:r w:rsidRPr="00CB1881">
              <w:rPr>
                <w:rFonts w:cs="Arial"/>
                <w:spacing w:val="0"/>
                <w:sz w:val="21"/>
                <w:szCs w:val="21"/>
              </w:rPr>
              <w:t>Vacancy rate (%)</w:t>
            </w:r>
          </w:p>
        </w:tc>
        <w:tc>
          <w:tcPr>
            <w:tcW w:w="1134" w:type="dxa"/>
            <w:tcBorders>
              <w:top w:val="nil"/>
              <w:bottom w:val="nil"/>
              <w:right w:val="nil"/>
            </w:tcBorders>
          </w:tcPr>
          <w:p w14:paraId="52108CDF" w14:textId="77777777" w:rsidR="008C16E2" w:rsidRPr="00CB1881" w:rsidRDefault="008C16E2" w:rsidP="005F6D8A">
            <w:pPr>
              <w:spacing w:after="40" w:line="240" w:lineRule="auto"/>
              <w:ind w:left="147"/>
              <w:jc w:val="both"/>
              <w:rPr>
                <w:rFonts w:cs="Arial"/>
                <w:spacing w:val="0"/>
                <w:sz w:val="21"/>
                <w:szCs w:val="21"/>
              </w:rPr>
            </w:pPr>
          </w:p>
        </w:tc>
        <w:tc>
          <w:tcPr>
            <w:tcW w:w="1701" w:type="dxa"/>
            <w:shd w:val="clear" w:color="auto" w:fill="D9D9D9" w:themeFill="background1" w:themeFillShade="D9"/>
          </w:tcPr>
          <w:p w14:paraId="5FF91DDA" w14:textId="77777777" w:rsidR="008C16E2" w:rsidRPr="002E04BD" w:rsidRDefault="008C16E2">
            <w:pPr>
              <w:pStyle w:val="TableFiguresBold0"/>
              <w:rPr>
                <w:sz w:val="21"/>
                <w:szCs w:val="21"/>
              </w:rPr>
            </w:pPr>
            <w:r w:rsidRPr="002E04BD">
              <w:rPr>
                <w:sz w:val="21"/>
                <w:szCs w:val="21"/>
              </w:rPr>
              <w:t>3.2</w:t>
            </w:r>
          </w:p>
        </w:tc>
        <w:tc>
          <w:tcPr>
            <w:tcW w:w="1390" w:type="dxa"/>
            <w:tcBorders>
              <w:top w:val="nil"/>
              <w:left w:val="nil"/>
              <w:bottom w:val="nil"/>
              <w:right w:val="single" w:sz="4" w:space="0" w:color="auto"/>
            </w:tcBorders>
            <w:shd w:val="clear" w:color="auto" w:fill="auto"/>
          </w:tcPr>
          <w:p w14:paraId="72FB220A" w14:textId="77777777" w:rsidR="008C16E2" w:rsidRPr="00CB1881" w:rsidRDefault="008C16E2" w:rsidP="005F6D8A">
            <w:pPr>
              <w:pStyle w:val="TableFigures"/>
              <w:rPr>
                <w:rFonts w:cs="Arial"/>
                <w:spacing w:val="0"/>
                <w:sz w:val="21"/>
                <w:szCs w:val="21"/>
              </w:rPr>
            </w:pPr>
            <w:r w:rsidRPr="00CB1881">
              <w:rPr>
                <w:rFonts w:cs="Arial"/>
                <w:spacing w:val="0"/>
                <w:sz w:val="21"/>
                <w:szCs w:val="21"/>
              </w:rPr>
              <w:t>3.9</w:t>
            </w:r>
          </w:p>
        </w:tc>
      </w:tr>
      <w:tr w:rsidR="005F6D8A" w:rsidRPr="005F6D8A" w14:paraId="3DB0F7E2" w14:textId="77777777" w:rsidTr="005F6D8A">
        <w:tc>
          <w:tcPr>
            <w:tcW w:w="6232" w:type="dxa"/>
            <w:tcBorders>
              <w:top w:val="nil"/>
              <w:left w:val="single" w:sz="4" w:space="0" w:color="auto"/>
              <w:bottom w:val="nil"/>
            </w:tcBorders>
          </w:tcPr>
          <w:p w14:paraId="1F76A7D3" w14:textId="77777777" w:rsidR="008C16E2" w:rsidRPr="00CB1881" w:rsidRDefault="008C16E2" w:rsidP="005F6D8A">
            <w:pPr>
              <w:spacing w:after="40" w:line="276" w:lineRule="auto"/>
              <w:ind w:left="147"/>
              <w:jc w:val="both"/>
              <w:rPr>
                <w:rFonts w:cs="Arial"/>
                <w:spacing w:val="0"/>
                <w:sz w:val="21"/>
                <w:szCs w:val="21"/>
              </w:rPr>
            </w:pPr>
            <w:r w:rsidRPr="00CB1881">
              <w:rPr>
                <w:rFonts w:cs="Arial"/>
                <w:spacing w:val="0"/>
                <w:sz w:val="21"/>
                <w:szCs w:val="21"/>
              </w:rPr>
              <w:t>Customer retention (%)</w:t>
            </w:r>
          </w:p>
        </w:tc>
        <w:tc>
          <w:tcPr>
            <w:tcW w:w="1134" w:type="dxa"/>
            <w:tcBorders>
              <w:top w:val="nil"/>
              <w:bottom w:val="nil"/>
              <w:right w:val="nil"/>
            </w:tcBorders>
          </w:tcPr>
          <w:p w14:paraId="26110FCA" w14:textId="77777777" w:rsidR="008C16E2" w:rsidRPr="00CB1881" w:rsidRDefault="008C16E2" w:rsidP="005F6D8A">
            <w:pPr>
              <w:spacing w:after="40" w:line="240" w:lineRule="auto"/>
              <w:ind w:left="147"/>
              <w:jc w:val="both"/>
              <w:rPr>
                <w:rFonts w:cs="Arial"/>
                <w:spacing w:val="0"/>
                <w:sz w:val="21"/>
                <w:szCs w:val="21"/>
              </w:rPr>
            </w:pPr>
          </w:p>
        </w:tc>
        <w:tc>
          <w:tcPr>
            <w:tcW w:w="1701" w:type="dxa"/>
            <w:shd w:val="clear" w:color="auto" w:fill="D9D9D9" w:themeFill="background1" w:themeFillShade="D9"/>
          </w:tcPr>
          <w:p w14:paraId="77976C74" w14:textId="77777777" w:rsidR="008C16E2" w:rsidRPr="00BA4E4C" w:rsidRDefault="008C16E2">
            <w:pPr>
              <w:pStyle w:val="TableFiguresBold0"/>
              <w:rPr>
                <w:sz w:val="21"/>
                <w:szCs w:val="21"/>
              </w:rPr>
            </w:pPr>
            <w:r w:rsidRPr="00BA4E4C">
              <w:rPr>
                <w:sz w:val="21"/>
                <w:szCs w:val="21"/>
              </w:rPr>
              <w:t>77</w:t>
            </w:r>
          </w:p>
        </w:tc>
        <w:tc>
          <w:tcPr>
            <w:tcW w:w="1390" w:type="dxa"/>
            <w:tcBorders>
              <w:top w:val="nil"/>
              <w:left w:val="nil"/>
              <w:bottom w:val="nil"/>
              <w:right w:val="single" w:sz="4" w:space="0" w:color="auto"/>
            </w:tcBorders>
            <w:shd w:val="clear" w:color="auto" w:fill="auto"/>
          </w:tcPr>
          <w:p w14:paraId="0728A790" w14:textId="77777777" w:rsidR="008C16E2" w:rsidRPr="00CB1881" w:rsidRDefault="008C16E2" w:rsidP="005F6D8A">
            <w:pPr>
              <w:pStyle w:val="TableFigures"/>
              <w:rPr>
                <w:rFonts w:cs="Arial"/>
                <w:spacing w:val="0"/>
                <w:sz w:val="21"/>
                <w:szCs w:val="21"/>
              </w:rPr>
            </w:pPr>
            <w:r w:rsidRPr="00CB1881">
              <w:rPr>
                <w:rFonts w:cs="Arial"/>
                <w:spacing w:val="0"/>
                <w:sz w:val="21"/>
                <w:szCs w:val="21"/>
              </w:rPr>
              <w:t>86</w:t>
            </w:r>
          </w:p>
        </w:tc>
      </w:tr>
      <w:tr w:rsidR="005F6D8A" w:rsidRPr="005F6D8A" w14:paraId="76EED7A6" w14:textId="77777777" w:rsidTr="005F6D8A">
        <w:tc>
          <w:tcPr>
            <w:tcW w:w="6232" w:type="dxa"/>
            <w:tcBorders>
              <w:top w:val="nil"/>
              <w:left w:val="single" w:sz="4" w:space="0" w:color="auto"/>
              <w:bottom w:val="nil"/>
            </w:tcBorders>
          </w:tcPr>
          <w:p w14:paraId="49227843" w14:textId="77777777" w:rsidR="008C16E2" w:rsidRPr="00CB1881" w:rsidRDefault="008C16E2" w:rsidP="005F6D8A">
            <w:pPr>
              <w:spacing w:after="40" w:line="276" w:lineRule="auto"/>
              <w:ind w:left="147"/>
              <w:jc w:val="both"/>
              <w:rPr>
                <w:rFonts w:cs="Arial"/>
                <w:spacing w:val="0"/>
                <w:sz w:val="21"/>
                <w:szCs w:val="21"/>
              </w:rPr>
            </w:pPr>
            <w:r w:rsidRPr="00CB1881">
              <w:rPr>
                <w:rFonts w:cs="Arial"/>
                <w:spacing w:val="0"/>
                <w:sz w:val="21"/>
                <w:szCs w:val="21"/>
              </w:rPr>
              <w:t>Visibility of customer energy use (%)</w:t>
            </w:r>
          </w:p>
        </w:tc>
        <w:tc>
          <w:tcPr>
            <w:tcW w:w="1134" w:type="dxa"/>
            <w:tcBorders>
              <w:top w:val="nil"/>
              <w:bottom w:val="nil"/>
              <w:right w:val="nil"/>
            </w:tcBorders>
          </w:tcPr>
          <w:p w14:paraId="4A6C700A" w14:textId="77777777" w:rsidR="008C16E2" w:rsidRPr="00CB1881" w:rsidRDefault="008C16E2" w:rsidP="005F6D8A">
            <w:pPr>
              <w:spacing w:after="40" w:line="240" w:lineRule="auto"/>
              <w:ind w:left="147"/>
              <w:jc w:val="both"/>
              <w:rPr>
                <w:rFonts w:cs="Arial"/>
                <w:spacing w:val="0"/>
                <w:sz w:val="21"/>
                <w:szCs w:val="21"/>
              </w:rPr>
            </w:pPr>
          </w:p>
        </w:tc>
        <w:tc>
          <w:tcPr>
            <w:tcW w:w="1701" w:type="dxa"/>
            <w:shd w:val="clear" w:color="auto" w:fill="D9D9D9" w:themeFill="background1" w:themeFillShade="D9"/>
          </w:tcPr>
          <w:p w14:paraId="3D131756" w14:textId="77777777" w:rsidR="008C16E2" w:rsidRPr="002E04BD" w:rsidRDefault="008C16E2">
            <w:pPr>
              <w:pStyle w:val="TableFiguresBold0"/>
              <w:rPr>
                <w:sz w:val="21"/>
                <w:szCs w:val="21"/>
              </w:rPr>
            </w:pPr>
            <w:r w:rsidRPr="002E04BD">
              <w:rPr>
                <w:sz w:val="21"/>
                <w:szCs w:val="21"/>
              </w:rPr>
              <w:t>54</w:t>
            </w:r>
          </w:p>
        </w:tc>
        <w:tc>
          <w:tcPr>
            <w:tcW w:w="1390" w:type="dxa"/>
            <w:tcBorders>
              <w:top w:val="nil"/>
              <w:left w:val="nil"/>
              <w:bottom w:val="nil"/>
              <w:right w:val="single" w:sz="4" w:space="0" w:color="auto"/>
            </w:tcBorders>
            <w:shd w:val="clear" w:color="auto" w:fill="auto"/>
          </w:tcPr>
          <w:p w14:paraId="207300B5" w14:textId="77777777" w:rsidR="008C16E2" w:rsidRPr="00CB1881" w:rsidRDefault="008C16E2" w:rsidP="005F6D8A">
            <w:pPr>
              <w:pStyle w:val="TableFigures"/>
              <w:rPr>
                <w:rFonts w:cs="Arial"/>
                <w:spacing w:val="0"/>
                <w:sz w:val="21"/>
                <w:szCs w:val="21"/>
              </w:rPr>
            </w:pPr>
            <w:r w:rsidRPr="00CB1881">
              <w:rPr>
                <w:rFonts w:cs="Arial"/>
                <w:spacing w:val="0"/>
                <w:sz w:val="21"/>
                <w:szCs w:val="21"/>
              </w:rPr>
              <w:t>41</w:t>
            </w:r>
          </w:p>
        </w:tc>
      </w:tr>
      <w:tr w:rsidR="005F6D8A" w:rsidRPr="005F6D8A" w14:paraId="1B8C9250" w14:textId="77777777" w:rsidTr="005F6D8A">
        <w:tc>
          <w:tcPr>
            <w:tcW w:w="6232" w:type="dxa"/>
            <w:tcBorders>
              <w:top w:val="nil"/>
              <w:left w:val="single" w:sz="4" w:space="0" w:color="auto"/>
              <w:bottom w:val="nil"/>
            </w:tcBorders>
          </w:tcPr>
          <w:p w14:paraId="43D3E87A" w14:textId="77777777" w:rsidR="008C16E2" w:rsidRPr="00CB1881" w:rsidRDefault="008C16E2" w:rsidP="005F6D8A">
            <w:pPr>
              <w:spacing w:after="40" w:line="276" w:lineRule="auto"/>
              <w:ind w:left="147"/>
              <w:jc w:val="both"/>
              <w:rPr>
                <w:rFonts w:cs="Arial"/>
                <w:spacing w:val="0"/>
                <w:sz w:val="21"/>
                <w:szCs w:val="21"/>
              </w:rPr>
            </w:pPr>
            <w:r w:rsidRPr="00CB1881">
              <w:rPr>
                <w:rFonts w:cs="Arial"/>
                <w:spacing w:val="0"/>
                <w:sz w:val="21"/>
                <w:szCs w:val="21"/>
              </w:rPr>
              <w:t>Operating carbon emission (tonnes CO2e)</w:t>
            </w:r>
          </w:p>
        </w:tc>
        <w:tc>
          <w:tcPr>
            <w:tcW w:w="1134" w:type="dxa"/>
            <w:tcBorders>
              <w:top w:val="nil"/>
              <w:bottom w:val="nil"/>
              <w:right w:val="nil"/>
            </w:tcBorders>
          </w:tcPr>
          <w:p w14:paraId="338A5CD3" w14:textId="77777777" w:rsidR="008C16E2" w:rsidRPr="00CB1881" w:rsidRDefault="008C16E2" w:rsidP="005F6D8A">
            <w:pPr>
              <w:spacing w:after="40" w:line="240" w:lineRule="auto"/>
              <w:ind w:left="147"/>
              <w:jc w:val="both"/>
              <w:rPr>
                <w:rFonts w:cs="Arial"/>
                <w:spacing w:val="0"/>
                <w:sz w:val="21"/>
                <w:szCs w:val="21"/>
              </w:rPr>
            </w:pPr>
          </w:p>
        </w:tc>
        <w:tc>
          <w:tcPr>
            <w:tcW w:w="1701" w:type="dxa"/>
            <w:shd w:val="clear" w:color="auto" w:fill="D9D9D9" w:themeFill="background1" w:themeFillShade="D9"/>
          </w:tcPr>
          <w:p w14:paraId="5E17CF96" w14:textId="77777777" w:rsidR="008C16E2" w:rsidRPr="002E04BD" w:rsidRDefault="008C16E2">
            <w:pPr>
              <w:pStyle w:val="TableFiguresBold0"/>
              <w:rPr>
                <w:sz w:val="21"/>
                <w:szCs w:val="21"/>
              </w:rPr>
            </w:pPr>
            <w:r w:rsidRPr="002E04BD">
              <w:rPr>
                <w:sz w:val="21"/>
                <w:szCs w:val="21"/>
              </w:rPr>
              <w:t>280,575</w:t>
            </w:r>
          </w:p>
        </w:tc>
        <w:tc>
          <w:tcPr>
            <w:tcW w:w="1390" w:type="dxa"/>
            <w:tcBorders>
              <w:top w:val="nil"/>
              <w:left w:val="nil"/>
              <w:bottom w:val="nil"/>
              <w:right w:val="single" w:sz="4" w:space="0" w:color="auto"/>
            </w:tcBorders>
            <w:shd w:val="clear" w:color="auto" w:fill="auto"/>
          </w:tcPr>
          <w:p w14:paraId="52838B87" w14:textId="77777777" w:rsidR="008C16E2" w:rsidRPr="00CB1881" w:rsidRDefault="008C16E2" w:rsidP="005F6D8A">
            <w:pPr>
              <w:pStyle w:val="TableFigures"/>
              <w:rPr>
                <w:rFonts w:cs="Arial"/>
                <w:spacing w:val="0"/>
                <w:sz w:val="21"/>
                <w:szCs w:val="21"/>
              </w:rPr>
            </w:pPr>
            <w:r w:rsidRPr="00CB1881">
              <w:rPr>
                <w:rFonts w:cs="Arial"/>
                <w:spacing w:val="0"/>
                <w:sz w:val="21"/>
                <w:szCs w:val="21"/>
              </w:rPr>
              <w:t>312,115</w:t>
            </w:r>
          </w:p>
        </w:tc>
      </w:tr>
      <w:tr w:rsidR="005F6D8A" w:rsidRPr="005F6D8A" w14:paraId="7439D39D" w14:textId="77777777" w:rsidTr="005F6D8A">
        <w:tc>
          <w:tcPr>
            <w:tcW w:w="10457" w:type="dxa"/>
            <w:gridSpan w:val="4"/>
            <w:tcBorders>
              <w:left w:val="single" w:sz="4" w:space="0" w:color="auto"/>
              <w:bottom w:val="nil"/>
              <w:right w:val="single" w:sz="4" w:space="0" w:color="auto"/>
            </w:tcBorders>
            <w:vAlign w:val="center"/>
          </w:tcPr>
          <w:p w14:paraId="7AD5B97C" w14:textId="179E236D" w:rsidR="008C16E2" w:rsidRPr="00534093" w:rsidRDefault="008C16E2" w:rsidP="005F6D8A">
            <w:pPr>
              <w:pStyle w:val="TableFigures"/>
              <w:spacing w:before="100" w:after="100" w:line="276" w:lineRule="auto"/>
              <w:jc w:val="left"/>
              <w:rPr>
                <w:rFonts w:cs="Arial"/>
                <w:b/>
                <w:spacing w:val="0"/>
                <w:sz w:val="22"/>
                <w:szCs w:val="22"/>
              </w:rPr>
            </w:pPr>
            <w:r w:rsidRPr="00534093">
              <w:rPr>
                <w:rFonts w:cs="Arial"/>
                <w:b/>
                <w:spacing w:val="0"/>
                <w:sz w:val="22"/>
                <w:szCs w:val="22"/>
              </w:rPr>
              <w:t xml:space="preserve">RECORD LEVEL OF INVESTMENT ACTIVITY FOCUSED ON SECURING PROFITABLE GROWTH (see page </w:t>
            </w:r>
            <w:r w:rsidR="00C63CA4">
              <w:rPr>
                <w:rFonts w:cs="Arial"/>
                <w:b/>
                <w:spacing w:val="0"/>
                <w:sz w:val="22"/>
                <w:szCs w:val="22"/>
              </w:rPr>
              <w:t>1</w:t>
            </w:r>
            <w:r w:rsidR="00CA70CE">
              <w:rPr>
                <w:rFonts w:cs="Arial"/>
                <w:b/>
                <w:spacing w:val="0"/>
                <w:sz w:val="22"/>
                <w:szCs w:val="22"/>
              </w:rPr>
              <w:t>9</w:t>
            </w:r>
            <w:r w:rsidRPr="00534093">
              <w:rPr>
                <w:rFonts w:cs="Arial"/>
                <w:b/>
                <w:spacing w:val="0"/>
                <w:sz w:val="22"/>
                <w:szCs w:val="22"/>
              </w:rPr>
              <w:t xml:space="preserve">): </w:t>
            </w:r>
          </w:p>
        </w:tc>
      </w:tr>
      <w:tr w:rsidR="005F6D8A" w:rsidRPr="005F6D8A" w14:paraId="3FA74D88" w14:textId="77777777" w:rsidTr="005F6D8A">
        <w:tc>
          <w:tcPr>
            <w:tcW w:w="10457" w:type="dxa"/>
            <w:gridSpan w:val="4"/>
            <w:tcBorders>
              <w:left w:val="single" w:sz="4" w:space="0" w:color="auto"/>
              <w:bottom w:val="nil"/>
              <w:right w:val="single" w:sz="4" w:space="0" w:color="auto"/>
            </w:tcBorders>
          </w:tcPr>
          <w:p w14:paraId="69781AC1" w14:textId="2E17A2E2" w:rsidR="008C16E2" w:rsidRPr="00CB1881" w:rsidRDefault="00CD4D67" w:rsidP="00534093">
            <w:pPr>
              <w:pStyle w:val="TableFigures"/>
              <w:spacing w:after="100" w:line="276" w:lineRule="auto"/>
              <w:jc w:val="both"/>
              <w:rPr>
                <w:sz w:val="21"/>
                <w:szCs w:val="21"/>
              </w:rPr>
            </w:pPr>
            <w:r w:rsidRPr="00CB1881">
              <w:rPr>
                <w:sz w:val="21"/>
                <w:szCs w:val="21"/>
              </w:rPr>
              <w:t>Capital i</w:t>
            </w:r>
            <w:r w:rsidR="008C16E2" w:rsidRPr="00CB1881">
              <w:rPr>
                <w:sz w:val="21"/>
                <w:szCs w:val="21"/>
              </w:rPr>
              <w:t>nvestment continues to focus on development and acquisition of assets with opportunities for future growth, as well as sourcing land to extend our development pipeline. Development capex for 2022, including infrastructure, expected to be c.£</w:t>
            </w:r>
            <w:r w:rsidR="00C63CA4">
              <w:rPr>
                <w:sz w:val="21"/>
                <w:szCs w:val="21"/>
              </w:rPr>
              <w:t>700</w:t>
            </w:r>
            <w:r w:rsidR="008C16E2" w:rsidRPr="00CB1881">
              <w:rPr>
                <w:sz w:val="21"/>
                <w:szCs w:val="21"/>
              </w:rPr>
              <w:t xml:space="preserve"> million.</w:t>
            </w:r>
          </w:p>
        </w:tc>
      </w:tr>
      <w:tr w:rsidR="005F6D8A" w:rsidRPr="005F6D8A" w14:paraId="2CCE732C" w14:textId="77777777" w:rsidTr="005F6D8A">
        <w:tc>
          <w:tcPr>
            <w:tcW w:w="7366" w:type="dxa"/>
            <w:gridSpan w:val="2"/>
            <w:tcBorders>
              <w:left w:val="single" w:sz="4" w:space="0" w:color="auto"/>
              <w:bottom w:val="nil"/>
            </w:tcBorders>
          </w:tcPr>
          <w:p w14:paraId="10563812" w14:textId="77777777" w:rsidR="008C16E2" w:rsidRPr="00CB1881" w:rsidRDefault="008C16E2" w:rsidP="005F6D8A">
            <w:pPr>
              <w:spacing w:after="40" w:line="276" w:lineRule="auto"/>
              <w:ind w:left="147"/>
              <w:jc w:val="both"/>
              <w:rPr>
                <w:rFonts w:cs="Arial"/>
                <w:sz w:val="21"/>
                <w:szCs w:val="21"/>
              </w:rPr>
            </w:pPr>
            <w:r w:rsidRPr="00CB1881">
              <w:rPr>
                <w:rFonts w:cs="Arial"/>
                <w:spacing w:val="0"/>
                <w:sz w:val="21"/>
                <w:szCs w:val="21"/>
              </w:rPr>
              <w:t>Development capex (£m)</w:t>
            </w:r>
          </w:p>
        </w:tc>
        <w:tc>
          <w:tcPr>
            <w:tcW w:w="1701" w:type="dxa"/>
            <w:tcBorders>
              <w:left w:val="nil"/>
              <w:bottom w:val="nil"/>
              <w:right w:val="nil"/>
            </w:tcBorders>
            <w:shd w:val="clear" w:color="auto" w:fill="D9D9D9" w:themeFill="background1" w:themeFillShade="D9"/>
          </w:tcPr>
          <w:p w14:paraId="56B1BFF6" w14:textId="77777777" w:rsidR="008C16E2" w:rsidRPr="005F6D8A" w:rsidRDefault="008C16E2" w:rsidP="005F6D8A">
            <w:pPr>
              <w:pStyle w:val="TableFiguresBold0"/>
              <w:rPr>
                <w:sz w:val="21"/>
                <w:szCs w:val="21"/>
                <w:highlight w:val="yellow"/>
              </w:rPr>
            </w:pPr>
            <w:r w:rsidRPr="005F6D8A">
              <w:rPr>
                <w:sz w:val="21"/>
                <w:szCs w:val="21"/>
              </w:rPr>
              <w:t>649</w:t>
            </w:r>
          </w:p>
        </w:tc>
        <w:tc>
          <w:tcPr>
            <w:tcW w:w="1390" w:type="dxa"/>
            <w:tcBorders>
              <w:left w:val="nil"/>
              <w:bottom w:val="nil"/>
              <w:right w:val="single" w:sz="4" w:space="0" w:color="auto"/>
            </w:tcBorders>
            <w:shd w:val="clear" w:color="auto" w:fill="auto"/>
          </w:tcPr>
          <w:p w14:paraId="7C1E2DC2" w14:textId="77777777" w:rsidR="008C16E2" w:rsidRPr="00CB1881" w:rsidRDefault="008C16E2" w:rsidP="005F6D8A">
            <w:pPr>
              <w:pStyle w:val="TableFigures"/>
              <w:rPr>
                <w:bCs/>
                <w:sz w:val="21"/>
                <w:szCs w:val="21"/>
              </w:rPr>
            </w:pPr>
            <w:r w:rsidRPr="00CB1881">
              <w:rPr>
                <w:rFonts w:cs="Arial"/>
                <w:spacing w:val="0"/>
                <w:sz w:val="21"/>
                <w:szCs w:val="21"/>
              </w:rPr>
              <w:t>531</w:t>
            </w:r>
          </w:p>
        </w:tc>
      </w:tr>
      <w:tr w:rsidR="005F6D8A" w:rsidRPr="005F6D8A" w14:paraId="1C60671B" w14:textId="77777777" w:rsidTr="005F6D8A">
        <w:tc>
          <w:tcPr>
            <w:tcW w:w="6232" w:type="dxa"/>
            <w:tcBorders>
              <w:top w:val="nil"/>
              <w:left w:val="single" w:sz="4" w:space="0" w:color="auto"/>
              <w:bottom w:val="nil"/>
            </w:tcBorders>
          </w:tcPr>
          <w:p w14:paraId="07253707" w14:textId="77777777" w:rsidR="008C16E2" w:rsidRPr="00CB1881" w:rsidRDefault="008C16E2" w:rsidP="005F6D8A">
            <w:pPr>
              <w:spacing w:after="40" w:line="240" w:lineRule="auto"/>
              <w:ind w:left="147"/>
              <w:jc w:val="both"/>
              <w:rPr>
                <w:rFonts w:cs="Arial"/>
                <w:spacing w:val="0"/>
                <w:sz w:val="21"/>
                <w:szCs w:val="21"/>
              </w:rPr>
            </w:pPr>
            <w:r w:rsidRPr="00CB1881">
              <w:rPr>
                <w:rFonts w:cs="Arial"/>
                <w:spacing w:val="0"/>
                <w:sz w:val="21"/>
                <w:szCs w:val="21"/>
              </w:rPr>
              <w:t>Asset acquisitions (£m)</w:t>
            </w:r>
          </w:p>
        </w:tc>
        <w:tc>
          <w:tcPr>
            <w:tcW w:w="1134" w:type="dxa"/>
            <w:tcBorders>
              <w:top w:val="nil"/>
              <w:bottom w:val="nil"/>
              <w:right w:val="nil"/>
            </w:tcBorders>
          </w:tcPr>
          <w:p w14:paraId="39BCCB6E" w14:textId="77777777" w:rsidR="008C16E2" w:rsidRPr="00CB1881" w:rsidRDefault="008C16E2" w:rsidP="005F6D8A">
            <w:pPr>
              <w:spacing w:after="40" w:line="240" w:lineRule="auto"/>
              <w:ind w:left="147"/>
              <w:jc w:val="both"/>
              <w:rPr>
                <w:rFonts w:cs="Arial"/>
                <w:sz w:val="21"/>
                <w:szCs w:val="21"/>
              </w:rPr>
            </w:pPr>
          </w:p>
        </w:tc>
        <w:tc>
          <w:tcPr>
            <w:tcW w:w="1701" w:type="dxa"/>
            <w:shd w:val="clear" w:color="auto" w:fill="D9D9D9" w:themeFill="background1" w:themeFillShade="D9"/>
          </w:tcPr>
          <w:p w14:paraId="1AD5042B" w14:textId="77777777" w:rsidR="008C16E2" w:rsidRPr="005F6D8A" w:rsidRDefault="008C16E2" w:rsidP="005F6D8A">
            <w:pPr>
              <w:pStyle w:val="TableFiguresBold0"/>
              <w:rPr>
                <w:sz w:val="21"/>
                <w:szCs w:val="21"/>
              </w:rPr>
            </w:pPr>
            <w:r w:rsidRPr="005F6D8A">
              <w:rPr>
                <w:sz w:val="21"/>
                <w:szCs w:val="21"/>
              </w:rPr>
              <w:t>997</w:t>
            </w:r>
          </w:p>
        </w:tc>
        <w:tc>
          <w:tcPr>
            <w:tcW w:w="1390" w:type="dxa"/>
            <w:tcBorders>
              <w:top w:val="nil"/>
              <w:left w:val="nil"/>
              <w:bottom w:val="nil"/>
              <w:right w:val="single" w:sz="4" w:space="0" w:color="auto"/>
            </w:tcBorders>
            <w:shd w:val="clear" w:color="auto" w:fill="auto"/>
          </w:tcPr>
          <w:p w14:paraId="790DAADA" w14:textId="77777777" w:rsidR="008C16E2" w:rsidRPr="00CB1881" w:rsidRDefault="008C16E2" w:rsidP="005F6D8A">
            <w:pPr>
              <w:pStyle w:val="TableFigures"/>
              <w:rPr>
                <w:rFonts w:cs="Arial"/>
                <w:spacing w:val="0"/>
                <w:sz w:val="21"/>
                <w:szCs w:val="21"/>
                <w:highlight w:val="yellow"/>
              </w:rPr>
            </w:pPr>
            <w:r w:rsidRPr="00CB1881">
              <w:rPr>
                <w:rFonts w:cs="Arial"/>
                <w:spacing w:val="0"/>
                <w:sz w:val="21"/>
                <w:szCs w:val="21"/>
              </w:rPr>
              <w:t>603</w:t>
            </w:r>
          </w:p>
        </w:tc>
      </w:tr>
      <w:tr w:rsidR="005F6D8A" w:rsidRPr="005F6D8A" w14:paraId="795F07A9" w14:textId="77777777" w:rsidTr="005F6D8A">
        <w:tc>
          <w:tcPr>
            <w:tcW w:w="6232" w:type="dxa"/>
            <w:tcBorders>
              <w:top w:val="nil"/>
              <w:left w:val="single" w:sz="4" w:space="0" w:color="auto"/>
              <w:bottom w:val="nil"/>
            </w:tcBorders>
          </w:tcPr>
          <w:p w14:paraId="39603EAA" w14:textId="77777777" w:rsidR="008C16E2" w:rsidRPr="00CB1881" w:rsidRDefault="008C16E2" w:rsidP="005F6D8A">
            <w:pPr>
              <w:spacing w:after="40" w:line="240" w:lineRule="auto"/>
              <w:ind w:left="147"/>
              <w:jc w:val="both"/>
              <w:rPr>
                <w:rFonts w:cs="Arial"/>
                <w:sz w:val="21"/>
                <w:szCs w:val="21"/>
              </w:rPr>
            </w:pPr>
            <w:r w:rsidRPr="00CB1881">
              <w:rPr>
                <w:rFonts w:cs="Arial"/>
                <w:spacing w:val="0"/>
                <w:sz w:val="21"/>
                <w:szCs w:val="21"/>
              </w:rPr>
              <w:t>Land acquisitions (£m)</w:t>
            </w:r>
          </w:p>
        </w:tc>
        <w:tc>
          <w:tcPr>
            <w:tcW w:w="1134" w:type="dxa"/>
            <w:tcBorders>
              <w:top w:val="nil"/>
              <w:bottom w:val="nil"/>
              <w:right w:val="nil"/>
            </w:tcBorders>
          </w:tcPr>
          <w:p w14:paraId="3C50E104" w14:textId="77777777" w:rsidR="008C16E2" w:rsidRPr="00CB1881" w:rsidRDefault="008C16E2" w:rsidP="005F6D8A">
            <w:pPr>
              <w:spacing w:after="40" w:line="240" w:lineRule="auto"/>
              <w:ind w:left="147"/>
              <w:jc w:val="both"/>
              <w:rPr>
                <w:rFonts w:cs="Arial"/>
                <w:sz w:val="21"/>
                <w:szCs w:val="21"/>
              </w:rPr>
            </w:pPr>
          </w:p>
        </w:tc>
        <w:tc>
          <w:tcPr>
            <w:tcW w:w="1701" w:type="dxa"/>
            <w:shd w:val="clear" w:color="auto" w:fill="D9D9D9" w:themeFill="background1" w:themeFillShade="D9"/>
          </w:tcPr>
          <w:p w14:paraId="05D52774" w14:textId="77777777" w:rsidR="008C16E2" w:rsidRPr="005F6D8A" w:rsidRDefault="008C16E2" w:rsidP="005F6D8A">
            <w:pPr>
              <w:pStyle w:val="TableFiguresBold0"/>
              <w:rPr>
                <w:sz w:val="21"/>
                <w:szCs w:val="21"/>
              </w:rPr>
            </w:pPr>
            <w:r w:rsidRPr="005F6D8A">
              <w:rPr>
                <w:sz w:val="21"/>
                <w:szCs w:val="21"/>
              </w:rPr>
              <w:t>326</w:t>
            </w:r>
          </w:p>
        </w:tc>
        <w:tc>
          <w:tcPr>
            <w:tcW w:w="1390" w:type="dxa"/>
            <w:tcBorders>
              <w:top w:val="nil"/>
              <w:left w:val="nil"/>
              <w:bottom w:val="nil"/>
              <w:right w:val="single" w:sz="4" w:space="0" w:color="auto"/>
            </w:tcBorders>
            <w:shd w:val="clear" w:color="auto" w:fill="auto"/>
          </w:tcPr>
          <w:p w14:paraId="5D574E2D" w14:textId="4D0A990C" w:rsidR="008C16E2" w:rsidRPr="00CB1881" w:rsidRDefault="001030E3" w:rsidP="005F6D8A">
            <w:pPr>
              <w:pStyle w:val="TableFigures"/>
              <w:rPr>
                <w:bCs/>
                <w:sz w:val="21"/>
                <w:szCs w:val="21"/>
              </w:rPr>
            </w:pPr>
            <w:r w:rsidRPr="00CB1881">
              <w:rPr>
                <w:rFonts w:cs="Arial"/>
                <w:spacing w:val="0"/>
                <w:sz w:val="21"/>
                <w:szCs w:val="21"/>
              </w:rPr>
              <w:t>286</w:t>
            </w:r>
          </w:p>
        </w:tc>
      </w:tr>
      <w:tr w:rsidR="005F6D8A" w:rsidRPr="005F6D8A" w14:paraId="70D4F11F" w14:textId="77777777" w:rsidTr="005F6D8A">
        <w:tc>
          <w:tcPr>
            <w:tcW w:w="7366" w:type="dxa"/>
            <w:gridSpan w:val="2"/>
            <w:tcBorders>
              <w:top w:val="nil"/>
              <w:left w:val="single" w:sz="4" w:space="0" w:color="auto"/>
              <w:bottom w:val="nil"/>
            </w:tcBorders>
          </w:tcPr>
          <w:p w14:paraId="4DB5CD23" w14:textId="77777777" w:rsidR="008C16E2" w:rsidRPr="00CB1881" w:rsidRDefault="008C16E2" w:rsidP="005F6D8A">
            <w:pPr>
              <w:spacing w:after="40" w:line="276" w:lineRule="auto"/>
              <w:ind w:left="147"/>
              <w:jc w:val="both"/>
              <w:rPr>
                <w:rFonts w:cs="Arial"/>
                <w:sz w:val="21"/>
                <w:szCs w:val="21"/>
              </w:rPr>
            </w:pPr>
            <w:r w:rsidRPr="00CB1881">
              <w:rPr>
                <w:rFonts w:cs="Arial"/>
                <w:spacing w:val="0"/>
                <w:sz w:val="21"/>
                <w:szCs w:val="21"/>
              </w:rPr>
              <w:t>Disposals (£m)</w:t>
            </w:r>
          </w:p>
        </w:tc>
        <w:tc>
          <w:tcPr>
            <w:tcW w:w="1701" w:type="dxa"/>
            <w:shd w:val="clear" w:color="auto" w:fill="D9D9D9" w:themeFill="background1" w:themeFillShade="D9"/>
          </w:tcPr>
          <w:p w14:paraId="528BA389" w14:textId="77777777" w:rsidR="008C16E2" w:rsidRPr="005F6D8A" w:rsidRDefault="008C16E2" w:rsidP="005F6D8A">
            <w:pPr>
              <w:pStyle w:val="TableFiguresBold0"/>
              <w:rPr>
                <w:sz w:val="21"/>
                <w:szCs w:val="21"/>
              </w:rPr>
            </w:pPr>
            <w:r w:rsidRPr="005F6D8A">
              <w:rPr>
                <w:sz w:val="21"/>
                <w:szCs w:val="21"/>
              </w:rPr>
              <w:t>515</w:t>
            </w:r>
          </w:p>
        </w:tc>
        <w:tc>
          <w:tcPr>
            <w:tcW w:w="1390" w:type="dxa"/>
            <w:tcBorders>
              <w:top w:val="nil"/>
              <w:left w:val="nil"/>
              <w:bottom w:val="nil"/>
              <w:right w:val="single" w:sz="4" w:space="0" w:color="auto"/>
            </w:tcBorders>
            <w:shd w:val="clear" w:color="auto" w:fill="auto"/>
          </w:tcPr>
          <w:p w14:paraId="520DA738" w14:textId="77777777" w:rsidR="008C16E2" w:rsidRPr="00CB1881" w:rsidRDefault="008C16E2" w:rsidP="005F6D8A">
            <w:pPr>
              <w:pStyle w:val="TableFigures"/>
              <w:rPr>
                <w:bCs/>
                <w:sz w:val="21"/>
                <w:szCs w:val="21"/>
              </w:rPr>
            </w:pPr>
            <w:r w:rsidRPr="00CB1881">
              <w:rPr>
                <w:rFonts w:cs="Arial"/>
                <w:spacing w:val="0"/>
                <w:sz w:val="21"/>
                <w:szCs w:val="21"/>
              </w:rPr>
              <w:t>139</w:t>
            </w:r>
          </w:p>
        </w:tc>
      </w:tr>
      <w:tr w:rsidR="005F6D8A" w:rsidRPr="005F6D8A" w14:paraId="2B602E30" w14:textId="77777777" w:rsidTr="005F6D8A">
        <w:tc>
          <w:tcPr>
            <w:tcW w:w="10457" w:type="dxa"/>
            <w:gridSpan w:val="4"/>
            <w:tcBorders>
              <w:left w:val="single" w:sz="4" w:space="0" w:color="auto"/>
              <w:bottom w:val="nil"/>
              <w:right w:val="single" w:sz="4" w:space="0" w:color="auto"/>
            </w:tcBorders>
          </w:tcPr>
          <w:p w14:paraId="46BB44AE" w14:textId="77777777" w:rsidR="00CB1881" w:rsidRDefault="00CB1881" w:rsidP="00534093">
            <w:pPr>
              <w:pStyle w:val="TableFigures"/>
              <w:spacing w:before="100" w:after="100" w:line="276" w:lineRule="auto"/>
              <w:jc w:val="both"/>
              <w:rPr>
                <w:rFonts w:cs="Arial"/>
                <w:b/>
                <w:bCs/>
                <w:spacing w:val="0"/>
                <w:sz w:val="22"/>
                <w:szCs w:val="22"/>
              </w:rPr>
            </w:pPr>
          </w:p>
          <w:p w14:paraId="3433340A" w14:textId="6D146A63" w:rsidR="008C16E2" w:rsidRPr="00534093" w:rsidRDefault="008C16E2" w:rsidP="00534093">
            <w:pPr>
              <w:pStyle w:val="TableFigures"/>
              <w:spacing w:before="100" w:after="100" w:line="276" w:lineRule="auto"/>
              <w:jc w:val="both"/>
              <w:rPr>
                <w:bCs/>
                <w:sz w:val="22"/>
                <w:szCs w:val="22"/>
              </w:rPr>
            </w:pPr>
            <w:r w:rsidRPr="00534093">
              <w:rPr>
                <w:rFonts w:cs="Arial"/>
                <w:b/>
                <w:bCs/>
                <w:spacing w:val="0"/>
                <w:sz w:val="22"/>
                <w:szCs w:val="22"/>
              </w:rPr>
              <w:t xml:space="preserve">EXECUTING AND GROWING OUR DEVELOPMENT PIPELINE (see page </w:t>
            </w:r>
            <w:r w:rsidR="00C63CA4">
              <w:rPr>
                <w:rFonts w:cs="Arial"/>
                <w:b/>
                <w:bCs/>
                <w:spacing w:val="0"/>
                <w:sz w:val="22"/>
                <w:szCs w:val="22"/>
              </w:rPr>
              <w:t>14</w:t>
            </w:r>
            <w:r w:rsidRPr="00534093">
              <w:rPr>
                <w:rFonts w:cs="Arial"/>
                <w:b/>
                <w:bCs/>
                <w:spacing w:val="0"/>
                <w:sz w:val="22"/>
                <w:szCs w:val="22"/>
              </w:rPr>
              <w:t>):</w:t>
            </w:r>
          </w:p>
        </w:tc>
      </w:tr>
      <w:tr w:rsidR="005F6D8A" w:rsidRPr="005F6D8A" w14:paraId="4BF1C42F" w14:textId="77777777" w:rsidTr="005F6D8A">
        <w:tc>
          <w:tcPr>
            <w:tcW w:w="10457" w:type="dxa"/>
            <w:gridSpan w:val="4"/>
            <w:tcBorders>
              <w:left w:val="single" w:sz="4" w:space="0" w:color="auto"/>
              <w:bottom w:val="nil"/>
              <w:right w:val="single" w:sz="4" w:space="0" w:color="auto"/>
            </w:tcBorders>
          </w:tcPr>
          <w:p w14:paraId="23D8B703" w14:textId="3671D93C" w:rsidR="008C16E2" w:rsidRPr="00CB1881" w:rsidRDefault="008C16E2" w:rsidP="00534093">
            <w:pPr>
              <w:pStyle w:val="TableFigures"/>
              <w:spacing w:after="100" w:line="276" w:lineRule="auto"/>
              <w:jc w:val="both"/>
              <w:rPr>
                <w:sz w:val="21"/>
                <w:szCs w:val="21"/>
              </w:rPr>
            </w:pPr>
            <w:r w:rsidRPr="00CB1881">
              <w:rPr>
                <w:sz w:val="21"/>
                <w:szCs w:val="21"/>
              </w:rPr>
              <w:t xml:space="preserve">Our active </w:t>
            </w:r>
            <w:r w:rsidR="007677F4" w:rsidRPr="00CB1881">
              <w:rPr>
                <w:sz w:val="21"/>
                <w:szCs w:val="21"/>
              </w:rPr>
              <w:t xml:space="preserve">and largely pre-let </w:t>
            </w:r>
            <w:r w:rsidRPr="00CB1881">
              <w:rPr>
                <w:sz w:val="21"/>
                <w:szCs w:val="21"/>
              </w:rPr>
              <w:t>development pipeline continues to be a key driver of rent roll growth with a record year of completions. Potential rent of £8</w:t>
            </w:r>
            <w:r w:rsidR="00FB7531" w:rsidRPr="00CB1881">
              <w:rPr>
                <w:sz w:val="21"/>
                <w:szCs w:val="21"/>
              </w:rPr>
              <w:t>2</w:t>
            </w:r>
            <w:r w:rsidRPr="00CB1881">
              <w:rPr>
                <w:sz w:val="21"/>
                <w:szCs w:val="21"/>
              </w:rPr>
              <w:t xml:space="preserve"> million from projects currently on</w:t>
            </w:r>
            <w:r w:rsidR="00CD4D67" w:rsidRPr="00CB1881">
              <w:rPr>
                <w:sz w:val="21"/>
                <w:szCs w:val="21"/>
              </w:rPr>
              <w:t xml:space="preserve"> </w:t>
            </w:r>
            <w:r w:rsidRPr="00CB1881">
              <w:rPr>
                <w:sz w:val="21"/>
                <w:szCs w:val="21"/>
              </w:rPr>
              <w:t>site or expected to commence shortly.</w:t>
            </w:r>
          </w:p>
        </w:tc>
      </w:tr>
      <w:tr w:rsidR="005F6D8A" w:rsidRPr="005F6D8A" w14:paraId="617F398D" w14:textId="77777777" w:rsidTr="005F6D8A">
        <w:tc>
          <w:tcPr>
            <w:tcW w:w="7366" w:type="dxa"/>
            <w:gridSpan w:val="2"/>
            <w:tcBorders>
              <w:left w:val="single" w:sz="4" w:space="0" w:color="auto"/>
              <w:bottom w:val="nil"/>
            </w:tcBorders>
          </w:tcPr>
          <w:p w14:paraId="15000D9A" w14:textId="77777777" w:rsidR="008C16E2" w:rsidRPr="00CB1881" w:rsidRDefault="008C16E2" w:rsidP="005F6D8A">
            <w:pPr>
              <w:spacing w:after="40" w:line="240" w:lineRule="auto"/>
              <w:ind w:left="147"/>
              <w:rPr>
                <w:rFonts w:cs="Arial"/>
                <w:sz w:val="21"/>
                <w:szCs w:val="21"/>
              </w:rPr>
            </w:pPr>
            <w:r w:rsidRPr="00CB1881">
              <w:rPr>
                <w:rFonts w:cs="Arial"/>
                <w:spacing w:val="0"/>
                <w:sz w:val="21"/>
                <w:szCs w:val="21"/>
              </w:rPr>
              <w:t>Development completions:</w:t>
            </w:r>
          </w:p>
        </w:tc>
        <w:tc>
          <w:tcPr>
            <w:tcW w:w="1701" w:type="dxa"/>
            <w:tcBorders>
              <w:left w:val="nil"/>
              <w:bottom w:val="nil"/>
              <w:right w:val="nil"/>
            </w:tcBorders>
            <w:shd w:val="clear" w:color="auto" w:fill="D9D9D9" w:themeFill="background1" w:themeFillShade="D9"/>
          </w:tcPr>
          <w:p w14:paraId="3E168E35" w14:textId="77777777" w:rsidR="008C16E2" w:rsidRPr="00CB1881" w:rsidRDefault="008C16E2" w:rsidP="005F6D8A">
            <w:pPr>
              <w:pStyle w:val="TableFiguresBold0"/>
              <w:rPr>
                <w:sz w:val="21"/>
                <w:szCs w:val="21"/>
              </w:rPr>
            </w:pPr>
          </w:p>
        </w:tc>
        <w:tc>
          <w:tcPr>
            <w:tcW w:w="1390" w:type="dxa"/>
            <w:tcBorders>
              <w:left w:val="nil"/>
              <w:bottom w:val="nil"/>
              <w:right w:val="single" w:sz="4" w:space="0" w:color="auto"/>
            </w:tcBorders>
            <w:shd w:val="clear" w:color="auto" w:fill="auto"/>
          </w:tcPr>
          <w:p w14:paraId="025A691D" w14:textId="77777777" w:rsidR="008C16E2" w:rsidRPr="00CB1881" w:rsidRDefault="008C16E2" w:rsidP="005F6D8A">
            <w:pPr>
              <w:pStyle w:val="TableFigures"/>
              <w:rPr>
                <w:bCs/>
                <w:sz w:val="21"/>
                <w:szCs w:val="21"/>
              </w:rPr>
            </w:pPr>
          </w:p>
        </w:tc>
      </w:tr>
      <w:tr w:rsidR="005F6D8A" w:rsidRPr="005F6D8A" w14:paraId="4D32825D" w14:textId="77777777" w:rsidTr="005F6D8A">
        <w:tc>
          <w:tcPr>
            <w:tcW w:w="6232" w:type="dxa"/>
            <w:tcBorders>
              <w:top w:val="nil"/>
              <w:left w:val="single" w:sz="4" w:space="0" w:color="auto"/>
              <w:bottom w:val="nil"/>
            </w:tcBorders>
          </w:tcPr>
          <w:p w14:paraId="68CFC305" w14:textId="77777777" w:rsidR="008C16E2" w:rsidRPr="00CB1881" w:rsidRDefault="008C16E2" w:rsidP="009D4B2B">
            <w:pPr>
              <w:pStyle w:val="ListParagraph"/>
              <w:numPr>
                <w:ilvl w:val="0"/>
                <w:numId w:val="29"/>
              </w:numPr>
              <w:spacing w:after="40"/>
              <w:rPr>
                <w:rFonts w:cs="Arial"/>
                <w:sz w:val="21"/>
                <w:szCs w:val="21"/>
              </w:rPr>
            </w:pPr>
            <w:r w:rsidRPr="00CB1881">
              <w:rPr>
                <w:rFonts w:cs="Arial"/>
                <w:sz w:val="21"/>
                <w:szCs w:val="21"/>
              </w:rPr>
              <w:t>Space completed (sq m)</w:t>
            </w:r>
          </w:p>
        </w:tc>
        <w:tc>
          <w:tcPr>
            <w:tcW w:w="1134" w:type="dxa"/>
            <w:tcBorders>
              <w:top w:val="nil"/>
              <w:bottom w:val="nil"/>
              <w:right w:val="nil"/>
            </w:tcBorders>
          </w:tcPr>
          <w:p w14:paraId="05797DC6" w14:textId="77777777" w:rsidR="008C16E2" w:rsidRPr="00CB1881" w:rsidRDefault="008C16E2" w:rsidP="005F6D8A">
            <w:pPr>
              <w:spacing w:after="40" w:line="240" w:lineRule="auto"/>
              <w:ind w:left="147"/>
              <w:rPr>
                <w:rFonts w:cs="Arial"/>
                <w:sz w:val="21"/>
                <w:szCs w:val="21"/>
              </w:rPr>
            </w:pPr>
          </w:p>
        </w:tc>
        <w:tc>
          <w:tcPr>
            <w:tcW w:w="1701" w:type="dxa"/>
            <w:shd w:val="clear" w:color="auto" w:fill="D9D9D9" w:themeFill="background1" w:themeFillShade="D9"/>
          </w:tcPr>
          <w:p w14:paraId="20DAB813" w14:textId="77777777" w:rsidR="008C16E2" w:rsidRPr="00CB1881" w:rsidRDefault="008C16E2" w:rsidP="005F6D8A">
            <w:pPr>
              <w:pStyle w:val="TableFiguresBold0"/>
              <w:rPr>
                <w:sz w:val="21"/>
                <w:szCs w:val="21"/>
              </w:rPr>
            </w:pPr>
            <w:r w:rsidRPr="00CB1881">
              <w:rPr>
                <w:sz w:val="21"/>
                <w:szCs w:val="21"/>
              </w:rPr>
              <w:t>839,200</w:t>
            </w:r>
          </w:p>
        </w:tc>
        <w:tc>
          <w:tcPr>
            <w:tcW w:w="1390" w:type="dxa"/>
            <w:tcBorders>
              <w:top w:val="nil"/>
              <w:left w:val="nil"/>
              <w:bottom w:val="nil"/>
              <w:right w:val="single" w:sz="4" w:space="0" w:color="auto"/>
            </w:tcBorders>
            <w:shd w:val="clear" w:color="auto" w:fill="auto"/>
          </w:tcPr>
          <w:p w14:paraId="01D46BA6" w14:textId="77777777" w:rsidR="008C16E2" w:rsidRPr="00CB1881" w:rsidRDefault="008C16E2" w:rsidP="005F6D8A">
            <w:pPr>
              <w:pStyle w:val="TableFigures"/>
              <w:rPr>
                <w:bCs/>
                <w:sz w:val="21"/>
                <w:szCs w:val="21"/>
              </w:rPr>
            </w:pPr>
            <w:r w:rsidRPr="00CB1881">
              <w:rPr>
                <w:rFonts w:cs="Arial"/>
                <w:spacing w:val="0"/>
                <w:sz w:val="21"/>
                <w:szCs w:val="21"/>
              </w:rPr>
              <w:t>835,900</w:t>
            </w:r>
          </w:p>
        </w:tc>
      </w:tr>
      <w:tr w:rsidR="005F6D8A" w:rsidRPr="005F6D8A" w14:paraId="10D2752B" w14:textId="77777777" w:rsidTr="005F6D8A">
        <w:tc>
          <w:tcPr>
            <w:tcW w:w="7366" w:type="dxa"/>
            <w:gridSpan w:val="2"/>
            <w:tcBorders>
              <w:top w:val="nil"/>
              <w:left w:val="single" w:sz="4" w:space="0" w:color="auto"/>
              <w:bottom w:val="nil"/>
            </w:tcBorders>
          </w:tcPr>
          <w:p w14:paraId="25C0196F" w14:textId="77777777" w:rsidR="008C16E2" w:rsidRPr="00CB1881" w:rsidRDefault="008C16E2" w:rsidP="005F6D8A">
            <w:pPr>
              <w:spacing w:after="40" w:line="240" w:lineRule="auto"/>
              <w:ind w:left="147"/>
              <w:rPr>
                <w:rFonts w:cs="Arial"/>
                <w:sz w:val="21"/>
                <w:szCs w:val="21"/>
              </w:rPr>
            </w:pPr>
            <w:r w:rsidRPr="00CB1881">
              <w:rPr>
                <w:rFonts w:cs="Arial"/>
                <w:sz w:val="21"/>
                <w:szCs w:val="21"/>
              </w:rPr>
              <w:t xml:space="preserve">       –    Potential rent (£m</w:t>
            </w:r>
            <w:r w:rsidRPr="00CB1881">
              <w:rPr>
                <w:rFonts w:eastAsia="Calibri" w:cs="Arial"/>
                <w:spacing w:val="0"/>
                <w:sz w:val="21"/>
                <w:szCs w:val="21"/>
                <w:lang w:eastAsia="en-US"/>
              </w:rPr>
              <w:t>)</w:t>
            </w:r>
            <w:r w:rsidRPr="00CB1881">
              <w:rPr>
                <w:rFonts w:cs="Arial"/>
                <w:sz w:val="21"/>
                <w:szCs w:val="21"/>
              </w:rPr>
              <w:t xml:space="preserve"> (Rent secured, </w:t>
            </w:r>
            <w:r w:rsidRPr="00CB1881">
              <w:rPr>
                <w:rFonts w:eastAsia="Calibri" w:cs="Arial"/>
                <w:spacing w:val="0"/>
                <w:sz w:val="21"/>
                <w:szCs w:val="21"/>
                <w:lang w:eastAsia="en-US"/>
              </w:rPr>
              <w:t>%)</w:t>
            </w:r>
          </w:p>
        </w:tc>
        <w:tc>
          <w:tcPr>
            <w:tcW w:w="1701" w:type="dxa"/>
            <w:shd w:val="clear" w:color="auto" w:fill="D9D9D9" w:themeFill="background1" w:themeFillShade="D9"/>
          </w:tcPr>
          <w:p w14:paraId="559C742A" w14:textId="77777777" w:rsidR="008C16E2" w:rsidRPr="00CB1881" w:rsidRDefault="008C16E2" w:rsidP="005F6D8A">
            <w:pPr>
              <w:pStyle w:val="TableFiguresBold0"/>
              <w:rPr>
                <w:sz w:val="21"/>
                <w:szCs w:val="21"/>
              </w:rPr>
            </w:pPr>
            <w:r w:rsidRPr="00CB1881">
              <w:rPr>
                <w:sz w:val="21"/>
                <w:szCs w:val="21"/>
              </w:rPr>
              <w:t>52 (93%)</w:t>
            </w:r>
          </w:p>
        </w:tc>
        <w:tc>
          <w:tcPr>
            <w:tcW w:w="1390" w:type="dxa"/>
            <w:tcBorders>
              <w:top w:val="nil"/>
              <w:left w:val="nil"/>
              <w:bottom w:val="nil"/>
              <w:right w:val="single" w:sz="4" w:space="0" w:color="auto"/>
            </w:tcBorders>
            <w:shd w:val="clear" w:color="auto" w:fill="auto"/>
          </w:tcPr>
          <w:p w14:paraId="6E215BFA" w14:textId="77777777" w:rsidR="008C16E2" w:rsidRPr="00CB1881" w:rsidRDefault="008C16E2" w:rsidP="005F6D8A">
            <w:pPr>
              <w:pStyle w:val="TableFigures"/>
              <w:rPr>
                <w:bCs/>
                <w:sz w:val="21"/>
                <w:szCs w:val="21"/>
              </w:rPr>
            </w:pPr>
            <w:r w:rsidRPr="00CB1881">
              <w:rPr>
                <w:rFonts w:cs="Arial"/>
                <w:spacing w:val="0"/>
                <w:sz w:val="21"/>
                <w:szCs w:val="21"/>
              </w:rPr>
              <w:t>47 (84%)</w:t>
            </w:r>
          </w:p>
        </w:tc>
      </w:tr>
      <w:tr w:rsidR="005F6D8A" w:rsidRPr="005F6D8A" w14:paraId="70B02520" w14:textId="77777777" w:rsidTr="005F6D8A">
        <w:tc>
          <w:tcPr>
            <w:tcW w:w="6232" w:type="dxa"/>
            <w:tcBorders>
              <w:top w:val="nil"/>
              <w:left w:val="single" w:sz="4" w:space="0" w:color="auto"/>
            </w:tcBorders>
          </w:tcPr>
          <w:p w14:paraId="74E5A319" w14:textId="77777777" w:rsidR="008C16E2" w:rsidRPr="00CB1881" w:rsidRDefault="008C16E2" w:rsidP="005F6D8A">
            <w:pPr>
              <w:spacing w:after="40" w:line="240" w:lineRule="auto"/>
              <w:rPr>
                <w:rFonts w:cs="Arial"/>
                <w:spacing w:val="0"/>
                <w:sz w:val="21"/>
                <w:szCs w:val="21"/>
              </w:rPr>
            </w:pPr>
            <w:r w:rsidRPr="00CB1881">
              <w:rPr>
                <w:rFonts w:cs="Arial"/>
                <w:spacing w:val="0"/>
                <w:sz w:val="21"/>
                <w:szCs w:val="21"/>
              </w:rPr>
              <w:t xml:space="preserve">  Embodied carbon emissions (kgCO2e/m</w:t>
            </w:r>
            <w:r w:rsidRPr="00CB1881">
              <w:rPr>
                <w:rFonts w:cs="Arial"/>
                <w:spacing w:val="0"/>
                <w:sz w:val="21"/>
                <w:szCs w:val="21"/>
                <w:vertAlign w:val="superscript"/>
              </w:rPr>
              <w:t>2</w:t>
            </w:r>
            <w:r w:rsidRPr="00CB1881">
              <w:rPr>
                <w:rFonts w:cs="Arial"/>
                <w:spacing w:val="0"/>
                <w:sz w:val="21"/>
                <w:szCs w:val="21"/>
              </w:rPr>
              <w:t>)</w:t>
            </w:r>
          </w:p>
        </w:tc>
        <w:tc>
          <w:tcPr>
            <w:tcW w:w="1134" w:type="dxa"/>
            <w:tcBorders>
              <w:top w:val="nil"/>
              <w:right w:val="nil"/>
            </w:tcBorders>
          </w:tcPr>
          <w:p w14:paraId="28AEE3EE" w14:textId="77777777" w:rsidR="008C16E2" w:rsidRPr="00CB1881" w:rsidRDefault="008C16E2" w:rsidP="005F6D8A">
            <w:pPr>
              <w:spacing w:after="40" w:line="240" w:lineRule="auto"/>
              <w:ind w:left="147"/>
              <w:rPr>
                <w:rFonts w:cs="Arial"/>
                <w:sz w:val="21"/>
                <w:szCs w:val="21"/>
              </w:rPr>
            </w:pPr>
          </w:p>
        </w:tc>
        <w:tc>
          <w:tcPr>
            <w:tcW w:w="1701" w:type="dxa"/>
            <w:shd w:val="clear" w:color="auto" w:fill="D9D9D9" w:themeFill="background1" w:themeFillShade="D9"/>
          </w:tcPr>
          <w:p w14:paraId="586AE006" w14:textId="77777777" w:rsidR="008C16E2" w:rsidRPr="00CB1881" w:rsidRDefault="008C16E2" w:rsidP="005F6D8A">
            <w:pPr>
              <w:pStyle w:val="TableFiguresBold0"/>
              <w:rPr>
                <w:sz w:val="21"/>
                <w:szCs w:val="21"/>
              </w:rPr>
            </w:pPr>
            <w:r w:rsidRPr="00CB1881">
              <w:rPr>
                <w:sz w:val="21"/>
                <w:szCs w:val="21"/>
              </w:rPr>
              <w:t>391</w:t>
            </w:r>
          </w:p>
        </w:tc>
        <w:tc>
          <w:tcPr>
            <w:tcW w:w="1390" w:type="dxa"/>
            <w:tcBorders>
              <w:top w:val="nil"/>
              <w:left w:val="nil"/>
              <w:right w:val="single" w:sz="4" w:space="0" w:color="auto"/>
            </w:tcBorders>
            <w:shd w:val="clear" w:color="auto" w:fill="auto"/>
          </w:tcPr>
          <w:p w14:paraId="172139B9" w14:textId="77777777" w:rsidR="008C16E2" w:rsidRPr="00CB1881" w:rsidRDefault="008C16E2" w:rsidP="005F6D8A">
            <w:pPr>
              <w:pStyle w:val="TableFigures"/>
              <w:rPr>
                <w:rFonts w:cs="Arial"/>
                <w:spacing w:val="0"/>
                <w:sz w:val="21"/>
                <w:szCs w:val="21"/>
              </w:rPr>
            </w:pPr>
            <w:r w:rsidRPr="00CB1881">
              <w:rPr>
                <w:rFonts w:cs="Arial"/>
                <w:spacing w:val="0"/>
                <w:sz w:val="21"/>
                <w:szCs w:val="21"/>
              </w:rPr>
              <w:t>400</w:t>
            </w:r>
          </w:p>
        </w:tc>
      </w:tr>
      <w:tr w:rsidR="005F6D8A" w:rsidRPr="005F6D8A" w14:paraId="23F3EA8B" w14:textId="77777777" w:rsidTr="005F6D8A">
        <w:tc>
          <w:tcPr>
            <w:tcW w:w="7366" w:type="dxa"/>
            <w:gridSpan w:val="2"/>
            <w:tcBorders>
              <w:top w:val="nil"/>
              <w:left w:val="single" w:sz="4" w:space="0" w:color="auto"/>
            </w:tcBorders>
          </w:tcPr>
          <w:p w14:paraId="308D424C" w14:textId="77777777" w:rsidR="008C16E2" w:rsidRPr="00CB1881" w:rsidRDefault="008C16E2" w:rsidP="005F6D8A">
            <w:pPr>
              <w:spacing w:after="40" w:line="240" w:lineRule="auto"/>
              <w:rPr>
                <w:rFonts w:cs="Arial"/>
                <w:sz w:val="21"/>
                <w:szCs w:val="21"/>
              </w:rPr>
            </w:pPr>
            <w:r w:rsidRPr="00CB1881">
              <w:rPr>
                <w:rFonts w:cs="Arial"/>
                <w:spacing w:val="0"/>
                <w:sz w:val="21"/>
                <w:szCs w:val="21"/>
              </w:rPr>
              <w:t xml:space="preserve">  Current development pipeline potential rent (£m) (Rent secured, %)</w:t>
            </w:r>
          </w:p>
        </w:tc>
        <w:tc>
          <w:tcPr>
            <w:tcW w:w="1701" w:type="dxa"/>
            <w:shd w:val="clear" w:color="auto" w:fill="D9D9D9" w:themeFill="background1" w:themeFillShade="D9"/>
          </w:tcPr>
          <w:p w14:paraId="3635393F" w14:textId="12942DBD" w:rsidR="008C16E2" w:rsidRPr="00CB1881" w:rsidRDefault="008C16E2" w:rsidP="005F6D8A">
            <w:pPr>
              <w:pStyle w:val="TableFiguresBold0"/>
              <w:rPr>
                <w:sz w:val="21"/>
                <w:szCs w:val="21"/>
              </w:rPr>
            </w:pPr>
            <w:r w:rsidRPr="00CB1881">
              <w:rPr>
                <w:sz w:val="21"/>
                <w:szCs w:val="21"/>
              </w:rPr>
              <w:t>6</w:t>
            </w:r>
            <w:r w:rsidR="00175306" w:rsidRPr="00CB1881">
              <w:rPr>
                <w:sz w:val="21"/>
                <w:szCs w:val="21"/>
              </w:rPr>
              <w:t>2</w:t>
            </w:r>
            <w:r w:rsidRPr="00CB1881">
              <w:rPr>
                <w:sz w:val="21"/>
                <w:szCs w:val="21"/>
              </w:rPr>
              <w:t xml:space="preserve"> (60%)</w:t>
            </w:r>
          </w:p>
        </w:tc>
        <w:tc>
          <w:tcPr>
            <w:tcW w:w="1390" w:type="dxa"/>
            <w:tcBorders>
              <w:top w:val="nil"/>
              <w:left w:val="nil"/>
              <w:right w:val="single" w:sz="4" w:space="0" w:color="auto"/>
            </w:tcBorders>
            <w:shd w:val="clear" w:color="auto" w:fill="auto"/>
          </w:tcPr>
          <w:p w14:paraId="32E20559" w14:textId="77777777" w:rsidR="008C16E2" w:rsidRPr="00CB1881" w:rsidRDefault="008C16E2" w:rsidP="005F6D8A">
            <w:pPr>
              <w:pStyle w:val="TableFigures"/>
              <w:rPr>
                <w:bCs/>
                <w:sz w:val="21"/>
                <w:szCs w:val="21"/>
              </w:rPr>
            </w:pPr>
            <w:r w:rsidRPr="00CB1881">
              <w:rPr>
                <w:rFonts w:cs="Arial"/>
                <w:spacing w:val="0"/>
                <w:sz w:val="21"/>
                <w:szCs w:val="21"/>
              </w:rPr>
              <w:t>54 (66%)</w:t>
            </w:r>
          </w:p>
        </w:tc>
      </w:tr>
      <w:tr w:rsidR="005F6D8A" w:rsidRPr="005F6D8A" w14:paraId="66626CFE" w14:textId="77777777" w:rsidTr="005F6D8A">
        <w:tc>
          <w:tcPr>
            <w:tcW w:w="6232" w:type="dxa"/>
            <w:tcBorders>
              <w:top w:val="nil"/>
              <w:left w:val="single" w:sz="4" w:space="0" w:color="auto"/>
              <w:bottom w:val="single" w:sz="4" w:space="0" w:color="auto"/>
            </w:tcBorders>
          </w:tcPr>
          <w:p w14:paraId="5F79ADB6" w14:textId="77777777" w:rsidR="008C16E2" w:rsidRPr="00CB1881" w:rsidRDefault="008C16E2" w:rsidP="005F6D8A">
            <w:pPr>
              <w:spacing w:after="120" w:line="240" w:lineRule="auto"/>
              <w:rPr>
                <w:rFonts w:cs="Arial"/>
                <w:sz w:val="21"/>
                <w:szCs w:val="21"/>
              </w:rPr>
            </w:pPr>
            <w:r w:rsidRPr="00CB1881">
              <w:rPr>
                <w:rFonts w:cs="Arial"/>
                <w:spacing w:val="0"/>
                <w:sz w:val="21"/>
                <w:szCs w:val="21"/>
              </w:rPr>
              <w:t xml:space="preserve">  Near-term development pipeline potential rent (£m)</w:t>
            </w:r>
          </w:p>
        </w:tc>
        <w:tc>
          <w:tcPr>
            <w:tcW w:w="1134" w:type="dxa"/>
            <w:tcBorders>
              <w:top w:val="nil"/>
              <w:bottom w:val="single" w:sz="4" w:space="0" w:color="auto"/>
              <w:right w:val="nil"/>
            </w:tcBorders>
          </w:tcPr>
          <w:p w14:paraId="5A0A0970" w14:textId="77777777" w:rsidR="008C16E2" w:rsidRPr="00CB1881" w:rsidRDefault="008C16E2" w:rsidP="005F6D8A">
            <w:pPr>
              <w:spacing w:after="120" w:line="240" w:lineRule="auto"/>
              <w:ind w:left="147"/>
              <w:rPr>
                <w:rFonts w:cs="Arial"/>
                <w:sz w:val="21"/>
                <w:szCs w:val="21"/>
              </w:rPr>
            </w:pPr>
          </w:p>
        </w:tc>
        <w:tc>
          <w:tcPr>
            <w:tcW w:w="1701" w:type="dxa"/>
            <w:tcBorders>
              <w:bottom w:val="single" w:sz="4" w:space="0" w:color="auto"/>
            </w:tcBorders>
            <w:shd w:val="clear" w:color="auto" w:fill="D9D9D9" w:themeFill="background1" w:themeFillShade="D9"/>
          </w:tcPr>
          <w:p w14:paraId="4E190439" w14:textId="70C90A4D" w:rsidR="008C16E2" w:rsidRPr="00CB1881" w:rsidRDefault="008C16E2" w:rsidP="005F6D8A">
            <w:pPr>
              <w:pStyle w:val="TableFiguresBold0"/>
              <w:spacing w:after="120"/>
              <w:rPr>
                <w:sz w:val="21"/>
                <w:szCs w:val="21"/>
              </w:rPr>
            </w:pPr>
            <w:r w:rsidRPr="00CB1881">
              <w:rPr>
                <w:sz w:val="21"/>
                <w:szCs w:val="21"/>
              </w:rPr>
              <w:t>2</w:t>
            </w:r>
            <w:r w:rsidR="00FB7531" w:rsidRPr="00CB1881">
              <w:rPr>
                <w:sz w:val="21"/>
                <w:szCs w:val="21"/>
              </w:rPr>
              <w:t>0</w:t>
            </w:r>
          </w:p>
        </w:tc>
        <w:tc>
          <w:tcPr>
            <w:tcW w:w="1390" w:type="dxa"/>
            <w:tcBorders>
              <w:top w:val="nil"/>
              <w:left w:val="nil"/>
              <w:bottom w:val="single" w:sz="4" w:space="0" w:color="auto"/>
              <w:right w:val="single" w:sz="4" w:space="0" w:color="auto"/>
            </w:tcBorders>
            <w:shd w:val="clear" w:color="auto" w:fill="auto"/>
          </w:tcPr>
          <w:p w14:paraId="30C3E62F" w14:textId="77777777" w:rsidR="008C16E2" w:rsidRPr="00CB1881" w:rsidRDefault="008C16E2" w:rsidP="005F6D8A">
            <w:pPr>
              <w:pStyle w:val="TableFigures"/>
              <w:spacing w:after="120"/>
              <w:rPr>
                <w:bCs/>
                <w:sz w:val="21"/>
                <w:szCs w:val="21"/>
              </w:rPr>
            </w:pPr>
            <w:r w:rsidRPr="00CB1881">
              <w:rPr>
                <w:rFonts w:cs="Arial"/>
                <w:spacing w:val="0"/>
                <w:sz w:val="21"/>
                <w:szCs w:val="21"/>
              </w:rPr>
              <w:t>27</w:t>
            </w:r>
          </w:p>
        </w:tc>
      </w:tr>
    </w:tbl>
    <w:p w14:paraId="32A4F21E" w14:textId="77777777" w:rsidR="000D399E" w:rsidRDefault="000D399E" w:rsidP="008C16E2">
      <w:pPr>
        <w:pStyle w:val="Heading2"/>
        <w:shd w:val="clear" w:color="auto" w:fill="FFFFFF" w:themeFill="background1"/>
      </w:pPr>
    </w:p>
    <w:p w14:paraId="19259BB1" w14:textId="77777777" w:rsidR="000D399E" w:rsidRDefault="000D399E" w:rsidP="008C16E2">
      <w:pPr>
        <w:pStyle w:val="Heading2"/>
        <w:shd w:val="clear" w:color="auto" w:fill="FFFFFF" w:themeFill="background1"/>
      </w:pPr>
    </w:p>
    <w:p w14:paraId="2ED2DB3D" w14:textId="7CE931BA" w:rsidR="008C16E2" w:rsidRPr="005F6D8A" w:rsidRDefault="008C16E2" w:rsidP="008C16E2">
      <w:pPr>
        <w:pStyle w:val="Heading2"/>
        <w:shd w:val="clear" w:color="auto" w:fill="FFFFFF" w:themeFill="background1"/>
      </w:pPr>
      <w:r w:rsidRPr="005F6D8A">
        <w:lastRenderedPageBreak/>
        <w:t>OUTLOOK</w:t>
      </w:r>
    </w:p>
    <w:p w14:paraId="6A318A26" w14:textId="5C72085A" w:rsidR="008C16E2" w:rsidRPr="005F6D8A" w:rsidRDefault="008C16E2" w:rsidP="006A443A">
      <w:pPr>
        <w:pStyle w:val="Normal1"/>
      </w:pPr>
      <w:r w:rsidRPr="005F6D8A">
        <w:t>We enter 2022 with con</w:t>
      </w:r>
      <w:r w:rsidR="00CD4D67">
        <w:t>siderable</w:t>
      </w:r>
      <w:r w:rsidRPr="005F6D8A">
        <w:t xml:space="preserve"> </w:t>
      </w:r>
      <w:r w:rsidR="00CD4D67">
        <w:t xml:space="preserve">confidence </w:t>
      </w:r>
      <w:r w:rsidRPr="005F6D8A">
        <w:t xml:space="preserve">in the outlook for the business and its ability to deliver continued growth. The effects of the pandemic are </w:t>
      </w:r>
      <w:r w:rsidR="003C6ED9" w:rsidRPr="005F6D8A">
        <w:t>ongoing,</w:t>
      </w:r>
      <w:r w:rsidR="006801BB">
        <w:t xml:space="preserve"> and we remain mindful of macroeconomic and geopolitical risks, </w:t>
      </w:r>
      <w:r w:rsidRPr="005F6D8A">
        <w:t>but the world is adapting quickl</w:t>
      </w:r>
      <w:r w:rsidR="007677F4">
        <w:t>y and</w:t>
      </w:r>
      <w:r w:rsidRPr="005F6D8A">
        <w:t xml:space="preserve"> learning how to function alongside </w:t>
      </w:r>
      <w:r w:rsidR="006801BB">
        <w:t>Covid-19</w:t>
      </w:r>
      <w:r w:rsidRPr="005F6D8A">
        <w:t xml:space="preserve"> </w:t>
      </w:r>
      <w:r w:rsidR="007677F4">
        <w:t xml:space="preserve">with the lasting impacts on the way that we live and work strengthening </w:t>
      </w:r>
      <w:r w:rsidRPr="005F6D8A">
        <w:t>occupier demand</w:t>
      </w:r>
      <w:r w:rsidR="007677F4">
        <w:t xml:space="preserve">. </w:t>
      </w:r>
      <w:r w:rsidRPr="005F6D8A">
        <w:t xml:space="preserve">It has highlighted the importance of global supply chains facilitated by high-quality logistics space and we have positioned our business to take advantage of these structural tailwinds. </w:t>
      </w:r>
    </w:p>
    <w:p w14:paraId="098DCF97" w14:textId="4B90895E" w:rsidR="008C16E2" w:rsidRPr="005F6D8A" w:rsidRDefault="008C16E2" w:rsidP="006A443A">
      <w:pPr>
        <w:pStyle w:val="Normal1"/>
      </w:pPr>
      <w:r w:rsidRPr="005F6D8A">
        <w:t>Against a backdrop of strong demand from an increasingly diverse range of businesses, combined with historically low vacancy rates across Europe, we expect rental growth to continue across</w:t>
      </w:r>
      <w:r w:rsidR="00610C06">
        <w:t xml:space="preserve"> our</w:t>
      </w:r>
      <w:r w:rsidRPr="005F6D8A">
        <w:t xml:space="preserve"> markets</w:t>
      </w:r>
      <w:r w:rsidR="00ED33A1">
        <w:t xml:space="preserve">. We believe that the growth rate will be highest where developable land is in short supply, for example in urban markets such as London and Paris. </w:t>
      </w:r>
      <w:r w:rsidR="00CD4D67">
        <w:t>This acute supply-demand imbalance delivered r</w:t>
      </w:r>
      <w:r w:rsidR="00AB5390">
        <w:t>ecord rental growth during 2021</w:t>
      </w:r>
      <w:r w:rsidR="00CD4D67">
        <w:t xml:space="preserve">, </w:t>
      </w:r>
      <w:r w:rsidR="00AB5390">
        <w:t>result</w:t>
      </w:r>
      <w:r w:rsidR="00CD4D67">
        <w:t>ing</w:t>
      </w:r>
      <w:r w:rsidR="00AB5390">
        <w:t xml:space="preserve"> in</w:t>
      </w:r>
      <w:r w:rsidRPr="005F6D8A">
        <w:t xml:space="preserve"> significant accumulated rental reversion in the portfolio</w:t>
      </w:r>
      <w:r w:rsidR="00CD4D67">
        <w:t xml:space="preserve"> which</w:t>
      </w:r>
      <w:r w:rsidRPr="005F6D8A">
        <w:t xml:space="preserve"> </w:t>
      </w:r>
      <w:r w:rsidR="007677F4">
        <w:t xml:space="preserve">we </w:t>
      </w:r>
      <w:r w:rsidRPr="005F6D8A">
        <w:t>will be working hard to capture during 2022 and the coming years.</w:t>
      </w:r>
    </w:p>
    <w:p w14:paraId="20618A08" w14:textId="02F2ABB3" w:rsidR="008C16E2" w:rsidRPr="005F6D8A" w:rsidRDefault="00CD4D67" w:rsidP="006A443A">
      <w:pPr>
        <w:pStyle w:val="Normal1"/>
      </w:pPr>
      <w:r>
        <w:t>Our r</w:t>
      </w:r>
      <w:r w:rsidR="008C16E2" w:rsidRPr="005F6D8A">
        <w:t>ecord levels of capital investment over the past two years have resulted in a significant number of projects currently under construction</w:t>
      </w:r>
      <w:r w:rsidR="007677F4">
        <w:t>, with a high level of pre-leasing,</w:t>
      </w:r>
      <w:r w:rsidR="008C16E2" w:rsidRPr="005F6D8A">
        <w:t xml:space="preserve"> and a large pipeline of future projects. This allows us to both provide much-needed modern, sustainable space for our customers and to generate additional rental income. We continue to prioritise further opportunities to grow our development pipeline, positioning SEGRO to benefit from the long-term structural trends within the occupier market. </w:t>
      </w:r>
    </w:p>
    <w:p w14:paraId="58F914E5" w14:textId="1CD6A3D2" w:rsidR="008C16E2" w:rsidRPr="005F6D8A" w:rsidRDefault="008C16E2" w:rsidP="006A443A">
      <w:pPr>
        <w:pStyle w:val="Normal1"/>
        <w:rPr>
          <w:highlight w:val="yellow"/>
        </w:rPr>
      </w:pPr>
      <w:r w:rsidRPr="005F6D8A">
        <w:t xml:space="preserve">Inflationary pressures </w:t>
      </w:r>
      <w:r w:rsidR="00CD4D67">
        <w:t>remain</w:t>
      </w:r>
      <w:r w:rsidRPr="005F6D8A">
        <w:t xml:space="preserve"> but we expect to be able to offset these in our existing portfolio by capturing the significant reversion in lease reviews and renewals</w:t>
      </w:r>
      <w:r w:rsidR="00CD4D67">
        <w:t xml:space="preserve">, whilst benefiting from </w:t>
      </w:r>
      <w:r w:rsidRPr="005F6D8A">
        <w:t>indexation provisions in</w:t>
      </w:r>
      <w:r w:rsidR="00CD4D67">
        <w:t xml:space="preserve"> our remaining leases which represent </w:t>
      </w:r>
      <w:r w:rsidRPr="005F6D8A">
        <w:t>approximately</w:t>
      </w:r>
      <w:r w:rsidR="00A73D99">
        <w:t xml:space="preserve"> 40 per cent </w:t>
      </w:r>
      <w:r w:rsidRPr="00817509">
        <w:t>of our rent roll</w:t>
      </w:r>
      <w:r w:rsidRPr="00EC5FDC">
        <w:t>. Rental</w:t>
      </w:r>
      <w:r w:rsidRPr="005F6D8A">
        <w:t xml:space="preserve"> growth has also allowed us to </w:t>
      </w:r>
      <w:r w:rsidR="00EB2C57">
        <w:t xml:space="preserve">maintain the profitability of our development programme despite </w:t>
      </w:r>
      <w:r w:rsidRPr="005F6D8A">
        <w:t>the additional cost pressures arising from increased construction and material</w:t>
      </w:r>
      <w:r w:rsidR="00610C06">
        <w:t xml:space="preserve"> costs</w:t>
      </w:r>
      <w:r w:rsidR="006A443A">
        <w:t>.</w:t>
      </w:r>
    </w:p>
    <w:p w14:paraId="66A373AD" w14:textId="015265A9" w:rsidR="008C16E2" w:rsidRPr="005F6D8A" w:rsidRDefault="008C16E2" w:rsidP="006A443A">
      <w:pPr>
        <w:pStyle w:val="Normal1"/>
      </w:pPr>
      <w:r w:rsidRPr="005F6D8A">
        <w:t xml:space="preserve">The unique supply-demand dynamics of the industrial sector have attracted increasing competition from both investors and developers, but we are confident in our ability to source profitable new opportunities to grow. As evidenced during 2021, the combination of our significant portfolio of modern assets in the most desirable locations across Europe </w:t>
      </w:r>
      <w:r w:rsidR="007677F4">
        <w:t xml:space="preserve">together with </w:t>
      </w:r>
      <w:r w:rsidRPr="005F6D8A">
        <w:t>our well-established operating platform provides us with a clear competitive advantage. This</w:t>
      </w:r>
      <w:r w:rsidR="007677F4">
        <w:t>, alongside</w:t>
      </w:r>
      <w:r w:rsidRPr="005F6D8A">
        <w:t xml:space="preserve"> the meaningful and lasting changes we are making through our Responsible SEGRO focus areas will help us to ensure that our business continues to prosper, creating shared value for our customers, employees, shareholders, local communities</w:t>
      </w:r>
      <w:r w:rsidR="00CB1881">
        <w:t>, investors</w:t>
      </w:r>
      <w:r w:rsidRPr="005F6D8A">
        <w:t xml:space="preserve"> and all of our other stakeholders.  </w:t>
      </w:r>
    </w:p>
    <w:p w14:paraId="27998F90" w14:textId="319003B9" w:rsidR="008C16E2" w:rsidRPr="005F6D8A" w:rsidRDefault="008C16E2" w:rsidP="008C16E2">
      <w:pPr>
        <w:pStyle w:val="Heading2"/>
      </w:pPr>
      <w:r w:rsidRPr="005F6D8A">
        <w:t>WEBCAST / CONFERENCE CALL FOR INVESTORS AND ANALYSTS</w:t>
      </w:r>
    </w:p>
    <w:p w14:paraId="49254760" w14:textId="77777777" w:rsidR="008C16E2" w:rsidRPr="005F6D8A" w:rsidRDefault="008C16E2" w:rsidP="008C16E2">
      <w:pPr>
        <w:spacing w:after="120" w:line="276" w:lineRule="auto"/>
        <w:jc w:val="both"/>
        <w:rPr>
          <w:rFonts w:cs="Arial"/>
          <w:b/>
          <w:spacing w:val="0"/>
          <w:szCs w:val="20"/>
        </w:rPr>
      </w:pPr>
      <w:r w:rsidRPr="005F6D8A">
        <w:rPr>
          <w:rFonts w:cs="Arial"/>
          <w:b/>
          <w:spacing w:val="0"/>
          <w:szCs w:val="20"/>
        </w:rPr>
        <w:t>A live webcast of the results presentation will be available from 08:30am (UK time) at:</w:t>
      </w:r>
    </w:p>
    <w:p w14:paraId="2689546D" w14:textId="77777777" w:rsidR="005F6D8A" w:rsidRPr="005F6D8A" w:rsidRDefault="00B52B21" w:rsidP="005F6D8A">
      <w:pPr>
        <w:pStyle w:val="NormalWeb"/>
        <w:rPr>
          <w:rFonts w:ascii="Verdana" w:hAnsi="Verdana"/>
          <w:color w:val="auto"/>
          <w:sz w:val="18"/>
          <w:szCs w:val="18"/>
        </w:rPr>
      </w:pPr>
      <w:hyperlink r:id="rId8" w:tooltip="Webcast" w:history="1">
        <w:r w:rsidR="005F6D8A" w:rsidRPr="005F6D8A">
          <w:rPr>
            <w:rStyle w:val="Hyperlink"/>
            <w:rFonts w:ascii="Verdana" w:hAnsi="Verdana"/>
            <w:color w:val="auto"/>
            <w:sz w:val="18"/>
            <w:szCs w:val="18"/>
          </w:rPr>
          <w:t>https://www.investis-live.com/segro/61e7ee290ba3f0120025ce33/fy21</w:t>
        </w:r>
      </w:hyperlink>
      <w:r w:rsidR="005F6D8A" w:rsidRPr="005F6D8A">
        <w:rPr>
          <w:rFonts w:ascii="Verdana" w:hAnsi="Verdana"/>
          <w:color w:val="auto"/>
          <w:sz w:val="18"/>
          <w:szCs w:val="18"/>
          <w:u w:val="single"/>
        </w:rPr>
        <w:t xml:space="preserve"> </w:t>
      </w:r>
    </w:p>
    <w:p w14:paraId="6D62551B" w14:textId="77777777" w:rsidR="008C16E2" w:rsidRPr="005F6D8A" w:rsidRDefault="008C16E2" w:rsidP="008C16E2">
      <w:pPr>
        <w:spacing w:after="120" w:line="276" w:lineRule="auto"/>
        <w:jc w:val="both"/>
        <w:rPr>
          <w:rFonts w:cs="Arial"/>
          <w:spacing w:val="0"/>
          <w:szCs w:val="20"/>
          <w:highlight w:val="yellow"/>
        </w:rPr>
      </w:pPr>
    </w:p>
    <w:p w14:paraId="7067D39C" w14:textId="77777777" w:rsidR="008C16E2" w:rsidRPr="005F6D8A" w:rsidRDefault="008C16E2" w:rsidP="006A443A">
      <w:pPr>
        <w:pStyle w:val="Normal1"/>
      </w:pPr>
      <w:r w:rsidRPr="005F6D8A">
        <w:t xml:space="preserve">The webcast will be available for replay at SEGRO’s website at: </w:t>
      </w:r>
      <w:hyperlink r:id="rId9" w:history="1">
        <w:r w:rsidRPr="005F6D8A">
          <w:rPr>
            <w:rStyle w:val="Hyperlink"/>
            <w:rFonts w:cs="Arial"/>
            <w:color w:val="auto"/>
            <w:spacing w:val="0"/>
            <w:szCs w:val="20"/>
          </w:rPr>
          <w:t>http://www.segro.com/investors</w:t>
        </w:r>
      </w:hyperlink>
      <w:r w:rsidRPr="005F6D8A">
        <w:t xml:space="preserve"> shortly after the live presentation. </w:t>
      </w:r>
    </w:p>
    <w:p w14:paraId="5A2DE99A" w14:textId="77777777" w:rsidR="008C16E2" w:rsidRPr="005F6D8A" w:rsidRDefault="008C16E2" w:rsidP="008C16E2">
      <w:pPr>
        <w:spacing w:after="120" w:line="276" w:lineRule="auto"/>
        <w:jc w:val="both"/>
        <w:rPr>
          <w:rFonts w:cs="Arial"/>
          <w:b/>
          <w:spacing w:val="0"/>
          <w:szCs w:val="20"/>
          <w:highlight w:val="yellow"/>
        </w:rPr>
      </w:pPr>
    </w:p>
    <w:tbl>
      <w:tblPr>
        <w:tblW w:w="0" w:type="auto"/>
        <w:tblCellMar>
          <w:left w:w="0" w:type="dxa"/>
          <w:right w:w="0" w:type="dxa"/>
        </w:tblCellMar>
        <w:tblLook w:val="04A0" w:firstRow="1" w:lastRow="0" w:firstColumn="1" w:lastColumn="0" w:noHBand="0" w:noVBand="1"/>
      </w:tblPr>
      <w:tblGrid>
        <w:gridCol w:w="5231"/>
        <w:gridCol w:w="5236"/>
      </w:tblGrid>
      <w:tr w:rsidR="005F6D8A" w:rsidRPr="005F6D8A" w14:paraId="30F7BEE7" w14:textId="77777777" w:rsidTr="005F6D8A">
        <w:trPr>
          <w:trHeight w:val="1304"/>
        </w:trPr>
        <w:tc>
          <w:tcPr>
            <w:tcW w:w="5231" w:type="dxa"/>
            <w:shd w:val="clear" w:color="auto" w:fill="auto"/>
          </w:tcPr>
          <w:p w14:paraId="2E67A25F" w14:textId="77777777" w:rsidR="008C16E2" w:rsidRPr="005F6D8A" w:rsidRDefault="008C16E2" w:rsidP="005F6D8A">
            <w:pPr>
              <w:spacing w:after="120" w:line="276" w:lineRule="auto"/>
              <w:rPr>
                <w:rFonts w:cs="Arial"/>
                <w:spacing w:val="0"/>
                <w:szCs w:val="20"/>
              </w:rPr>
            </w:pPr>
            <w:r w:rsidRPr="005F6D8A">
              <w:rPr>
                <w:rFonts w:cs="Arial"/>
                <w:spacing w:val="0"/>
                <w:szCs w:val="20"/>
              </w:rPr>
              <w:t>A conference call facility will be available at 08:30 (UK time) on the following number:</w:t>
            </w:r>
          </w:p>
          <w:p w14:paraId="58CCDFCA" w14:textId="77777777" w:rsidR="008C16E2" w:rsidRPr="005F6D8A" w:rsidRDefault="008C16E2" w:rsidP="005F6D8A">
            <w:pPr>
              <w:tabs>
                <w:tab w:val="left" w:pos="2271"/>
              </w:tabs>
              <w:spacing w:after="0" w:line="276" w:lineRule="auto"/>
              <w:rPr>
                <w:rFonts w:cs="Arial"/>
                <w:szCs w:val="22"/>
              </w:rPr>
            </w:pPr>
            <w:r w:rsidRPr="005F6D8A">
              <w:rPr>
                <w:rFonts w:cs="Arial"/>
                <w:spacing w:val="0"/>
                <w:szCs w:val="20"/>
              </w:rPr>
              <w:t>Dial-in:</w:t>
            </w:r>
            <w:r w:rsidRPr="005F6D8A">
              <w:rPr>
                <w:rFonts w:cs="Arial"/>
                <w:spacing w:val="0"/>
                <w:szCs w:val="20"/>
              </w:rPr>
              <w:tab/>
            </w:r>
            <w:r w:rsidRPr="005F6D8A">
              <w:rPr>
                <w:rFonts w:cs="Arial"/>
                <w:szCs w:val="22"/>
              </w:rPr>
              <w:t xml:space="preserve">+44 (0)800 640 6441 </w:t>
            </w:r>
          </w:p>
          <w:p w14:paraId="46B23AF3" w14:textId="77777777" w:rsidR="008C16E2" w:rsidRPr="005F6D8A" w:rsidRDefault="008C16E2" w:rsidP="005F6D8A">
            <w:pPr>
              <w:tabs>
                <w:tab w:val="left" w:pos="2271"/>
              </w:tabs>
              <w:spacing w:after="0" w:line="276" w:lineRule="auto"/>
              <w:rPr>
                <w:rFonts w:cs="Arial"/>
                <w:spacing w:val="0"/>
                <w:szCs w:val="22"/>
              </w:rPr>
            </w:pPr>
            <w:r w:rsidRPr="005F6D8A">
              <w:rPr>
                <w:rFonts w:cs="Arial"/>
                <w:szCs w:val="22"/>
              </w:rPr>
              <w:t xml:space="preserve">                                      +44 (0) 203 936 2999</w:t>
            </w:r>
          </w:p>
          <w:p w14:paraId="3E8C4BB4" w14:textId="1357BAFF" w:rsidR="008C16E2" w:rsidRPr="005F6D8A" w:rsidRDefault="008C16E2" w:rsidP="005F6D8A">
            <w:pPr>
              <w:tabs>
                <w:tab w:val="left" w:pos="2271"/>
              </w:tabs>
              <w:spacing w:after="0" w:line="276" w:lineRule="auto"/>
              <w:rPr>
                <w:rFonts w:cs="Arial"/>
                <w:spacing w:val="0"/>
                <w:szCs w:val="20"/>
                <w:highlight w:val="yellow"/>
              </w:rPr>
            </w:pPr>
            <w:r w:rsidRPr="005F6D8A">
              <w:rPr>
                <w:rFonts w:cs="Arial"/>
                <w:spacing w:val="0"/>
                <w:szCs w:val="20"/>
              </w:rPr>
              <w:t>Access code:</w:t>
            </w:r>
            <w:r w:rsidRPr="005F6D8A">
              <w:rPr>
                <w:rFonts w:cs="Arial"/>
                <w:spacing w:val="0"/>
                <w:szCs w:val="20"/>
              </w:rPr>
              <w:tab/>
            </w:r>
            <w:r w:rsidRPr="005F6D8A">
              <w:rPr>
                <w:lang w:val="en-US"/>
              </w:rPr>
              <w:t xml:space="preserve"> </w:t>
            </w:r>
            <w:r w:rsidR="005F6D8A" w:rsidRPr="005F6D8A">
              <w:rPr>
                <w:lang w:val="en-US"/>
              </w:rPr>
              <w:t>032585</w:t>
            </w:r>
          </w:p>
        </w:tc>
        <w:tc>
          <w:tcPr>
            <w:tcW w:w="5236" w:type="dxa"/>
            <w:shd w:val="clear" w:color="auto" w:fill="auto"/>
          </w:tcPr>
          <w:p w14:paraId="2741008C" w14:textId="283F2B61" w:rsidR="008C16E2" w:rsidRPr="005F6D8A" w:rsidRDefault="008C16E2" w:rsidP="005F6D8A">
            <w:pPr>
              <w:spacing w:after="120" w:line="276" w:lineRule="auto"/>
              <w:ind w:left="253"/>
              <w:rPr>
                <w:rFonts w:cs="Arial"/>
                <w:spacing w:val="0"/>
                <w:szCs w:val="20"/>
              </w:rPr>
            </w:pPr>
            <w:r w:rsidRPr="005F6D8A">
              <w:rPr>
                <w:rFonts w:cs="Arial"/>
                <w:spacing w:val="0"/>
                <w:szCs w:val="20"/>
              </w:rPr>
              <w:t xml:space="preserve">An audio recording of the conference call will be available until </w:t>
            </w:r>
            <w:r w:rsidR="005F6D8A" w:rsidRPr="005F6D8A">
              <w:rPr>
                <w:rFonts w:cs="Arial"/>
                <w:spacing w:val="0"/>
                <w:szCs w:val="20"/>
              </w:rPr>
              <w:t>25 February 2022</w:t>
            </w:r>
            <w:r w:rsidRPr="005F6D8A">
              <w:rPr>
                <w:rFonts w:cs="Arial"/>
                <w:spacing w:val="0"/>
                <w:szCs w:val="20"/>
              </w:rPr>
              <w:t xml:space="preserve"> on:</w:t>
            </w:r>
          </w:p>
          <w:p w14:paraId="03BED1A1" w14:textId="77777777" w:rsidR="008C16E2" w:rsidRPr="005F6D8A" w:rsidRDefault="008C16E2" w:rsidP="005F6D8A">
            <w:pPr>
              <w:tabs>
                <w:tab w:val="left" w:pos="2662"/>
              </w:tabs>
              <w:spacing w:after="0" w:line="276" w:lineRule="auto"/>
              <w:ind w:left="253"/>
              <w:rPr>
                <w:rFonts w:cs="Arial"/>
                <w:spacing w:val="0"/>
                <w:szCs w:val="20"/>
              </w:rPr>
            </w:pPr>
            <w:r w:rsidRPr="005F6D8A">
              <w:rPr>
                <w:rFonts w:cs="Arial"/>
                <w:spacing w:val="0"/>
                <w:szCs w:val="20"/>
              </w:rPr>
              <w:t xml:space="preserve">UK:  </w:t>
            </w:r>
            <w:r w:rsidRPr="005F6D8A">
              <w:rPr>
                <w:rFonts w:cs="Arial"/>
                <w:spacing w:val="0"/>
                <w:szCs w:val="20"/>
              </w:rPr>
              <w:tab/>
              <w:t>+44 (0) 203 936 3001</w:t>
            </w:r>
          </w:p>
          <w:p w14:paraId="4A7CCE00" w14:textId="6D2495C1" w:rsidR="008C16E2" w:rsidRPr="005F6D8A" w:rsidRDefault="008C16E2" w:rsidP="005F6D8A">
            <w:pPr>
              <w:tabs>
                <w:tab w:val="left" w:pos="2662"/>
              </w:tabs>
              <w:spacing w:after="0" w:line="276" w:lineRule="auto"/>
              <w:ind w:left="253"/>
              <w:rPr>
                <w:rFonts w:cs="Arial"/>
                <w:spacing w:val="0"/>
                <w:szCs w:val="20"/>
                <w:highlight w:val="yellow"/>
              </w:rPr>
            </w:pPr>
            <w:r w:rsidRPr="005F6D8A">
              <w:rPr>
                <w:rFonts w:cs="Arial"/>
                <w:spacing w:val="0"/>
                <w:szCs w:val="20"/>
              </w:rPr>
              <w:t xml:space="preserve">Access code: </w:t>
            </w:r>
            <w:r w:rsidRPr="005F6D8A">
              <w:rPr>
                <w:rFonts w:cs="Arial"/>
                <w:spacing w:val="0"/>
                <w:szCs w:val="20"/>
              </w:rPr>
              <w:tab/>
              <w:t xml:space="preserve"> </w:t>
            </w:r>
            <w:r w:rsidR="005F6D8A" w:rsidRPr="005F6D8A">
              <w:rPr>
                <w:rFonts w:cs="Arial"/>
                <w:spacing w:val="0"/>
                <w:szCs w:val="20"/>
              </w:rPr>
              <w:t>040051</w:t>
            </w:r>
          </w:p>
        </w:tc>
      </w:tr>
    </w:tbl>
    <w:p w14:paraId="2B6362C9" w14:textId="77777777" w:rsidR="008C16E2" w:rsidRPr="005F6D8A" w:rsidRDefault="008C16E2" w:rsidP="008C16E2">
      <w:pPr>
        <w:pStyle w:val="Normal1"/>
        <w:rPr>
          <w:sz w:val="16"/>
          <w:szCs w:val="16"/>
          <w:highlight w:val="yellow"/>
        </w:rPr>
      </w:pPr>
    </w:p>
    <w:p w14:paraId="1ED17BB5" w14:textId="7157739F" w:rsidR="008C16E2" w:rsidRDefault="008C16E2" w:rsidP="008C16E2">
      <w:pPr>
        <w:pStyle w:val="Normal1"/>
      </w:pPr>
      <w:r w:rsidRPr="000D399E">
        <w:t xml:space="preserve">A video of David Sleath, Chief Executive discussing the results will be available to view on </w:t>
      </w:r>
      <w:hyperlink r:id="rId10" w:history="1">
        <w:r w:rsidRPr="000D399E">
          <w:rPr>
            <w:rStyle w:val="Hyperlink"/>
            <w:rFonts w:cs="Arial"/>
            <w:color w:val="auto"/>
            <w:spacing w:val="0"/>
            <w:szCs w:val="20"/>
          </w:rPr>
          <w:t>www.segro.com</w:t>
        </w:r>
      </w:hyperlink>
      <w:r w:rsidRPr="000D399E">
        <w:t>, together with this announcement, the</w:t>
      </w:r>
      <w:r w:rsidR="00EB2C57" w:rsidRPr="000D399E">
        <w:t xml:space="preserve"> Full</w:t>
      </w:r>
      <w:r w:rsidRPr="000D399E">
        <w:t xml:space="preserve"> Year 2021 Property Analysis Report and other information about SEGRO.</w:t>
      </w:r>
    </w:p>
    <w:p w14:paraId="544D63E4" w14:textId="37FDF6B9" w:rsidR="00CB1881" w:rsidRDefault="00CB1881" w:rsidP="008C16E2">
      <w:pPr>
        <w:pStyle w:val="Normal1"/>
      </w:pPr>
    </w:p>
    <w:p w14:paraId="24EEE955" w14:textId="77777777" w:rsidR="00CB1881" w:rsidRPr="005F6D8A" w:rsidRDefault="00CB1881" w:rsidP="008C16E2">
      <w:pPr>
        <w:pStyle w:val="Normal1"/>
      </w:pPr>
    </w:p>
    <w:p w14:paraId="65839B8E" w14:textId="1D35F35B" w:rsidR="008C16E2" w:rsidRPr="005F6D8A" w:rsidRDefault="008C16E2" w:rsidP="008C16E2">
      <w:pPr>
        <w:pStyle w:val="Heading2"/>
      </w:pPr>
      <w:r w:rsidRPr="005F6D8A">
        <w:t>CONTACT DETAILS FOR INVESTOR / ANALYST AND MEDIA ENQUIRIES:</w:t>
      </w:r>
    </w:p>
    <w:tbl>
      <w:tblPr>
        <w:tblW w:w="10064" w:type="dxa"/>
        <w:tblBorders>
          <w:top w:val="single" w:sz="4" w:space="0" w:color="auto"/>
          <w:bottom w:val="single" w:sz="4" w:space="0" w:color="auto"/>
          <w:insideH w:val="single" w:sz="4" w:space="0" w:color="auto"/>
        </w:tblBorders>
        <w:shd w:val="clear" w:color="auto" w:fill="E0E0E0"/>
        <w:tblLayout w:type="fixed"/>
        <w:tblCellMar>
          <w:left w:w="0" w:type="dxa"/>
          <w:right w:w="0" w:type="dxa"/>
        </w:tblCellMar>
        <w:tblLook w:val="0000" w:firstRow="0" w:lastRow="0" w:firstColumn="0" w:lastColumn="0" w:noHBand="0" w:noVBand="0"/>
      </w:tblPr>
      <w:tblGrid>
        <w:gridCol w:w="2410"/>
        <w:gridCol w:w="4536"/>
        <w:gridCol w:w="3118"/>
      </w:tblGrid>
      <w:tr w:rsidR="005F6D8A" w:rsidRPr="005F6D8A" w14:paraId="01DD3002" w14:textId="77777777" w:rsidTr="005F6D8A">
        <w:tc>
          <w:tcPr>
            <w:tcW w:w="2410" w:type="dxa"/>
            <w:tcBorders>
              <w:top w:val="single" w:sz="4" w:space="0" w:color="auto"/>
              <w:bottom w:val="nil"/>
            </w:tcBorders>
            <w:shd w:val="clear" w:color="auto" w:fill="auto"/>
          </w:tcPr>
          <w:p w14:paraId="04F37766" w14:textId="77777777" w:rsidR="008C16E2" w:rsidRPr="005F6D8A" w:rsidRDefault="008C16E2" w:rsidP="005F6D8A">
            <w:pPr>
              <w:pStyle w:val="StyleTabletext10pt"/>
              <w:spacing w:before="60" w:after="40" w:line="240" w:lineRule="auto"/>
              <w:jc w:val="both"/>
              <w:rPr>
                <w:rFonts w:cs="Arial"/>
                <w:spacing w:val="0"/>
                <w:szCs w:val="20"/>
              </w:rPr>
            </w:pPr>
            <w:r w:rsidRPr="005F6D8A">
              <w:rPr>
                <w:rFonts w:cs="Arial"/>
                <w:spacing w:val="0"/>
                <w:szCs w:val="20"/>
              </w:rPr>
              <w:t>SEGRO</w:t>
            </w:r>
          </w:p>
        </w:tc>
        <w:tc>
          <w:tcPr>
            <w:tcW w:w="4536" w:type="dxa"/>
            <w:tcBorders>
              <w:top w:val="single" w:sz="4" w:space="0" w:color="auto"/>
              <w:bottom w:val="nil"/>
            </w:tcBorders>
            <w:shd w:val="clear" w:color="auto" w:fill="auto"/>
          </w:tcPr>
          <w:p w14:paraId="0B382B3F" w14:textId="77777777" w:rsidR="008C16E2" w:rsidRPr="005F6D8A" w:rsidRDefault="008C16E2" w:rsidP="005F6D8A">
            <w:pPr>
              <w:pStyle w:val="StyleTabletext10pt"/>
              <w:spacing w:before="60" w:after="40" w:line="240" w:lineRule="auto"/>
              <w:jc w:val="both"/>
              <w:rPr>
                <w:rFonts w:cs="Arial"/>
                <w:spacing w:val="0"/>
                <w:szCs w:val="20"/>
              </w:rPr>
            </w:pPr>
            <w:r w:rsidRPr="005F6D8A">
              <w:rPr>
                <w:rFonts w:cs="Arial"/>
                <w:spacing w:val="0"/>
                <w:szCs w:val="20"/>
              </w:rPr>
              <w:t>Soumen Das</w:t>
            </w:r>
          </w:p>
          <w:p w14:paraId="04DFC34B" w14:textId="77777777" w:rsidR="008C16E2" w:rsidRPr="005F6D8A" w:rsidRDefault="008C16E2" w:rsidP="005F6D8A">
            <w:pPr>
              <w:pStyle w:val="StyleTabletext10pt"/>
              <w:spacing w:before="60" w:after="120" w:line="240" w:lineRule="auto"/>
              <w:jc w:val="both"/>
              <w:rPr>
                <w:rFonts w:cs="Arial"/>
                <w:spacing w:val="0"/>
                <w:szCs w:val="20"/>
              </w:rPr>
            </w:pPr>
            <w:r w:rsidRPr="005F6D8A">
              <w:rPr>
                <w:rFonts w:cs="Arial"/>
                <w:spacing w:val="0"/>
                <w:szCs w:val="20"/>
              </w:rPr>
              <w:t>(Chief Financial Officer)</w:t>
            </w:r>
          </w:p>
        </w:tc>
        <w:tc>
          <w:tcPr>
            <w:tcW w:w="3118" w:type="dxa"/>
            <w:tcBorders>
              <w:top w:val="single" w:sz="4" w:space="0" w:color="auto"/>
              <w:bottom w:val="nil"/>
            </w:tcBorders>
            <w:shd w:val="clear" w:color="auto" w:fill="auto"/>
          </w:tcPr>
          <w:p w14:paraId="1753B897" w14:textId="77777777" w:rsidR="008C16E2" w:rsidRPr="005F6D8A" w:rsidRDefault="008C16E2" w:rsidP="005F6D8A">
            <w:pPr>
              <w:pStyle w:val="StyleTabletext10pt"/>
              <w:spacing w:before="60" w:after="40" w:line="240" w:lineRule="auto"/>
              <w:ind w:left="142"/>
              <w:rPr>
                <w:rFonts w:cs="Arial"/>
                <w:spacing w:val="0"/>
                <w:szCs w:val="20"/>
              </w:rPr>
            </w:pPr>
            <w:r w:rsidRPr="005F6D8A">
              <w:rPr>
                <w:rFonts w:cs="Arial"/>
                <w:spacing w:val="0"/>
                <w:szCs w:val="20"/>
              </w:rPr>
              <w:t>Tel: + 44 (0) 20 7451 9110</w:t>
            </w:r>
            <w:r w:rsidRPr="005F6D8A">
              <w:rPr>
                <w:rFonts w:cs="Arial"/>
                <w:spacing w:val="0"/>
                <w:szCs w:val="20"/>
              </w:rPr>
              <w:br/>
              <w:t>(after 11am)</w:t>
            </w:r>
          </w:p>
        </w:tc>
      </w:tr>
      <w:tr w:rsidR="005F6D8A" w:rsidRPr="005F6D8A" w14:paraId="5617625D" w14:textId="77777777" w:rsidTr="005F6D8A">
        <w:tc>
          <w:tcPr>
            <w:tcW w:w="2410" w:type="dxa"/>
            <w:tcBorders>
              <w:top w:val="nil"/>
              <w:bottom w:val="nil"/>
            </w:tcBorders>
            <w:shd w:val="clear" w:color="auto" w:fill="auto"/>
          </w:tcPr>
          <w:p w14:paraId="1D876437" w14:textId="77777777" w:rsidR="008C16E2" w:rsidRPr="005F6D8A" w:rsidRDefault="008C16E2" w:rsidP="005F6D8A">
            <w:pPr>
              <w:pStyle w:val="StyleTabletext10pt"/>
              <w:spacing w:before="0" w:after="40" w:line="240" w:lineRule="auto"/>
              <w:jc w:val="both"/>
              <w:rPr>
                <w:rFonts w:cs="Arial"/>
                <w:spacing w:val="0"/>
                <w:szCs w:val="20"/>
              </w:rPr>
            </w:pPr>
          </w:p>
        </w:tc>
        <w:tc>
          <w:tcPr>
            <w:tcW w:w="4536" w:type="dxa"/>
            <w:tcBorders>
              <w:top w:val="nil"/>
              <w:bottom w:val="nil"/>
            </w:tcBorders>
            <w:shd w:val="clear" w:color="auto" w:fill="auto"/>
          </w:tcPr>
          <w:p w14:paraId="6E1C6141" w14:textId="77777777" w:rsidR="008C16E2" w:rsidRPr="005F6D8A" w:rsidRDefault="008C16E2" w:rsidP="005F6D8A">
            <w:pPr>
              <w:pStyle w:val="StyleTabletext10pt"/>
              <w:spacing w:before="0" w:after="40" w:line="240" w:lineRule="auto"/>
              <w:jc w:val="both"/>
              <w:rPr>
                <w:rFonts w:cs="Arial"/>
                <w:spacing w:val="0"/>
                <w:szCs w:val="20"/>
              </w:rPr>
            </w:pPr>
            <w:r w:rsidRPr="005F6D8A">
              <w:rPr>
                <w:rFonts w:cs="Arial"/>
                <w:spacing w:val="0"/>
                <w:szCs w:val="20"/>
              </w:rPr>
              <w:t>Claire Mogford</w:t>
            </w:r>
          </w:p>
          <w:p w14:paraId="51CBF233" w14:textId="77777777" w:rsidR="008C16E2" w:rsidRPr="005F6D8A" w:rsidRDefault="008C16E2" w:rsidP="005F6D8A">
            <w:pPr>
              <w:pStyle w:val="StyleTabletext10pt"/>
              <w:spacing w:before="0" w:after="120" w:line="240" w:lineRule="auto"/>
              <w:jc w:val="both"/>
              <w:rPr>
                <w:rFonts w:cs="Arial"/>
                <w:spacing w:val="0"/>
                <w:szCs w:val="20"/>
              </w:rPr>
            </w:pPr>
            <w:r w:rsidRPr="005F6D8A">
              <w:rPr>
                <w:rFonts w:cs="Arial"/>
                <w:spacing w:val="0"/>
                <w:szCs w:val="20"/>
              </w:rPr>
              <w:t>(Head of Investor Relations)</w:t>
            </w:r>
          </w:p>
        </w:tc>
        <w:tc>
          <w:tcPr>
            <w:tcW w:w="3118" w:type="dxa"/>
            <w:tcBorders>
              <w:top w:val="nil"/>
              <w:bottom w:val="nil"/>
            </w:tcBorders>
            <w:shd w:val="clear" w:color="auto" w:fill="auto"/>
          </w:tcPr>
          <w:p w14:paraId="18176479" w14:textId="77777777" w:rsidR="008C16E2" w:rsidRPr="005F6D8A" w:rsidRDefault="008C16E2" w:rsidP="005F6D8A">
            <w:pPr>
              <w:pStyle w:val="StyleTabletext10pt"/>
              <w:spacing w:before="0" w:after="40" w:line="240" w:lineRule="auto"/>
              <w:ind w:left="142"/>
              <w:rPr>
                <w:rFonts w:cs="Arial"/>
                <w:spacing w:val="0"/>
                <w:szCs w:val="20"/>
              </w:rPr>
            </w:pPr>
            <w:r w:rsidRPr="005F6D8A">
              <w:rPr>
                <w:rFonts w:cs="Arial"/>
                <w:spacing w:val="0"/>
                <w:szCs w:val="20"/>
              </w:rPr>
              <w:t>Mob: +44 (0) 7710 153 974</w:t>
            </w:r>
          </w:p>
          <w:p w14:paraId="5476368B" w14:textId="77777777" w:rsidR="008C16E2" w:rsidRPr="005F6D8A" w:rsidRDefault="008C16E2" w:rsidP="005F6D8A">
            <w:pPr>
              <w:pStyle w:val="StyleTabletext10pt"/>
              <w:spacing w:before="0" w:after="40" w:line="240" w:lineRule="auto"/>
              <w:ind w:left="142"/>
              <w:rPr>
                <w:rFonts w:cs="Arial"/>
                <w:spacing w:val="0"/>
                <w:szCs w:val="20"/>
              </w:rPr>
            </w:pPr>
            <w:r w:rsidRPr="005F6D8A">
              <w:rPr>
                <w:rFonts w:cs="Arial"/>
                <w:spacing w:val="0"/>
                <w:szCs w:val="20"/>
              </w:rPr>
              <w:t>Tel: +44 (0) 20 7451 9048</w:t>
            </w:r>
            <w:r w:rsidRPr="005F6D8A">
              <w:rPr>
                <w:rFonts w:cs="Arial"/>
                <w:spacing w:val="0"/>
                <w:szCs w:val="20"/>
              </w:rPr>
              <w:br/>
              <w:t>(after 11am)</w:t>
            </w:r>
          </w:p>
        </w:tc>
      </w:tr>
      <w:tr w:rsidR="005F6D8A" w:rsidRPr="005F6D8A" w14:paraId="0AE19F32" w14:textId="77777777" w:rsidTr="005F6D8A">
        <w:trPr>
          <w:trHeight w:val="333"/>
        </w:trPr>
        <w:tc>
          <w:tcPr>
            <w:tcW w:w="2410" w:type="dxa"/>
            <w:tcBorders>
              <w:top w:val="nil"/>
              <w:bottom w:val="single" w:sz="4" w:space="0" w:color="auto"/>
            </w:tcBorders>
            <w:shd w:val="clear" w:color="auto" w:fill="auto"/>
          </w:tcPr>
          <w:p w14:paraId="5A256AE4" w14:textId="77777777" w:rsidR="008C16E2" w:rsidRPr="005F6D8A" w:rsidRDefault="008C16E2" w:rsidP="005F6D8A">
            <w:pPr>
              <w:pStyle w:val="StyleTabletext10pt"/>
              <w:spacing w:before="60" w:after="0" w:line="276" w:lineRule="auto"/>
              <w:jc w:val="both"/>
              <w:rPr>
                <w:rFonts w:cs="Arial"/>
                <w:spacing w:val="0"/>
                <w:szCs w:val="20"/>
              </w:rPr>
            </w:pPr>
            <w:r w:rsidRPr="005F6D8A">
              <w:rPr>
                <w:rFonts w:cs="Arial"/>
                <w:spacing w:val="0"/>
                <w:szCs w:val="20"/>
              </w:rPr>
              <w:t>FTI Consulting</w:t>
            </w:r>
          </w:p>
        </w:tc>
        <w:tc>
          <w:tcPr>
            <w:tcW w:w="4536" w:type="dxa"/>
            <w:tcBorders>
              <w:top w:val="nil"/>
              <w:bottom w:val="single" w:sz="4" w:space="0" w:color="auto"/>
            </w:tcBorders>
            <w:shd w:val="clear" w:color="auto" w:fill="auto"/>
          </w:tcPr>
          <w:p w14:paraId="68829640" w14:textId="77777777" w:rsidR="008C16E2" w:rsidRPr="005F6D8A" w:rsidRDefault="008C16E2" w:rsidP="005F6D8A">
            <w:pPr>
              <w:pStyle w:val="StyleTabletext10pt"/>
              <w:spacing w:before="60" w:after="0" w:line="276" w:lineRule="auto"/>
              <w:jc w:val="both"/>
              <w:rPr>
                <w:rFonts w:cs="Arial"/>
                <w:spacing w:val="0"/>
                <w:szCs w:val="20"/>
              </w:rPr>
            </w:pPr>
            <w:r w:rsidRPr="005F6D8A">
              <w:rPr>
                <w:rFonts w:cs="Arial"/>
                <w:spacing w:val="0"/>
                <w:szCs w:val="20"/>
              </w:rPr>
              <w:t xml:space="preserve">Richard Sunderland / Claire Turvey / </w:t>
            </w:r>
          </w:p>
          <w:p w14:paraId="74CB04E4" w14:textId="77777777" w:rsidR="008C16E2" w:rsidRPr="005F6D8A" w:rsidRDefault="008C16E2" w:rsidP="005F6D8A">
            <w:pPr>
              <w:pStyle w:val="StyleTabletext10pt"/>
              <w:spacing w:before="60" w:after="0" w:line="276" w:lineRule="auto"/>
              <w:jc w:val="both"/>
              <w:rPr>
                <w:rFonts w:cs="Arial"/>
                <w:spacing w:val="0"/>
                <w:szCs w:val="20"/>
              </w:rPr>
            </w:pPr>
            <w:r w:rsidRPr="005F6D8A">
              <w:rPr>
                <w:rFonts w:cs="Arial"/>
                <w:spacing w:val="0"/>
                <w:szCs w:val="20"/>
              </w:rPr>
              <w:t>Eve Kirmatzis</w:t>
            </w:r>
          </w:p>
        </w:tc>
        <w:tc>
          <w:tcPr>
            <w:tcW w:w="3118" w:type="dxa"/>
            <w:tcBorders>
              <w:top w:val="nil"/>
              <w:bottom w:val="single" w:sz="4" w:space="0" w:color="auto"/>
            </w:tcBorders>
            <w:shd w:val="clear" w:color="auto" w:fill="auto"/>
          </w:tcPr>
          <w:p w14:paraId="2B879165" w14:textId="77777777" w:rsidR="008C16E2" w:rsidRPr="005F6D8A" w:rsidRDefault="008C16E2" w:rsidP="005F6D8A">
            <w:pPr>
              <w:pStyle w:val="StyleTabletext10pt"/>
              <w:spacing w:before="60" w:after="0" w:line="276" w:lineRule="auto"/>
              <w:ind w:left="142"/>
              <w:rPr>
                <w:rFonts w:cs="Arial"/>
                <w:spacing w:val="0"/>
                <w:szCs w:val="20"/>
              </w:rPr>
            </w:pPr>
            <w:r w:rsidRPr="005F6D8A">
              <w:rPr>
                <w:rFonts w:cs="Arial"/>
                <w:spacing w:val="0"/>
                <w:szCs w:val="20"/>
              </w:rPr>
              <w:t xml:space="preserve">Tel: </w:t>
            </w:r>
            <w:r w:rsidRPr="005F6D8A">
              <w:rPr>
                <w:rFonts w:cs="Arial"/>
                <w:bCs/>
                <w:spacing w:val="0"/>
                <w:szCs w:val="20"/>
              </w:rPr>
              <w:t>+44 (0) 20 3727 1000</w:t>
            </w:r>
          </w:p>
        </w:tc>
      </w:tr>
    </w:tbl>
    <w:p w14:paraId="0CA4E9EE" w14:textId="77777777" w:rsidR="008C16E2" w:rsidRPr="005F6D8A" w:rsidRDefault="008C16E2" w:rsidP="008C16E2">
      <w:pPr>
        <w:pStyle w:val="Heading3"/>
      </w:pPr>
    </w:p>
    <w:p w14:paraId="2DAEFBBF" w14:textId="77777777" w:rsidR="008C16E2" w:rsidRPr="005F6D8A" w:rsidRDefault="008C16E2" w:rsidP="008C16E2">
      <w:pPr>
        <w:pStyle w:val="Heading3"/>
      </w:pPr>
      <w:r w:rsidRPr="005F6D8A">
        <w:t>FINANCIAL CALENDAR</w:t>
      </w:r>
    </w:p>
    <w:p w14:paraId="2CFC8F47" w14:textId="2F939FC2" w:rsidR="008C16E2" w:rsidRPr="00534093" w:rsidRDefault="008C16E2" w:rsidP="008C16E2">
      <w:pPr>
        <w:tabs>
          <w:tab w:val="right" w:pos="9923"/>
        </w:tabs>
        <w:spacing w:after="0" w:line="276" w:lineRule="auto"/>
        <w:jc w:val="both"/>
        <w:rPr>
          <w:rFonts w:cs="Arial"/>
          <w:spacing w:val="0"/>
          <w:szCs w:val="20"/>
        </w:rPr>
      </w:pPr>
      <w:r w:rsidRPr="00534093">
        <w:rPr>
          <w:rFonts w:cs="Arial"/>
          <w:spacing w:val="0"/>
          <w:szCs w:val="20"/>
        </w:rPr>
        <w:t xml:space="preserve">2021 </w:t>
      </w:r>
      <w:r w:rsidR="00534093" w:rsidRPr="00534093">
        <w:rPr>
          <w:rFonts w:cs="Arial"/>
          <w:spacing w:val="0"/>
          <w:szCs w:val="20"/>
        </w:rPr>
        <w:t>full year</w:t>
      </w:r>
      <w:r w:rsidRPr="00534093">
        <w:rPr>
          <w:rFonts w:cs="Arial"/>
          <w:spacing w:val="0"/>
          <w:szCs w:val="20"/>
        </w:rPr>
        <w:t xml:space="preserve"> dividend ex-div date</w:t>
      </w:r>
      <w:r w:rsidRPr="00534093">
        <w:rPr>
          <w:rFonts w:cs="Arial"/>
          <w:spacing w:val="0"/>
          <w:szCs w:val="20"/>
        </w:rPr>
        <w:tab/>
      </w:r>
      <w:r w:rsidR="00534093" w:rsidRPr="00534093">
        <w:rPr>
          <w:rFonts w:cs="Arial"/>
          <w:spacing w:val="0"/>
          <w:szCs w:val="20"/>
        </w:rPr>
        <w:t>17 March</w:t>
      </w:r>
      <w:r w:rsidRPr="00534093">
        <w:rPr>
          <w:rFonts w:cs="Arial"/>
          <w:spacing w:val="0"/>
          <w:szCs w:val="20"/>
        </w:rPr>
        <w:t xml:space="preserve"> 202</w:t>
      </w:r>
      <w:r w:rsidR="00534093" w:rsidRPr="00534093">
        <w:rPr>
          <w:rFonts w:cs="Arial"/>
          <w:spacing w:val="0"/>
          <w:szCs w:val="20"/>
        </w:rPr>
        <w:t>2</w:t>
      </w:r>
    </w:p>
    <w:p w14:paraId="701155CE" w14:textId="14A837F0" w:rsidR="008C16E2" w:rsidRPr="00534093" w:rsidRDefault="008C16E2" w:rsidP="008C16E2">
      <w:pPr>
        <w:tabs>
          <w:tab w:val="right" w:pos="9923"/>
        </w:tabs>
        <w:spacing w:after="0" w:line="276" w:lineRule="auto"/>
        <w:jc w:val="both"/>
        <w:rPr>
          <w:rFonts w:cs="Arial"/>
          <w:spacing w:val="0"/>
          <w:szCs w:val="20"/>
        </w:rPr>
      </w:pPr>
      <w:r w:rsidRPr="00534093">
        <w:rPr>
          <w:rFonts w:cs="Arial"/>
          <w:spacing w:val="0"/>
          <w:szCs w:val="20"/>
        </w:rPr>
        <w:t>202</w:t>
      </w:r>
      <w:r w:rsidR="00534093" w:rsidRPr="00534093">
        <w:rPr>
          <w:rFonts w:cs="Arial"/>
          <w:spacing w:val="0"/>
          <w:szCs w:val="20"/>
        </w:rPr>
        <w:t>1</w:t>
      </w:r>
      <w:r w:rsidRPr="00534093">
        <w:rPr>
          <w:rFonts w:cs="Arial"/>
          <w:spacing w:val="0"/>
          <w:szCs w:val="20"/>
        </w:rPr>
        <w:t xml:space="preserve"> </w:t>
      </w:r>
      <w:r w:rsidR="00534093" w:rsidRPr="00534093">
        <w:rPr>
          <w:rFonts w:cs="Arial"/>
          <w:spacing w:val="0"/>
          <w:szCs w:val="20"/>
        </w:rPr>
        <w:t>full year</w:t>
      </w:r>
      <w:r w:rsidRPr="00534093">
        <w:rPr>
          <w:rFonts w:cs="Arial"/>
          <w:spacing w:val="0"/>
          <w:szCs w:val="20"/>
        </w:rPr>
        <w:t xml:space="preserve"> dividend record date</w:t>
      </w:r>
      <w:r w:rsidRPr="00534093">
        <w:rPr>
          <w:rFonts w:cs="Arial"/>
          <w:spacing w:val="0"/>
          <w:szCs w:val="20"/>
        </w:rPr>
        <w:tab/>
        <w:t>18 March 2022</w:t>
      </w:r>
    </w:p>
    <w:p w14:paraId="6415B6D2" w14:textId="2653D9E4" w:rsidR="008C16E2" w:rsidRPr="00534093" w:rsidRDefault="008C16E2" w:rsidP="008C16E2">
      <w:pPr>
        <w:tabs>
          <w:tab w:val="right" w:pos="9923"/>
        </w:tabs>
        <w:spacing w:after="0" w:line="276" w:lineRule="auto"/>
        <w:jc w:val="both"/>
        <w:rPr>
          <w:rFonts w:cs="Arial"/>
          <w:spacing w:val="0"/>
          <w:szCs w:val="20"/>
        </w:rPr>
      </w:pPr>
      <w:r w:rsidRPr="00534093">
        <w:rPr>
          <w:rFonts w:cs="Arial"/>
          <w:spacing w:val="0"/>
          <w:szCs w:val="20"/>
        </w:rPr>
        <w:t xml:space="preserve">2021 </w:t>
      </w:r>
      <w:r w:rsidR="00534093" w:rsidRPr="00534093">
        <w:rPr>
          <w:rFonts w:cs="Arial"/>
          <w:spacing w:val="0"/>
          <w:szCs w:val="20"/>
        </w:rPr>
        <w:t>full year</w:t>
      </w:r>
      <w:r w:rsidRPr="00534093">
        <w:rPr>
          <w:rFonts w:cs="Arial"/>
          <w:spacing w:val="0"/>
          <w:szCs w:val="20"/>
        </w:rPr>
        <w:t xml:space="preserve"> dividend scrip dividend price announced</w:t>
      </w:r>
      <w:r w:rsidRPr="00534093">
        <w:rPr>
          <w:rFonts w:cs="Arial"/>
          <w:spacing w:val="0"/>
          <w:szCs w:val="20"/>
        </w:rPr>
        <w:tab/>
      </w:r>
      <w:r w:rsidR="00534093" w:rsidRPr="00534093">
        <w:rPr>
          <w:rFonts w:cs="Arial"/>
          <w:spacing w:val="0"/>
          <w:szCs w:val="20"/>
        </w:rPr>
        <w:t>24 March</w:t>
      </w:r>
      <w:r w:rsidRPr="00534093">
        <w:rPr>
          <w:rFonts w:cs="Arial"/>
          <w:spacing w:val="0"/>
          <w:szCs w:val="20"/>
        </w:rPr>
        <w:t xml:space="preserve"> 202</w:t>
      </w:r>
      <w:r w:rsidR="00534093" w:rsidRPr="00534093">
        <w:rPr>
          <w:rFonts w:cs="Arial"/>
          <w:spacing w:val="0"/>
          <w:szCs w:val="20"/>
        </w:rPr>
        <w:t>2</w:t>
      </w:r>
      <w:r w:rsidRPr="00534093">
        <w:rPr>
          <w:rFonts w:cs="Arial"/>
          <w:spacing w:val="0"/>
          <w:szCs w:val="20"/>
        </w:rPr>
        <w:tab/>
      </w:r>
    </w:p>
    <w:p w14:paraId="30138137" w14:textId="77777777" w:rsidR="008C16E2" w:rsidRPr="00534093" w:rsidRDefault="008C16E2" w:rsidP="008C16E2">
      <w:pPr>
        <w:tabs>
          <w:tab w:val="right" w:pos="9923"/>
        </w:tabs>
        <w:spacing w:after="0" w:line="276" w:lineRule="auto"/>
        <w:jc w:val="both"/>
        <w:rPr>
          <w:rFonts w:cs="Arial"/>
          <w:spacing w:val="0"/>
          <w:szCs w:val="20"/>
        </w:rPr>
      </w:pPr>
      <w:r w:rsidRPr="00534093">
        <w:rPr>
          <w:rFonts w:cs="Arial"/>
          <w:spacing w:val="0"/>
          <w:szCs w:val="20"/>
        </w:rPr>
        <w:t>Last date for scrip dividend elections</w:t>
      </w:r>
      <w:r w:rsidRPr="00534093">
        <w:rPr>
          <w:rFonts w:cs="Arial"/>
          <w:spacing w:val="0"/>
          <w:szCs w:val="20"/>
        </w:rPr>
        <w:tab/>
        <w:t>13 April 2022</w:t>
      </w:r>
    </w:p>
    <w:p w14:paraId="7750D62C" w14:textId="4C97FFE2" w:rsidR="008C16E2" w:rsidRPr="00534093" w:rsidRDefault="008C16E2" w:rsidP="008C16E2">
      <w:pPr>
        <w:tabs>
          <w:tab w:val="right" w:pos="9923"/>
        </w:tabs>
        <w:spacing w:after="0" w:line="276" w:lineRule="auto"/>
        <w:jc w:val="both"/>
        <w:rPr>
          <w:rFonts w:cs="Arial"/>
          <w:spacing w:val="0"/>
          <w:szCs w:val="20"/>
        </w:rPr>
      </w:pPr>
      <w:r w:rsidRPr="00534093">
        <w:rPr>
          <w:rFonts w:cs="Arial"/>
          <w:spacing w:val="0"/>
          <w:szCs w:val="20"/>
        </w:rPr>
        <w:t xml:space="preserve">2021 </w:t>
      </w:r>
      <w:r w:rsidR="00534093">
        <w:rPr>
          <w:rFonts w:cs="Arial"/>
          <w:spacing w:val="0"/>
          <w:szCs w:val="20"/>
        </w:rPr>
        <w:t>f</w:t>
      </w:r>
      <w:r w:rsidRPr="00534093">
        <w:rPr>
          <w:rFonts w:cs="Arial"/>
          <w:spacing w:val="0"/>
          <w:szCs w:val="20"/>
        </w:rPr>
        <w:t xml:space="preserve">ull </w:t>
      </w:r>
      <w:r w:rsidR="00534093">
        <w:rPr>
          <w:rFonts w:cs="Arial"/>
          <w:spacing w:val="0"/>
          <w:szCs w:val="20"/>
        </w:rPr>
        <w:t>y</w:t>
      </w:r>
      <w:r w:rsidRPr="00534093">
        <w:rPr>
          <w:rFonts w:cs="Arial"/>
          <w:spacing w:val="0"/>
          <w:szCs w:val="20"/>
        </w:rPr>
        <w:t>ear dividend payment date</w:t>
      </w:r>
      <w:r w:rsidRPr="00534093">
        <w:rPr>
          <w:rFonts w:cs="Arial"/>
          <w:spacing w:val="0"/>
          <w:szCs w:val="20"/>
        </w:rPr>
        <w:tab/>
        <w:t>4 May 2022</w:t>
      </w:r>
    </w:p>
    <w:p w14:paraId="733542DA" w14:textId="42FB8DC7" w:rsidR="008C16E2" w:rsidRPr="005F6D8A" w:rsidRDefault="008C16E2" w:rsidP="008C16E2">
      <w:pPr>
        <w:tabs>
          <w:tab w:val="right" w:pos="9923"/>
        </w:tabs>
        <w:spacing w:after="0" w:line="276" w:lineRule="auto"/>
        <w:jc w:val="both"/>
        <w:rPr>
          <w:rFonts w:cs="Arial"/>
          <w:spacing w:val="0"/>
          <w:szCs w:val="20"/>
        </w:rPr>
      </w:pPr>
      <w:r w:rsidRPr="00534093">
        <w:rPr>
          <w:rFonts w:cs="Arial"/>
          <w:spacing w:val="0"/>
          <w:szCs w:val="20"/>
        </w:rPr>
        <w:t>2022 Q1 Trading Update</w:t>
      </w:r>
      <w:r w:rsidRPr="00534093">
        <w:rPr>
          <w:rFonts w:cs="Arial"/>
          <w:spacing w:val="0"/>
          <w:szCs w:val="20"/>
        </w:rPr>
        <w:tab/>
        <w:t>2</w:t>
      </w:r>
      <w:r w:rsidR="00CD570A">
        <w:rPr>
          <w:rFonts w:cs="Arial"/>
          <w:spacing w:val="0"/>
          <w:szCs w:val="20"/>
        </w:rPr>
        <w:t>1</w:t>
      </w:r>
      <w:r w:rsidRPr="00534093">
        <w:rPr>
          <w:rFonts w:cs="Arial"/>
          <w:spacing w:val="0"/>
          <w:szCs w:val="20"/>
        </w:rPr>
        <w:t xml:space="preserve"> April</w:t>
      </w:r>
      <w:r w:rsidRPr="005F6D8A">
        <w:rPr>
          <w:rFonts w:cs="Arial"/>
          <w:spacing w:val="0"/>
          <w:szCs w:val="20"/>
        </w:rPr>
        <w:t xml:space="preserve"> 2022</w:t>
      </w:r>
    </w:p>
    <w:p w14:paraId="5D52A28D" w14:textId="77777777" w:rsidR="008C16E2" w:rsidRPr="005F6D8A" w:rsidRDefault="008C16E2" w:rsidP="008C16E2">
      <w:pPr>
        <w:tabs>
          <w:tab w:val="right" w:pos="9923"/>
        </w:tabs>
        <w:spacing w:after="0" w:line="276" w:lineRule="auto"/>
        <w:jc w:val="both"/>
        <w:rPr>
          <w:rFonts w:cs="Arial"/>
          <w:spacing w:val="0"/>
          <w:szCs w:val="20"/>
        </w:rPr>
      </w:pPr>
      <w:r w:rsidRPr="005F6D8A">
        <w:rPr>
          <w:rFonts w:cs="Arial"/>
          <w:spacing w:val="0"/>
          <w:szCs w:val="20"/>
        </w:rPr>
        <w:t>Half Year 2022 Results (provisional)</w:t>
      </w:r>
      <w:r w:rsidRPr="005F6D8A">
        <w:rPr>
          <w:rFonts w:cs="Arial"/>
          <w:spacing w:val="0"/>
          <w:szCs w:val="20"/>
        </w:rPr>
        <w:tab/>
        <w:t>28 July 2022</w:t>
      </w:r>
    </w:p>
    <w:p w14:paraId="4632D0B7" w14:textId="77777777" w:rsidR="008C16E2" w:rsidRPr="005F6D8A" w:rsidRDefault="008C16E2" w:rsidP="008C16E2">
      <w:pPr>
        <w:pStyle w:val="Normal1"/>
        <w:spacing w:before="240"/>
        <w:rPr>
          <w:rFonts w:cs="Arial"/>
          <w:b/>
          <w:spacing w:val="0"/>
        </w:rPr>
      </w:pPr>
      <w:r w:rsidRPr="005F6D8A">
        <w:rPr>
          <w:rFonts w:cs="Arial"/>
          <w:b/>
          <w:spacing w:val="0"/>
        </w:rPr>
        <w:t>ABOUT SEGRO</w:t>
      </w:r>
    </w:p>
    <w:p w14:paraId="267DDFFD" w14:textId="0785CEDD" w:rsidR="008C16E2" w:rsidRPr="006A443A" w:rsidRDefault="008C16E2" w:rsidP="006A443A">
      <w:pPr>
        <w:pStyle w:val="Normal1"/>
      </w:pPr>
      <w:r w:rsidRPr="006A443A">
        <w:t>SEGRO is a UK Real Estate Investment Trust (REIT), listed on the London Stock Exchange and Euronext Paris, and is a leading owner, manager and developer of modern warehouses and industrial property. It owns or manages 9.6 million square metres of space (103 million square feet) valued at £21.</w:t>
      </w:r>
      <w:r w:rsidR="00534093" w:rsidRPr="006A443A">
        <w:t>3</w:t>
      </w:r>
      <w:r w:rsidRPr="006A443A">
        <w:t xml:space="preserve"> billion serving customers from a wide range of industry sectors. Its properties are located in and around major cities and at key transportation hubs in the UK and in seven other European countries. </w:t>
      </w:r>
    </w:p>
    <w:p w14:paraId="4606A8C7" w14:textId="77777777" w:rsidR="008C16E2" w:rsidRPr="006A443A" w:rsidRDefault="008C16E2" w:rsidP="006A443A">
      <w:pPr>
        <w:pStyle w:val="Normal1"/>
      </w:pPr>
      <w:r w:rsidRPr="006A443A">
        <w:t xml:space="preserve">For over 100 years SEGRO has been creating the space that enables extraordinary things to happen. From modern big box warehouses, used primarily for regional, national and international distribution hubs, to urban warehousing located close to major population centres and business districts, it provides high-quality assets that allow its customers to thrive. </w:t>
      </w:r>
    </w:p>
    <w:p w14:paraId="0885B928" w14:textId="77777777" w:rsidR="008C16E2" w:rsidRPr="006A443A" w:rsidRDefault="008C16E2" w:rsidP="006A443A">
      <w:pPr>
        <w:pStyle w:val="Normal1"/>
      </w:pPr>
      <w:r w:rsidRPr="006A443A">
        <w:t>A commitment to be a force for societal and environmental good is integral to SEGRO’s purpose and strategy. Its Responsible SEGRO framework focuses on three long-term priorities where the company believes it can make the greatest impact: Championing Low-Carbon Growth, Investing in Local Communities and Environments and Nurturing Talent.</w:t>
      </w:r>
    </w:p>
    <w:p w14:paraId="0D1CE55D" w14:textId="77777777" w:rsidR="008C16E2" w:rsidRPr="006A443A" w:rsidRDefault="008C16E2" w:rsidP="006A443A">
      <w:pPr>
        <w:pStyle w:val="Normal1"/>
      </w:pPr>
      <w:r w:rsidRPr="006A443A">
        <w:t>See www.SEGRO.com for further information.</w:t>
      </w:r>
    </w:p>
    <w:p w14:paraId="2897CC3F" w14:textId="77777777" w:rsidR="008C16E2" w:rsidRPr="005F6D8A" w:rsidRDefault="008C16E2" w:rsidP="008C16E2">
      <w:pPr>
        <w:pStyle w:val="Normal1"/>
        <w:rPr>
          <w:rFonts w:cs="Arial"/>
          <w:szCs w:val="20"/>
        </w:rPr>
      </w:pPr>
    </w:p>
    <w:p w14:paraId="40EBC923" w14:textId="77777777" w:rsidR="00374C5F" w:rsidRPr="002E04BD" w:rsidRDefault="00374C5F" w:rsidP="00374C5F">
      <w:pPr>
        <w:jc w:val="both"/>
        <w:rPr>
          <w:rFonts w:cs="Arial"/>
          <w:spacing w:val="0"/>
          <w:sz w:val="16"/>
          <w:szCs w:val="16"/>
        </w:rPr>
      </w:pPr>
      <w:r w:rsidRPr="002E04BD">
        <w:rPr>
          <w:rFonts w:cs="Arial"/>
          <w:b/>
          <w:bCs/>
          <w:sz w:val="16"/>
          <w:szCs w:val="16"/>
        </w:rPr>
        <w:t>Forward-Looking Statements</w:t>
      </w:r>
      <w:r w:rsidRPr="002E04BD">
        <w:rPr>
          <w:rFonts w:cs="Arial"/>
          <w:sz w:val="16"/>
          <w:szCs w:val="16"/>
        </w:rPr>
        <w:t>: This announcement contains certain forward-looking statements with respect to SEGRO's expectations and plans, strategy, management objectives, future developments and performance, costs, revenues and other trend information. All statements other than historical fact are, or may be deemed to be, forward-looking statements. Forward-looking statements are statements of future expectations and all forward-looking statements are subject to assumptions, risk and uncertainty. Many of these assumptions, risks and uncertainties relate to factors that are beyond SEGRO's ability to control or estimate precisely and which could cause actual results or developments to differ materially from those expressed or implied by these forward-looking statements. Certain statements have been made with reference to forecast process changes, economic conditions and the current regulatory environment. Any forward-looking statements made by or on behalf of SEGRO are based upon the knowledge and information available to Directors on the date of this announcement. Accordingly, no assurance can be given that any particular expectation will be met and you are cautioned not to place undue reliance on the forward-looking statements. Additionally, forward-looking statements regarding past trends or activities should not be taken as a representation that such trends or activities will continue in the future. The information contained in this announcement is provided as at the date of this announcement and is subject to change without notice. Other than in accordance with its legal or regulatory obligations (including under the UK Listing Rules and the Disclosure Guidance and Transparency Rules of the Financial Conduct Authority), SEGRO does not undertake to update forward-looking statements, including to reflect any new information or changes in events, conditions or circumstances on which any such statement is based. Past share performance cannot be relied on as a guide to future performance. Nothing in this announcement should be construed as a profit estimate or profit forecast. The information in this announcement does not constitute an offer to sell or an invitation to buy securities in SEGRO plc or an invitation or inducement to engage in or enter into any contract or commitment or other investment activities.</w:t>
      </w:r>
    </w:p>
    <w:p w14:paraId="25C1ABA1" w14:textId="77777777" w:rsidR="00374C5F" w:rsidRPr="002E04BD" w:rsidRDefault="00374C5F" w:rsidP="00374C5F">
      <w:pPr>
        <w:jc w:val="both"/>
        <w:rPr>
          <w:rFonts w:cs="Arial"/>
          <w:sz w:val="16"/>
          <w:szCs w:val="16"/>
          <w:lang w:eastAsia="en-US"/>
        </w:rPr>
      </w:pPr>
      <w:r w:rsidRPr="002E04BD">
        <w:rPr>
          <w:rFonts w:cs="Arial"/>
          <w:sz w:val="16"/>
          <w:szCs w:val="16"/>
        </w:rPr>
        <w:t>Neither the content of SEGRO's website nor any other website accessible by hyperlinks from SEGRO's website are incorporated in, or form part of, this announcement.</w:t>
      </w:r>
    </w:p>
    <w:p w14:paraId="46A5CC12" w14:textId="77777777" w:rsidR="005E793C" w:rsidRPr="005F6D8A" w:rsidRDefault="005E793C" w:rsidP="005E793C">
      <w:pPr>
        <w:pStyle w:val="Heading1"/>
      </w:pPr>
      <w:r w:rsidRPr="005F6D8A">
        <w:lastRenderedPageBreak/>
        <w:t>CHIEF EXECUTIVE’S REVIEW</w:t>
      </w:r>
    </w:p>
    <w:p w14:paraId="6333D7AA" w14:textId="7C7A1859" w:rsidR="005F6D8A" w:rsidRDefault="005F6D8A" w:rsidP="005E793C">
      <w:pPr>
        <w:pStyle w:val="Normal1"/>
      </w:pPr>
      <w:r>
        <w:t>2021 was an exceptionally busy year for SEGRO as our teams worked hard to capitalise on the favourable market dynamics that are currently benefitting the industrial property sector. The</w:t>
      </w:r>
      <w:r w:rsidR="009B38A8">
        <w:t xml:space="preserve"> </w:t>
      </w:r>
      <w:r>
        <w:t xml:space="preserve">pandemic brought about the acceleration of </w:t>
      </w:r>
      <w:r w:rsidR="007677F4">
        <w:t xml:space="preserve">already strong </w:t>
      </w:r>
      <w:r>
        <w:t>structural drivers, resulting in record levels of warehouse take</w:t>
      </w:r>
      <w:r w:rsidR="00CB1881">
        <w:t>-</w:t>
      </w:r>
      <w:r>
        <w:t xml:space="preserve">up across Europe during 2021 and this has attracted increased investment into the sector. We have worked diligently throughout the pandemic, to position our business so that we could emerge in an even stronger position and this is already paying off, resulting in strong rental growth and a high number of development completions. </w:t>
      </w:r>
    </w:p>
    <w:p w14:paraId="03A06C92" w14:textId="24590C1A" w:rsidR="003A6354" w:rsidRDefault="003A6354" w:rsidP="00972B91">
      <w:pPr>
        <w:suppressAutoHyphens/>
        <w:autoSpaceDE w:val="0"/>
        <w:autoSpaceDN w:val="0"/>
        <w:adjustRightInd w:val="0"/>
        <w:spacing w:after="100" w:line="276" w:lineRule="auto"/>
        <w:textAlignment w:val="center"/>
      </w:pPr>
      <w:r w:rsidRPr="002E04BD">
        <w:t>Responsible SEGRO is the framework that we us</w:t>
      </w:r>
      <w:r w:rsidR="00CB1881">
        <w:t>e</w:t>
      </w:r>
      <w:r w:rsidRPr="002E04BD">
        <w:t xml:space="preserve"> to explain how we do business in the best interests of our stakeholders and the long-term success of our business. Last year we set new priorities within this that focus</w:t>
      </w:r>
      <w:r w:rsidR="00972B91">
        <w:t xml:space="preserve"> </w:t>
      </w:r>
      <w:r w:rsidRPr="002E04BD">
        <w:t>on the key areas where we believe we can make the greatest business, environmental and social contributio</w:t>
      </w:r>
      <w:r>
        <w:t>n</w:t>
      </w:r>
      <w:r w:rsidRPr="002E04BD">
        <w:t>. During 2021 we worked hard to integrate these into the management of our portfolio and the day-to-day running of our business to ensure that</w:t>
      </w:r>
      <w:r w:rsidR="00CB1881">
        <w:t>,</w:t>
      </w:r>
      <w:r w:rsidRPr="002E04BD">
        <w:t xml:space="preserve"> as we grow as a company, the value that we create for our stakeholders also increases, and so that we can deliver on our Purpose of ‘creating the space that enables extraordinary things to happen’. </w:t>
      </w:r>
    </w:p>
    <w:p w14:paraId="6FE7E079" w14:textId="56E58F90" w:rsidR="005F6D8A" w:rsidRPr="005F6D8A" w:rsidRDefault="005F6D8A" w:rsidP="005E793C">
      <w:pPr>
        <w:pStyle w:val="Normal1"/>
      </w:pPr>
      <w:r w:rsidRPr="005F6D8A">
        <w:t>Looking back on 2021, the main highlights included:</w:t>
      </w:r>
    </w:p>
    <w:p w14:paraId="17800E8B" w14:textId="77777777" w:rsidR="005F6D8A" w:rsidRDefault="005F6D8A" w:rsidP="009D4B2B">
      <w:pPr>
        <w:pStyle w:val="Normal1"/>
        <w:numPr>
          <w:ilvl w:val="0"/>
          <w:numId w:val="18"/>
        </w:numPr>
      </w:pPr>
      <w:r w:rsidRPr="005F6D8A">
        <w:t>A significant increase in our rent roll, arising from a combination of active asset management of our existing portfolio, our expanded development programme and market rental growth.</w:t>
      </w:r>
    </w:p>
    <w:p w14:paraId="616193A2" w14:textId="348AE039" w:rsidR="005F6D8A" w:rsidRDefault="005F6D8A" w:rsidP="009D4B2B">
      <w:pPr>
        <w:pStyle w:val="Normal1"/>
        <w:numPr>
          <w:ilvl w:val="0"/>
          <w:numId w:val="18"/>
        </w:numPr>
      </w:pPr>
      <w:r w:rsidRPr="005F6D8A">
        <w:t xml:space="preserve">Increased visibility on </w:t>
      </w:r>
      <w:r w:rsidR="003A6354">
        <w:t>the carbon emissions from our leased buildings</w:t>
      </w:r>
      <w:r w:rsidRPr="005F6D8A">
        <w:t xml:space="preserve"> (</w:t>
      </w:r>
      <w:r w:rsidR="007677F4">
        <w:t>improving</w:t>
      </w:r>
      <w:r w:rsidRPr="005F6D8A">
        <w:t xml:space="preserve"> to 54 per cent </w:t>
      </w:r>
      <w:r w:rsidR="007677F4">
        <w:t>now monitored from</w:t>
      </w:r>
      <w:r w:rsidRPr="005F6D8A">
        <w:t xml:space="preserve"> 41 per cent in 2021) and moving the last of our markets onto a </w:t>
      </w:r>
      <w:r w:rsidR="001232CC">
        <w:t xml:space="preserve">certified green </w:t>
      </w:r>
      <w:r w:rsidRPr="005F6D8A">
        <w:t>energy tariff.</w:t>
      </w:r>
    </w:p>
    <w:p w14:paraId="2D34BB94" w14:textId="4EC8CD50" w:rsidR="005F6D8A" w:rsidRDefault="005F6D8A" w:rsidP="009D4B2B">
      <w:pPr>
        <w:pStyle w:val="Normal1"/>
        <w:numPr>
          <w:ilvl w:val="0"/>
          <w:numId w:val="18"/>
        </w:numPr>
      </w:pPr>
      <w:r w:rsidRPr="005F6D8A">
        <w:t>839,200 sq m of development completions</w:t>
      </w:r>
      <w:r w:rsidR="001232CC">
        <w:t xml:space="preserve"> creating</w:t>
      </w:r>
      <w:r w:rsidRPr="005F6D8A">
        <w:t xml:space="preserve"> space to be used by a wide variety of industries including those linked to e-commerce, data centres and creative industries.</w:t>
      </w:r>
    </w:p>
    <w:p w14:paraId="6F7FD1E4" w14:textId="08795167" w:rsidR="005F6D8A" w:rsidRDefault="005F6D8A" w:rsidP="009D4B2B">
      <w:pPr>
        <w:pStyle w:val="Normal1"/>
        <w:numPr>
          <w:ilvl w:val="0"/>
          <w:numId w:val="18"/>
        </w:numPr>
      </w:pPr>
      <w:r w:rsidRPr="005F6D8A">
        <w:t>Undertaking lif</w:t>
      </w:r>
      <w:r w:rsidR="00C16995">
        <w:t xml:space="preserve">e cycle </w:t>
      </w:r>
      <w:r w:rsidRPr="005F6D8A">
        <w:t>assessments on over half of our new development projects, equivalent to 440,000 sq m of new space, an important step in reducing future embodied carbon emissions.</w:t>
      </w:r>
    </w:p>
    <w:p w14:paraId="29692824" w14:textId="6A57CBFD" w:rsidR="00CE2B98" w:rsidRDefault="00CE2B98" w:rsidP="009B38A8">
      <w:pPr>
        <w:pStyle w:val="Normal1"/>
        <w:numPr>
          <w:ilvl w:val="0"/>
          <w:numId w:val="18"/>
        </w:numPr>
      </w:pPr>
      <w:r>
        <w:t>Achieving the</w:t>
      </w:r>
      <w:r w:rsidRPr="005F6D8A">
        <w:t xml:space="preserve"> </w:t>
      </w:r>
      <w:r w:rsidR="005F6D8A" w:rsidRPr="005F6D8A">
        <w:t xml:space="preserve">National Equality Standard (NES) accreditation </w:t>
      </w:r>
      <w:r>
        <w:t xml:space="preserve">following our first audit, a reflection of our commitment to diversity and inclusion. </w:t>
      </w:r>
    </w:p>
    <w:p w14:paraId="3FDC6128" w14:textId="4B4B468F" w:rsidR="005F6D8A" w:rsidRPr="005F6D8A" w:rsidRDefault="00A214B7">
      <w:pPr>
        <w:pStyle w:val="Normal1"/>
        <w:numPr>
          <w:ilvl w:val="0"/>
          <w:numId w:val="18"/>
        </w:numPr>
      </w:pPr>
      <w:r>
        <w:t>Creating the framework for our</w:t>
      </w:r>
      <w:r w:rsidR="005F6D8A" w:rsidRPr="005F6D8A">
        <w:t xml:space="preserve"> Community Investment Plans (CIPs) and the appointment of 41 Community Champions across the business to lead the projects alongside our local community partners. </w:t>
      </w:r>
    </w:p>
    <w:p w14:paraId="027B4C8A" w14:textId="77777777" w:rsidR="005F6D8A" w:rsidRDefault="005F6D8A" w:rsidP="008B5786">
      <w:pPr>
        <w:pStyle w:val="Normal1"/>
      </w:pPr>
      <w:r>
        <w:t xml:space="preserve">This activity has been reflected in significant growth across the board in all of our key operating metrics and our balance sheet remains in good shape and is positioned to support further growth. </w:t>
      </w:r>
    </w:p>
    <w:p w14:paraId="2293AA9D" w14:textId="703FB03B" w:rsidR="005F6D8A" w:rsidRDefault="005F6D8A" w:rsidP="008B5786">
      <w:pPr>
        <w:pStyle w:val="Normal1"/>
      </w:pPr>
      <w:r>
        <w:t xml:space="preserve">The combination of a strong set </w:t>
      </w:r>
      <w:r w:rsidRPr="00C63CA4">
        <w:t>of financial results in 2021 and our confident outlook for 2022 and beyond means that we are recommending</w:t>
      </w:r>
      <w:r w:rsidR="00CB1881" w:rsidRPr="00C63CA4">
        <w:t xml:space="preserve"> a</w:t>
      </w:r>
      <w:r w:rsidRPr="00C63CA4">
        <w:t xml:space="preserve"> 1</w:t>
      </w:r>
      <w:r w:rsidR="00C16995" w:rsidRPr="00C63CA4">
        <w:t>0</w:t>
      </w:r>
      <w:r w:rsidRPr="00C63CA4">
        <w:t>.0 per cent increase in our final dividend to 16.9 pence per share, resulting in a total distribution of</w:t>
      </w:r>
      <w:r w:rsidR="00C63CA4" w:rsidRPr="00C63CA4">
        <w:t xml:space="preserve"> </w:t>
      </w:r>
      <w:r w:rsidRPr="00C63CA4">
        <w:t>24.3 pence for 2021</w:t>
      </w:r>
      <w:r>
        <w:t xml:space="preserve"> as a whole (2020: 22.1 pence). </w:t>
      </w:r>
    </w:p>
    <w:p w14:paraId="0C70D697" w14:textId="77777777" w:rsidR="005F6D8A" w:rsidRDefault="005F6D8A" w:rsidP="005F6D8A">
      <w:pPr>
        <w:pStyle w:val="Normal1"/>
      </w:pPr>
      <w:r w:rsidRPr="005F6D8A">
        <w:t>Reflecting on 2021, there are three things that stand out for me</w:t>
      </w:r>
      <w:r>
        <w:t>:</w:t>
      </w:r>
    </w:p>
    <w:p w14:paraId="2C30D7DC" w14:textId="77777777" w:rsidR="005F6D8A" w:rsidRDefault="005F6D8A" w:rsidP="009D4B2B">
      <w:pPr>
        <w:pStyle w:val="Normal1"/>
        <w:numPr>
          <w:ilvl w:val="0"/>
          <w:numId w:val="30"/>
        </w:numPr>
      </w:pPr>
      <w:r w:rsidRPr="005F6D8A">
        <w:t>The strength, breadth and depth of occupier demand and the long-term nature of the structural trends that underpin it;</w:t>
      </w:r>
    </w:p>
    <w:p w14:paraId="4CF78D0E" w14:textId="10B89AC3" w:rsidR="005F6D8A" w:rsidRDefault="005F6D8A" w:rsidP="009D4B2B">
      <w:pPr>
        <w:pStyle w:val="Normal1"/>
        <w:numPr>
          <w:ilvl w:val="0"/>
          <w:numId w:val="30"/>
        </w:numPr>
      </w:pPr>
      <w:r w:rsidRPr="005F6D8A">
        <w:t xml:space="preserve">The ability of our teams to continue to find </w:t>
      </w:r>
      <w:r w:rsidR="003C6ED9">
        <w:t xml:space="preserve">new </w:t>
      </w:r>
      <w:r w:rsidRPr="005F6D8A">
        <w:t>opportunities to grow the business in very competitive markets by leveraging their experience, relationships and thinking creatively; and</w:t>
      </w:r>
    </w:p>
    <w:p w14:paraId="797FB8B1" w14:textId="477ADE3D" w:rsidR="005F6D8A" w:rsidRDefault="005F6D8A" w:rsidP="009D4B2B">
      <w:pPr>
        <w:pStyle w:val="Normal1"/>
        <w:numPr>
          <w:ilvl w:val="0"/>
          <w:numId w:val="30"/>
        </w:numPr>
      </w:pPr>
      <w:r w:rsidRPr="005F6D8A">
        <w:t xml:space="preserve">The progress that we have made </w:t>
      </w:r>
      <w:r w:rsidR="00CB1881">
        <w:t>in</w:t>
      </w:r>
      <w:r w:rsidRPr="005F6D8A">
        <w:t xml:space="preserve"> our Responsible SEGRO focus areas and the alignment </w:t>
      </w:r>
      <w:r>
        <w:t>towards these goals that we are finding with our customers, suppliers and other stakeholders.</w:t>
      </w:r>
    </w:p>
    <w:p w14:paraId="19E35809" w14:textId="575CA9B8" w:rsidR="005F6D8A" w:rsidRDefault="005F6D8A" w:rsidP="005F6D8A">
      <w:pPr>
        <w:pStyle w:val="Normal1"/>
      </w:pPr>
      <w:r>
        <w:t xml:space="preserve">E-commerce is still an important source of occupier demand across Europe and continues to contribute significantly to our lettings performance, but we are seeing new names emerge in the space (for example rapid grocery delivery services and other ‘q-commerce’ businesses) and its impact is now being felt more widely across the portfolio, for example in our urban estates in Germany, France and Spain. </w:t>
      </w:r>
    </w:p>
    <w:p w14:paraId="07BD3177" w14:textId="714CA781" w:rsidR="005F6D8A" w:rsidRPr="005F6D8A" w:rsidRDefault="005F6D8A" w:rsidP="005F6D8A">
      <w:pPr>
        <w:pStyle w:val="Normal1"/>
      </w:pPr>
      <w:r>
        <w:lastRenderedPageBreak/>
        <w:t xml:space="preserve">Distribution networks on the Continent still have a long way to go to be able to cope with the increased strain that e-commerce is putting them under. Even in the UK, where e-commerce penetration is significantly ahead of </w:t>
      </w:r>
      <w:r w:rsidR="003C6ED9">
        <w:t>most</w:t>
      </w:r>
      <w:r>
        <w:t xml:space="preserve"> markets in Europe, retailers and logistics operators need to take </w:t>
      </w:r>
      <w:r w:rsidR="003C6ED9">
        <w:t xml:space="preserve">additional </w:t>
      </w:r>
      <w:r>
        <w:t>space to successfully handle e-commerce penetration rates approaching 30 per cent</w:t>
      </w:r>
      <w:r w:rsidRPr="001030E3">
        <w:t>.</w:t>
      </w:r>
    </w:p>
    <w:p w14:paraId="1770386F" w14:textId="7C2E21FF" w:rsidR="005F6D8A" w:rsidRDefault="001030E3" w:rsidP="008B5786">
      <w:pPr>
        <w:pStyle w:val="Normal1"/>
      </w:pPr>
      <w:r>
        <w:t>Due to the prime location, high quality and flexibility of our space w</w:t>
      </w:r>
      <w:r w:rsidR="005F6D8A">
        <w:t>e</w:t>
      </w:r>
      <w:r>
        <w:t xml:space="preserve"> are</w:t>
      </w:r>
      <w:r w:rsidR="005F6D8A">
        <w:t xml:space="preserve"> also seeing significant demand </w:t>
      </w:r>
      <w:r>
        <w:t xml:space="preserve">from </w:t>
      </w:r>
      <w:r w:rsidR="005F6D8A">
        <w:t>other sectors, such as the creati</w:t>
      </w:r>
      <w:r w:rsidR="00610C06">
        <w:t>ve</w:t>
      </w:r>
      <w:r w:rsidR="005F6D8A">
        <w:t xml:space="preserve"> industr</w:t>
      </w:r>
      <w:r w:rsidR="00610C06">
        <w:t>ies</w:t>
      </w:r>
      <w:r w:rsidR="005F6D8A">
        <w:t>. More widely across Europe, take-up by businesses involved in manufacturing has increased during 2021 as a result of a renewed focus on supply</w:t>
      </w:r>
      <w:r w:rsidR="001232CC">
        <w:t xml:space="preserve"> </w:t>
      </w:r>
      <w:r w:rsidR="005F6D8A">
        <w:t xml:space="preserve">chain resilience. </w:t>
      </w:r>
    </w:p>
    <w:p w14:paraId="681DB83C" w14:textId="24C30218" w:rsidR="009D4B2B" w:rsidRDefault="005F6D8A" w:rsidP="008B5786">
      <w:pPr>
        <w:pStyle w:val="Normal1"/>
      </w:pPr>
      <w:r>
        <w:t>All of this combined is leading to very high levels of occupier demand. For</w:t>
      </w:r>
      <w:r w:rsidR="00C16995">
        <w:t xml:space="preserve"> many</w:t>
      </w:r>
      <w:r>
        <w:t xml:space="preserve"> lettings, there are multiple potential occupiers willing to pay</w:t>
      </w:r>
      <w:r w:rsidR="00C16995">
        <w:t xml:space="preserve"> a premium</w:t>
      </w:r>
      <w:r>
        <w:t xml:space="preserve"> to get the space that is crucial to the success of their business and this is leading to </w:t>
      </w:r>
      <w:r w:rsidR="00E95F6B">
        <w:t>very</w:t>
      </w:r>
      <w:r>
        <w:t xml:space="preserve"> strong rental growth, particularly in markets </w:t>
      </w:r>
      <w:r w:rsidR="001030E3">
        <w:t xml:space="preserve">where we have carefully built strong positions, </w:t>
      </w:r>
      <w:r>
        <w:t>such as London</w:t>
      </w:r>
      <w:r w:rsidR="001030E3">
        <w:t>,</w:t>
      </w:r>
      <w:r>
        <w:t xml:space="preserve"> where supply is very limited. </w:t>
      </w:r>
    </w:p>
    <w:p w14:paraId="4BF5A9D6" w14:textId="13D662DC" w:rsidR="005F6D8A" w:rsidRDefault="005F6D8A" w:rsidP="008B5786">
      <w:pPr>
        <w:pStyle w:val="Normal1"/>
      </w:pPr>
      <w:r>
        <w:t>The situation in the occupier market is also attracting more and more investment into our sector and</w:t>
      </w:r>
      <w:r w:rsidR="00C16995">
        <w:t xml:space="preserve"> has pushed up asset prices but also </w:t>
      </w:r>
      <w:r>
        <w:t xml:space="preserve">resulted in competitive bidding situations for both standing assets and land in every single market that we operate in. Despite </w:t>
      </w:r>
      <w:r w:rsidR="00610C06">
        <w:t>this,</w:t>
      </w:r>
      <w:r>
        <w:t xml:space="preserve"> our teams have been able to find opportunities to acquire unique assets and development opportunities, often in off-market situations, due to our reputation, scale position, relationships and expertise</w:t>
      </w:r>
      <w:r w:rsidR="009D4B2B">
        <w:t>.</w:t>
      </w:r>
    </w:p>
    <w:p w14:paraId="561C2446" w14:textId="229B5476" w:rsidR="009D4B2B" w:rsidRDefault="009D4B2B" w:rsidP="008B5786">
      <w:pPr>
        <w:pStyle w:val="Normal1"/>
      </w:pPr>
      <w:r>
        <w:t xml:space="preserve">A good example of this is </w:t>
      </w:r>
      <w:r w:rsidR="00610C06">
        <w:t>the acquisition</w:t>
      </w:r>
      <w:r>
        <w:t xml:space="preserve"> that we completed in South East London for a complex redevelopment scheme where the vendors only presented to a few potential purchasers who they knew would have the ability and appetite to execute on it. </w:t>
      </w:r>
    </w:p>
    <w:p w14:paraId="2B2A6515" w14:textId="45D05FBB" w:rsidR="009D4B2B" w:rsidRDefault="009D4B2B" w:rsidP="008B5786">
      <w:pPr>
        <w:pStyle w:val="Normal1"/>
      </w:pPr>
      <w:r>
        <w:t xml:space="preserve">Our teams are also thinking creatively and finding other ways to </w:t>
      </w:r>
      <w:r w:rsidR="00C16995">
        <w:t>source</w:t>
      </w:r>
      <w:r>
        <w:t xml:space="preserve"> opportunities, for example by doing asset swaps or building relationships with local trader developers who have access to land plots. </w:t>
      </w:r>
      <w:r w:rsidR="00E95F6B">
        <w:t>O</w:t>
      </w:r>
      <w:r>
        <w:t xml:space="preserve">nce we </w:t>
      </w:r>
      <w:r w:rsidR="00E95F6B">
        <w:t>own</w:t>
      </w:r>
      <w:r>
        <w:t xml:space="preserve"> the land our development team</w:t>
      </w:r>
      <w:r w:rsidR="00E95F6B">
        <w:t>s</w:t>
      </w:r>
      <w:r>
        <w:t xml:space="preserve"> consider how they can intensify land use and maximise the value we create from it. </w:t>
      </w:r>
    </w:p>
    <w:p w14:paraId="5708324A" w14:textId="5DF99D42" w:rsidR="009D4B2B" w:rsidRDefault="001030E3" w:rsidP="008B5786">
      <w:pPr>
        <w:pStyle w:val="Normal1"/>
      </w:pPr>
      <w:r>
        <w:t xml:space="preserve">Integrated within </w:t>
      </w:r>
      <w:r w:rsidR="009D4B2B">
        <w:t>the management of our portfolio and development pipeline</w:t>
      </w:r>
      <w:r w:rsidR="00C229D5">
        <w:t xml:space="preserve"> we have worked hard to progress </w:t>
      </w:r>
      <w:r w:rsidR="009D4B2B">
        <w:t xml:space="preserve">  our Responsible SEGRO ambitions. During 2021 we have taken </w:t>
      </w:r>
      <w:r w:rsidR="00C16995">
        <w:t xml:space="preserve">steps </w:t>
      </w:r>
      <w:r w:rsidR="009D4B2B">
        <w:t xml:space="preserve">to understand </w:t>
      </w:r>
      <w:r w:rsidR="00C16995">
        <w:t>our current position</w:t>
      </w:r>
      <w:r w:rsidR="009D4B2B">
        <w:t>, for example through doing life cycle assessments on over half of our development projects and participating in a N</w:t>
      </w:r>
      <w:r w:rsidR="00337CA7">
        <w:t>ES</w:t>
      </w:r>
      <w:r w:rsidR="009D4B2B">
        <w:t xml:space="preserve"> audit. </w:t>
      </w:r>
      <w:r w:rsidR="00E95F6B">
        <w:t>These have</w:t>
      </w:r>
      <w:r w:rsidR="00C229D5">
        <w:t xml:space="preserve"> enabled</w:t>
      </w:r>
      <w:r w:rsidR="009D4B2B">
        <w:t xml:space="preserve"> us to put the necessary procedures, processes and frameworks in place to ensure that we achieve the ambitions that we set out within our Responsible SEGRO </w:t>
      </w:r>
      <w:r w:rsidR="00C16995">
        <w:t>priorities</w:t>
      </w:r>
      <w:r w:rsidR="009D4B2B">
        <w:t xml:space="preserve"> of Championing low-carbon growth, Investing in our local communities and environments and Nurturing Talent. </w:t>
      </w:r>
    </w:p>
    <w:p w14:paraId="3101FAD0" w14:textId="549ACA7D" w:rsidR="009D4B2B" w:rsidRDefault="009D4B2B" w:rsidP="008B5786">
      <w:pPr>
        <w:pStyle w:val="Normal1"/>
      </w:pPr>
      <w:r>
        <w:t xml:space="preserve">As </w:t>
      </w:r>
      <w:r w:rsidR="00C229D5">
        <w:t>expected,</w:t>
      </w:r>
      <w:r>
        <w:t xml:space="preserve"> we are finding common ground with our customers, suppliers and other stakeholders and aligning our interests to maximise the value created. For example</w:t>
      </w:r>
      <w:r w:rsidR="00610C06">
        <w:t>,</w:t>
      </w:r>
      <w:r>
        <w:t xml:space="preserve"> many customers decided to lease our space because its environmental credentials also helped them achieve their own sustainability goals</w:t>
      </w:r>
      <w:r w:rsidR="00610C06">
        <w:t xml:space="preserve">. In another case a </w:t>
      </w:r>
      <w:r>
        <w:t>supplier decided to apply for Living Wage accreditation after we engaged with them in the process of achieving our own accreditation</w:t>
      </w:r>
      <w:r w:rsidR="00610C06">
        <w:t>. We also sponsored numerous</w:t>
      </w:r>
      <w:r>
        <w:t xml:space="preserve"> apprentices to work in local business</w:t>
      </w:r>
      <w:r w:rsidR="00610C06">
        <w:t>es</w:t>
      </w:r>
      <w:r>
        <w:t xml:space="preserve"> and receive training to enable long-term career progression. </w:t>
      </w:r>
    </w:p>
    <w:p w14:paraId="74CA0C32" w14:textId="01A2DA68" w:rsidR="009D4B2B" w:rsidRDefault="00C16995" w:rsidP="008B5786">
      <w:pPr>
        <w:pStyle w:val="Normal1"/>
      </w:pPr>
      <w:r>
        <w:t>I am</w:t>
      </w:r>
      <w:r w:rsidR="009D4B2B">
        <w:t xml:space="preserve"> very proud to see how </w:t>
      </w:r>
      <w:r w:rsidR="000731BD">
        <w:t xml:space="preserve">everyone within the business has </w:t>
      </w:r>
      <w:r w:rsidR="009D4B2B">
        <w:t>embraced our Responsible SEGRO ambitions and worked hard alongside their already busy jobs to help make them come to life.</w:t>
      </w:r>
      <w:r>
        <w:t xml:space="preserve"> I would like to thank them for this, and also for the continued focus, dedication and commitment that they have shown over the past two years whilst having to endure the restrictions and limitations that have been put on both their work and personal lives</w:t>
      </w:r>
      <w:r w:rsidR="00EB2C57">
        <w:t xml:space="preserve"> due to the pandemic</w:t>
      </w:r>
      <w:r>
        <w:t xml:space="preserve">. Quite simply, our business would not be in the position it is today without their efforts. </w:t>
      </w:r>
      <w:r w:rsidR="009D4B2B">
        <w:t xml:space="preserve"> </w:t>
      </w:r>
    </w:p>
    <w:p w14:paraId="4D755D42" w14:textId="0CD71543" w:rsidR="009D4B2B" w:rsidRDefault="00337CA7" w:rsidP="008B5786">
      <w:pPr>
        <w:pStyle w:val="Normal1"/>
      </w:pPr>
      <w:r>
        <w:t>It has been</w:t>
      </w:r>
      <w:r w:rsidR="009D4B2B">
        <w:t xml:space="preserve"> a very busy </w:t>
      </w:r>
      <w:r>
        <w:t xml:space="preserve">and highly successful </w:t>
      </w:r>
      <w:r w:rsidR="009D4B2B">
        <w:t>year</w:t>
      </w:r>
      <w:r w:rsidR="003C6ED9">
        <w:t>.</w:t>
      </w:r>
      <w:r w:rsidR="00E95F6B">
        <w:t xml:space="preserve"> </w:t>
      </w:r>
      <w:r w:rsidR="003C6ED9">
        <w:t>O</w:t>
      </w:r>
      <w:r>
        <w:t>n</w:t>
      </w:r>
      <w:r w:rsidR="009D4B2B">
        <w:t xml:space="preserve">e that has brought </w:t>
      </w:r>
      <w:r w:rsidR="00C16995">
        <w:t>much</w:t>
      </w:r>
      <w:r w:rsidR="009D4B2B">
        <w:t xml:space="preserve"> satisfaction and has really shown how our business delivers on its Purpose of creating the space that enables extraordinary things to happen. </w:t>
      </w:r>
    </w:p>
    <w:p w14:paraId="04A9E9EC" w14:textId="2BC80A61" w:rsidR="00C25157" w:rsidRDefault="00C25157" w:rsidP="008B5786">
      <w:pPr>
        <w:pStyle w:val="Heading3"/>
        <w:rPr>
          <w:color w:val="FF0000"/>
        </w:rPr>
      </w:pPr>
    </w:p>
    <w:p w14:paraId="3442F259" w14:textId="07580246" w:rsidR="00E95F6B" w:rsidRDefault="00E95F6B" w:rsidP="00E95F6B"/>
    <w:p w14:paraId="565BE4E9" w14:textId="77777777" w:rsidR="00E95F6B" w:rsidRPr="00E95F6B" w:rsidRDefault="00E95F6B" w:rsidP="00E95F6B"/>
    <w:p w14:paraId="2AFA0F9D" w14:textId="77777777" w:rsidR="00337CA7" w:rsidRPr="000D399E" w:rsidRDefault="00337CA7" w:rsidP="000D399E"/>
    <w:p w14:paraId="41EA1C08" w14:textId="399CFAF9" w:rsidR="00ED085E" w:rsidRPr="003630EF" w:rsidRDefault="00ED085E" w:rsidP="00ED085E">
      <w:pPr>
        <w:pStyle w:val="Heading1"/>
      </w:pPr>
      <w:r w:rsidRPr="003630EF">
        <w:lastRenderedPageBreak/>
        <w:t>DELIVERING ON OUR STRATEGY IN 202</w:t>
      </w:r>
      <w:r w:rsidR="003630EF" w:rsidRPr="003630EF">
        <w:t>1</w:t>
      </w:r>
    </w:p>
    <w:p w14:paraId="13155BAB" w14:textId="23C1740C" w:rsidR="003630EF" w:rsidRDefault="003630EF" w:rsidP="000C59DB">
      <w:pPr>
        <w:pStyle w:val="Normal1"/>
        <w:rPr>
          <w:color w:val="FF0000"/>
        </w:rPr>
      </w:pPr>
      <w:r>
        <w:t xml:space="preserve">Our Strategy has successfully positioned our business to benefit from the structural </w:t>
      </w:r>
      <w:r w:rsidR="000509BA">
        <w:t xml:space="preserve">trends that are </w:t>
      </w:r>
      <w:r w:rsidR="007072A3">
        <w:t>driving both occupier and investor demand in our markets.</w:t>
      </w:r>
      <w:r>
        <w:t xml:space="preserve"> </w:t>
      </w:r>
      <w:r w:rsidR="007072A3">
        <w:t>W</w:t>
      </w:r>
      <w:r>
        <w:t>e continue to apply it to maximise our returns in increasingly competitive markets.</w:t>
      </w:r>
    </w:p>
    <w:p w14:paraId="1290842D" w14:textId="77777777" w:rsidR="00ED085E" w:rsidRPr="003630EF" w:rsidRDefault="00ED085E" w:rsidP="00ED085E">
      <w:pPr>
        <w:pStyle w:val="Heading3"/>
      </w:pPr>
      <w:r w:rsidRPr="003630EF">
        <w:t xml:space="preserve">OPERATIONAL EXCELLENCE </w:t>
      </w:r>
    </w:p>
    <w:p w14:paraId="06E6EC2A" w14:textId="77777777" w:rsidR="003630EF" w:rsidRDefault="003630EF" w:rsidP="000C59DB">
      <w:pPr>
        <w:pStyle w:val="Normal1"/>
      </w:pPr>
      <w:r>
        <w:t xml:space="preserve">Our well-established operating platform is one of our key competitive advantages and our focus on Operational Excellence across this platform is crucial to the ongoing success of our business. It has helped us to develop strong customer relationships and to deliver excellent returns from the execution of our expanded development pipeline. </w:t>
      </w:r>
    </w:p>
    <w:p w14:paraId="3BB96DB7" w14:textId="5D646385" w:rsidR="003630EF" w:rsidRDefault="003630EF" w:rsidP="000C59DB">
      <w:pPr>
        <w:pStyle w:val="Normal1"/>
      </w:pPr>
      <w:r>
        <w:t>We</w:t>
      </w:r>
      <w:r w:rsidR="00EE0DB9">
        <w:t xml:space="preserve"> have</w:t>
      </w:r>
      <w:r>
        <w:t xml:space="preserve"> continued to actively </w:t>
      </w:r>
      <w:r w:rsidR="00337CA7">
        <w:t xml:space="preserve">manage </w:t>
      </w:r>
      <w:r>
        <w:t xml:space="preserve">our portfolio throughout 2021, resulting in a record rent roll growth, a strong set of operational metrics and opportunities to create value from our standing portfolio. </w:t>
      </w:r>
    </w:p>
    <w:p w14:paraId="31E09E7C" w14:textId="53B2D3A1" w:rsidR="003630EF" w:rsidRDefault="003630EF" w:rsidP="000C59DB">
      <w:pPr>
        <w:pStyle w:val="Normal1"/>
        <w:rPr>
          <w:color w:val="FF0000"/>
        </w:rPr>
      </w:pPr>
      <w:r>
        <w:t>Our focus on Operational Excellence has also been important in keeping our development pipeline on track despite the well-documented supply chain issues that our industry faced during the year. Our close working relationships with our contractors meant that we were able to complete the projects scheduled for delivery this year with minimal disruption.</w:t>
      </w:r>
    </w:p>
    <w:p w14:paraId="5738DB34" w14:textId="77777777" w:rsidR="00ED085E" w:rsidRPr="003630EF" w:rsidRDefault="00ED085E" w:rsidP="00ED085E">
      <w:pPr>
        <w:pStyle w:val="Heading3"/>
      </w:pPr>
      <w:r w:rsidRPr="003630EF">
        <w:t xml:space="preserve">DISCIPLINED APPROACH TO CAPITAL ALLOCATION </w:t>
      </w:r>
    </w:p>
    <w:p w14:paraId="229BE080" w14:textId="77777777" w:rsidR="003630EF" w:rsidRDefault="003630EF" w:rsidP="000C59DB">
      <w:pPr>
        <w:pStyle w:val="Normal1"/>
      </w:pPr>
      <w:r>
        <w:t xml:space="preserve">Given the strong investor interest in our sector and the competitiveness of investment markets it has been more important than ever this year to maintain a disciplined approach to capital allocation. </w:t>
      </w:r>
    </w:p>
    <w:p w14:paraId="1511E16A" w14:textId="092C0AE6" w:rsidR="003630EF" w:rsidRDefault="003630EF" w:rsidP="000C59DB">
      <w:pPr>
        <w:pStyle w:val="Normal1"/>
      </w:pPr>
      <w:r>
        <w:t xml:space="preserve">We continue to focus the majority of our investment into our development </w:t>
      </w:r>
      <w:r w:rsidR="00367570">
        <w:t xml:space="preserve">programme and to create future opportunities for development (for example land acquisitions and assets with short-term income and redevelopment potential), as we generally see better returns from this than investing our capital in completed assets. </w:t>
      </w:r>
    </w:p>
    <w:p w14:paraId="4FF33E0E" w14:textId="213B1737" w:rsidR="003630EF" w:rsidRDefault="003630EF" w:rsidP="000C59DB">
      <w:pPr>
        <w:pStyle w:val="Normal1"/>
      </w:pPr>
      <w:r>
        <w:t xml:space="preserve">The investment acquisitions that we did make in 2021 were in key strategic markets, helping us to increase our presence in North and South London. The majority were also off-market opportunities that we were able to create, leveraging on our reputation and the relationships of our local teams. </w:t>
      </w:r>
    </w:p>
    <w:p w14:paraId="216AE751" w14:textId="72F658BE" w:rsidR="003630EF" w:rsidRDefault="003630EF" w:rsidP="000C59DB">
      <w:pPr>
        <w:pStyle w:val="Normal1"/>
        <w:rPr>
          <w:color w:val="FF0000"/>
        </w:rPr>
      </w:pPr>
      <w:r>
        <w:t>We also decided to capitalise on the strength of the investment markets to dispose of a number of assets that we had identified as having maximised their returns through our annual asset review process. The proceeds from these sales will be recycled into our future investments.</w:t>
      </w:r>
    </w:p>
    <w:p w14:paraId="31742B83" w14:textId="77777777" w:rsidR="00ED085E" w:rsidRPr="00D30EBD" w:rsidRDefault="00ED085E" w:rsidP="00ED085E">
      <w:pPr>
        <w:pStyle w:val="Heading3"/>
      </w:pPr>
      <w:r w:rsidRPr="00D30EBD">
        <w:t xml:space="preserve">EFFICIENT CAPITAL AND CORPORATE STRUCTURE </w:t>
      </w:r>
    </w:p>
    <w:p w14:paraId="56803E78" w14:textId="77777777" w:rsidR="00D30EBD" w:rsidRDefault="00D30EBD" w:rsidP="000C59DB">
      <w:pPr>
        <w:pStyle w:val="Normal1"/>
      </w:pPr>
      <w:r>
        <w:t xml:space="preserve">As we continue to invest in the growth of our business it is important to take steps to maintain our Efficient Capital and Corporate Structure. </w:t>
      </w:r>
    </w:p>
    <w:p w14:paraId="66E93A84" w14:textId="690FCBF4" w:rsidR="00D30EBD" w:rsidRDefault="00D30EBD" w:rsidP="000C59DB">
      <w:pPr>
        <w:pStyle w:val="Normal1"/>
      </w:pPr>
      <w:r>
        <w:t>We aim to balance operational and financial risk by keeping the loan to value ratio (“LTV”) at an appropriate level, making sure that</w:t>
      </w:r>
      <w:r w:rsidR="00E95F6B">
        <w:t>,</w:t>
      </w:r>
      <w:r>
        <w:t xml:space="preserve"> should the property cycle turn</w:t>
      </w:r>
      <w:r w:rsidR="00E95F6B">
        <w:t>,</w:t>
      </w:r>
      <w:r>
        <w:t xml:space="preserve"> we can absorb lower valuations whilst giving us the capacity to take advantage of any resulting investment opportunities. The strong investor appetite for industrial assets in 2021 resulted in record portfolio valuation growth and means our LTV is below our target of 30 per cent at 23 per cent as of 31 December 2021. </w:t>
      </w:r>
    </w:p>
    <w:p w14:paraId="28C4EF47" w14:textId="70E57962" w:rsidR="00D30EBD" w:rsidRDefault="003C6ED9" w:rsidP="000C59DB">
      <w:pPr>
        <w:pStyle w:val="Normal1"/>
        <w:rPr>
          <w:color w:val="FF0000"/>
        </w:rPr>
      </w:pPr>
      <w:r>
        <w:t>Our</w:t>
      </w:r>
      <w:r w:rsidR="00E95F6B">
        <w:t xml:space="preserve"> financing during </w:t>
      </w:r>
      <w:r w:rsidR="00D30EBD">
        <w:t>2021</w:t>
      </w:r>
      <w:r w:rsidR="00E95F6B">
        <w:t>,</w:t>
      </w:r>
      <w:r w:rsidR="00D30EBD">
        <w:t xml:space="preserve"> has been debt: we raised €500 million via our inaugural Green euro bond in September at a low coupon of 0.5 per cent as well as a further €500 million for our joint venture SELP.</w:t>
      </w:r>
    </w:p>
    <w:p w14:paraId="73FDF322" w14:textId="77777777" w:rsidR="000D399E" w:rsidRDefault="000D399E" w:rsidP="0023656B">
      <w:pPr>
        <w:pStyle w:val="Heading1"/>
      </w:pPr>
    </w:p>
    <w:p w14:paraId="7866867D" w14:textId="77777777" w:rsidR="000D399E" w:rsidRDefault="000D399E" w:rsidP="0023656B">
      <w:pPr>
        <w:pStyle w:val="Heading1"/>
      </w:pPr>
    </w:p>
    <w:p w14:paraId="5FF4311B" w14:textId="77777777" w:rsidR="000D399E" w:rsidRDefault="000D399E" w:rsidP="0023656B">
      <w:pPr>
        <w:pStyle w:val="Heading1"/>
      </w:pPr>
    </w:p>
    <w:p w14:paraId="23E0116E" w14:textId="77777777" w:rsidR="000D399E" w:rsidRDefault="000D399E" w:rsidP="0023656B">
      <w:pPr>
        <w:pStyle w:val="Heading1"/>
      </w:pPr>
    </w:p>
    <w:p w14:paraId="13E37B8E" w14:textId="77777777" w:rsidR="000D399E" w:rsidRDefault="000D399E" w:rsidP="0023656B">
      <w:pPr>
        <w:pStyle w:val="Heading1"/>
      </w:pPr>
    </w:p>
    <w:p w14:paraId="2958282C" w14:textId="6609753C" w:rsidR="0023656B" w:rsidRPr="00744DC1" w:rsidRDefault="00744DC1" w:rsidP="0023656B">
      <w:pPr>
        <w:pStyle w:val="Heading1"/>
      </w:pPr>
      <w:r w:rsidRPr="00744DC1">
        <w:lastRenderedPageBreak/>
        <w:t>portfolio update – significant valuation growth</w:t>
      </w:r>
    </w:p>
    <w:p w14:paraId="62E9A883" w14:textId="77777777" w:rsidR="00744DC1" w:rsidRPr="00744DC1" w:rsidRDefault="00744DC1" w:rsidP="00744DC1">
      <w:pPr>
        <w:pStyle w:val="Normal1"/>
      </w:pPr>
      <w:r w:rsidRPr="00744DC1">
        <w:t>Our portfolio comprises two main asset types: urban warehouses and big box warehouses. The demand-supply dynamics in both asset classes continue to be positive.</w:t>
      </w:r>
    </w:p>
    <w:p w14:paraId="38F29291" w14:textId="134996E2" w:rsidR="00744DC1" w:rsidRPr="00744DC1" w:rsidRDefault="00744DC1" w:rsidP="00744DC1">
      <w:pPr>
        <w:pStyle w:val="Heading3"/>
      </w:pPr>
      <w:r w:rsidRPr="00744DC1">
        <w:t xml:space="preserve">Urban Warehouses </w:t>
      </w:r>
    </w:p>
    <w:p w14:paraId="61CDFF17" w14:textId="77777777" w:rsidR="00744DC1" w:rsidRDefault="00744DC1" w:rsidP="00744DC1">
      <w:pPr>
        <w:pStyle w:val="Normal1"/>
      </w:pPr>
      <w:r>
        <w:t xml:space="preserve">Urban warehouses account for 67 per cent of our portfolio value. They tend to be smaller warehouses, and are located mainly in and on the edges of major cities where land supply is restricted and there is strong demand for warehouse space, particularly catering for the needs of last mile delivery and, around London, from data centre users. </w:t>
      </w:r>
    </w:p>
    <w:p w14:paraId="0A77867F" w14:textId="01F9A8D1" w:rsidR="00744DC1" w:rsidRDefault="00744DC1" w:rsidP="00744DC1">
      <w:pPr>
        <w:pStyle w:val="Normal1"/>
        <w:rPr>
          <w:color w:val="FF0000"/>
        </w:rPr>
      </w:pPr>
      <w:r>
        <w:t>Our urban portfolio is concentrated in London and South-East England (82 per cent) and major cities in Continental Europe (18 per cent), including Paris, Düsseldorf, Frankfurt, Berlin and Warsaw. These locations share similar characteristics in terms of limited (and shrinking) supply of industrial land and growing populations, while occupiers are attracted to modern warehouses with plenty of yard space to allow easy and safe vehicle circulation. We believe that this enduring occupier demand and limited supply bodes well for future rental growth.</w:t>
      </w:r>
    </w:p>
    <w:p w14:paraId="7F7905B4" w14:textId="77777777" w:rsidR="00744DC1" w:rsidRPr="00744DC1" w:rsidRDefault="00744DC1" w:rsidP="00744DC1">
      <w:pPr>
        <w:pStyle w:val="Heading3"/>
      </w:pPr>
      <w:r w:rsidRPr="00744DC1">
        <w:t xml:space="preserve">Big Box Warehouses </w:t>
      </w:r>
    </w:p>
    <w:p w14:paraId="6C87DD51" w14:textId="77777777" w:rsidR="00744DC1" w:rsidRDefault="00744DC1" w:rsidP="00744DC1">
      <w:pPr>
        <w:pStyle w:val="Normal1"/>
      </w:pPr>
      <w:r>
        <w:t xml:space="preserve">Big box warehouses account for 29 per cent of our portfolio value. They tend to be used for storage, processing and distribution of goods on a regional, national or international basis and are, therefore, much larger than urban warehouses. </w:t>
      </w:r>
    </w:p>
    <w:p w14:paraId="11E48123" w14:textId="0991C588" w:rsidR="00744DC1" w:rsidRDefault="00744DC1" w:rsidP="00744DC1">
      <w:pPr>
        <w:pStyle w:val="Normal1"/>
      </w:pPr>
      <w:r>
        <w:t>They are focused on the major logistics hubs and corridors in the UK (South-East and Midlands regions), France (the logistics ‘spine’ linking Lille, Paris, Lyon and Marseille), Germany (Düsseldorf, Berlin, Frankfurt and Hamburg) and Poland (Warsaw, Łódz, Pozna</w:t>
      </w:r>
      <w:r>
        <w:rPr>
          <w:rFonts w:cs="Arial"/>
        </w:rPr>
        <w:t>ń</w:t>
      </w:r>
      <w:r>
        <w:t xml:space="preserve">, and the industrial region of Silesia). 29 per cent of our big box warehouses are in the UK and the remaining 71 per cent are in Continental Europe. </w:t>
      </w:r>
    </w:p>
    <w:p w14:paraId="7F28FD13" w14:textId="77777777" w:rsidR="00744DC1" w:rsidRDefault="00744DC1" w:rsidP="00744DC1">
      <w:pPr>
        <w:pStyle w:val="Normal1"/>
      </w:pPr>
      <w:r>
        <w:t xml:space="preserve">Occupier demand has been very strong across the UK and Continental Europe during 2021, helping drive vacancy to record low levels, leading to above average rental growth in most of our markets. </w:t>
      </w:r>
    </w:p>
    <w:p w14:paraId="0EC10B4E" w14:textId="2918371D" w:rsidR="00744DC1" w:rsidRDefault="00EE0DB9" w:rsidP="00744DC1">
      <w:pPr>
        <w:pStyle w:val="Normal1"/>
      </w:pPr>
      <w:r>
        <w:t>T</w:t>
      </w:r>
      <w:r w:rsidR="00744DC1">
        <w:t xml:space="preserve">he nature (and typical location) of big box warehouses tends to mean that, over time, supply is able to increase more easily to satisfy demand, as there is more land available in out of town locations. We therefore believe that the prospects for significant rental growth in big box warehouses on a longer-term basis are, and have always been, more limited than for urban locations but this asset class brings other benefits including lower asset management intensity and long leases which help to ensure a sustainable level of income. </w:t>
      </w:r>
    </w:p>
    <w:p w14:paraId="7CD233A1" w14:textId="4707BBEB" w:rsidR="00744DC1" w:rsidRDefault="00744DC1" w:rsidP="00744DC1">
      <w:pPr>
        <w:pStyle w:val="Normal1"/>
        <w:rPr>
          <w:color w:val="FF0000"/>
        </w:rPr>
      </w:pPr>
      <w:r>
        <w:t>In addition, by holding the majority of our Continental European big box warehouses in SELP, we receive additional income from managing the joint venture which increases total returns.</w:t>
      </w:r>
    </w:p>
    <w:p w14:paraId="78037D26" w14:textId="77777777" w:rsidR="00744DC1" w:rsidRPr="00744DC1" w:rsidRDefault="00744DC1" w:rsidP="00744DC1">
      <w:pPr>
        <w:rPr>
          <w:b/>
          <w:bCs/>
        </w:rPr>
      </w:pPr>
      <w:r w:rsidRPr="00744DC1">
        <w:rPr>
          <w:b/>
          <w:bCs/>
        </w:rPr>
        <w:t>Valuation gains from market-driven yield improvement, asset management and development</w:t>
      </w:r>
    </w:p>
    <w:p w14:paraId="5656AE66" w14:textId="1EDB5627" w:rsidR="00744DC1" w:rsidRDefault="00744DC1" w:rsidP="0023656B">
      <w:pPr>
        <w:pStyle w:val="Normal1"/>
      </w:pPr>
      <w:r>
        <w:t xml:space="preserve">Warehouse property values across Europe increased significantly during the year. Investment volumes also hit record levels in both the UK and Continental Europe. Both investor and occupier demand for the asset class remained strong. </w:t>
      </w:r>
    </w:p>
    <w:p w14:paraId="3C84F487" w14:textId="2E6E9046" w:rsidR="00744DC1" w:rsidRDefault="00744DC1" w:rsidP="0023656B">
      <w:pPr>
        <w:pStyle w:val="Normal1"/>
      </w:pPr>
      <w:r>
        <w:t xml:space="preserve">The Group’s property portfolio was valued at £18.4 billion at 31 December 2021 (£21.3 billion of assets under management). The portfolio valuation, including completed assets, land and buildings under construction, increased by 28.8 per cent (adjusting for capital expenditure and asset recycling during the year) compared to 10.3 per cent in 2020. </w:t>
      </w:r>
    </w:p>
    <w:p w14:paraId="161D3A03" w14:textId="51695FA4" w:rsidR="00744DC1" w:rsidRDefault="00744DC1" w:rsidP="0023656B">
      <w:pPr>
        <w:pStyle w:val="Normal1"/>
      </w:pPr>
      <w:r>
        <w:t xml:space="preserve">This primarily comprises a 29.0 per cent increase in the assets held throughout the year (2020: 9.5 per cent), driven by strong yield compression in most markets (70 basis points across the whole portfolio) and a 13.1 per cent increase in our valuer’s estimate of </w:t>
      </w:r>
      <w:r w:rsidRPr="00C63CA4">
        <w:t xml:space="preserve">the market rental value of our portfolio (ERV). In total, our portfolio generated a total property return of </w:t>
      </w:r>
      <w:r w:rsidR="00C63CA4" w:rsidRPr="00C63CA4">
        <w:t>35.6</w:t>
      </w:r>
      <w:r w:rsidRPr="00C63CA4">
        <w:t xml:space="preserve"> per cent (2020: 14.6 per cent).</w:t>
      </w:r>
      <w:r>
        <w:t xml:space="preserve"> </w:t>
      </w:r>
    </w:p>
    <w:p w14:paraId="588F3CE7" w14:textId="6EB79271" w:rsidR="000D399E" w:rsidRDefault="00744DC1" w:rsidP="0023656B">
      <w:pPr>
        <w:pStyle w:val="Normal1"/>
      </w:pPr>
      <w:r w:rsidRPr="00C63CA4">
        <w:t xml:space="preserve">Assets held throughout the year in the UK increased in </w:t>
      </w:r>
      <w:r w:rsidRPr="002F5B12">
        <w:t>value by 34.5 per cent (2020: 9.2 per cent), outperforming the MSCI Real Estate UK All Industrial Quarterly index</w:t>
      </w:r>
      <w:r w:rsidRPr="00C63CA4">
        <w:t xml:space="preserve"> which increased by </w:t>
      </w:r>
      <w:r w:rsidR="00EF0794" w:rsidRPr="00C63CA4">
        <w:t>31.</w:t>
      </w:r>
      <w:r w:rsidR="00C63CA4" w:rsidRPr="00C63CA4">
        <w:t>2</w:t>
      </w:r>
      <w:r w:rsidRPr="00C63CA4">
        <w:t xml:space="preserve"> per cent</w:t>
      </w:r>
      <w:r w:rsidR="00EF0794" w:rsidRPr="00C63CA4">
        <w:t xml:space="preserve"> over the same period</w:t>
      </w:r>
      <w:r w:rsidRPr="00C63CA4">
        <w:t>. The performance was due to yield compression and the continued capture of reversionary potential in lease reviews</w:t>
      </w:r>
      <w:r>
        <w:t xml:space="preserve"> and renewals, particularly in London. </w:t>
      </w:r>
    </w:p>
    <w:p w14:paraId="1A183B6D" w14:textId="1907BAA0" w:rsidR="00744DC1" w:rsidRDefault="00744DC1" w:rsidP="0023656B">
      <w:pPr>
        <w:pStyle w:val="Normal1"/>
      </w:pPr>
      <w:r>
        <w:lastRenderedPageBreak/>
        <w:t xml:space="preserve">The true equivalent yield applied to our UK portfolio was 3.7 per cent, 60 basis points lower than at 31 December 2020 (4.3 per cent) reflecting strong rental growth, yield compression and the impact of newly completed developments. Rental values improved by 18.8 per cent (2020: 3.1 per cent). </w:t>
      </w:r>
    </w:p>
    <w:p w14:paraId="2CDA1C4C" w14:textId="1379F5F6" w:rsidR="00744DC1" w:rsidRDefault="00744DC1" w:rsidP="0023656B">
      <w:pPr>
        <w:pStyle w:val="Normal1"/>
      </w:pPr>
      <w:r>
        <w:t xml:space="preserve">Assets held throughout the year in Continental Europe increased in value by 18.7 per cent (2020: 10.2 per cent) on a constant currency basis, reflecting a combination of yield compression to 4.0 per cent (31 December 2020: 4.8 per cent) and rental value growth of 4.1 per cent (2020: 1.5 per cent). </w:t>
      </w:r>
    </w:p>
    <w:p w14:paraId="3AD99077" w14:textId="26DBCC92" w:rsidR="00744DC1" w:rsidRDefault="00744DC1" w:rsidP="0023656B">
      <w:pPr>
        <w:pStyle w:val="Normal1"/>
        <w:rPr>
          <w:color w:val="FF0000"/>
        </w:rPr>
      </w:pPr>
      <w:r w:rsidRPr="00C63CA4">
        <w:t>More details of our property portfolio can be found in Note 27 to the Financial Statements and in the 2021 Property Analysis Report available at www.segro.com/investors.</w:t>
      </w:r>
    </w:p>
    <w:p w14:paraId="2C10C268" w14:textId="294027FE" w:rsidR="0023656B" w:rsidRPr="00744DC1" w:rsidRDefault="0023656B" w:rsidP="0023656B">
      <w:pPr>
        <w:pStyle w:val="Heading3"/>
      </w:pPr>
      <w:r w:rsidRPr="00744DC1">
        <w:t>Valuations: What to expect in 202</w:t>
      </w:r>
      <w:r w:rsidR="00744DC1" w:rsidRPr="00744DC1">
        <w:t>2</w:t>
      </w:r>
    </w:p>
    <w:p w14:paraId="034FCA45" w14:textId="77777777" w:rsidR="00744DC1" w:rsidRDefault="00744DC1" w:rsidP="0023656B">
      <w:pPr>
        <w:pStyle w:val="Normal1"/>
      </w:pPr>
      <w:r>
        <w:t xml:space="preserve">Capital growth forecasts are notoriously difficult given the multitude of drivers (particularly interest rates and credit spreads) most of which are outside our direct control. </w:t>
      </w:r>
    </w:p>
    <w:p w14:paraId="14179571" w14:textId="77777777" w:rsidR="00744DC1" w:rsidRDefault="00744DC1" w:rsidP="0023656B">
      <w:pPr>
        <w:pStyle w:val="Normal1"/>
      </w:pPr>
      <w:r>
        <w:t>Nevertheless, the prospects for our portfolio of big box and urban warehouses remain strong, supported by structural drivers of occupational demand and relatively limited amounts of new supply. This means that we are optimistic about the potential for further rental value growth, particularly in our urban warehouse portfolio.</w:t>
      </w:r>
    </w:p>
    <w:p w14:paraId="14001449" w14:textId="7F483D4A" w:rsidR="00AC4000" w:rsidRDefault="00AC4000" w:rsidP="0023656B">
      <w:pPr>
        <w:pStyle w:val="Normal1"/>
      </w:pPr>
      <w:r>
        <w:t>P</w:t>
      </w:r>
      <w:r w:rsidR="00744DC1">
        <w:t xml:space="preserve">rime yields continue to appear attractive compared to government (risk-free) bond yields </w:t>
      </w:r>
      <w:r>
        <w:t xml:space="preserve"> and although</w:t>
      </w:r>
      <w:r w:rsidR="00710627">
        <w:t xml:space="preserve"> </w:t>
      </w:r>
      <w:r>
        <w:t>recent interest rises have narrowed this premium, the volume of capital looking to invest in industrial assets should continue to be supportive of valuations.</w:t>
      </w:r>
    </w:p>
    <w:p w14:paraId="615C6EE6" w14:textId="76D63D71" w:rsidR="00744DC1" w:rsidRDefault="00744DC1" w:rsidP="0023656B">
      <w:pPr>
        <w:pStyle w:val="Normal1"/>
      </w:pPr>
      <w:r>
        <w:t>We believe that our high-quality portfolio and our focus on asset management will enable us to outperform the wider market.</w:t>
      </w:r>
    </w:p>
    <w:p w14:paraId="6B8257D7" w14:textId="77777777" w:rsidR="00726817" w:rsidRPr="00782E31" w:rsidRDefault="00726817" w:rsidP="00726817">
      <w:pPr>
        <w:spacing w:after="120" w:line="276" w:lineRule="auto"/>
        <w:jc w:val="both"/>
        <w:rPr>
          <w:rFonts w:cs="Arial"/>
          <w:spacing w:val="0"/>
          <w:szCs w:val="20"/>
          <w:u w:val="single"/>
        </w:rPr>
      </w:pPr>
      <w:r w:rsidRPr="00782E31">
        <w:rPr>
          <w:rFonts w:cs="Arial"/>
          <w:spacing w:val="0"/>
          <w:szCs w:val="20"/>
          <w:u w:val="single"/>
        </w:rPr>
        <w:t>Property portfolio metrics at 31 December 2021</w:t>
      </w:r>
      <w:r w:rsidRPr="00782E31">
        <w:rPr>
          <w:rFonts w:cs="Arial"/>
          <w:spacing w:val="0"/>
          <w:szCs w:val="20"/>
          <w:u w:val="single"/>
          <w:vertAlign w:val="superscript"/>
        </w:rPr>
        <w:t>1</w:t>
      </w:r>
    </w:p>
    <w:tbl>
      <w:tblPr>
        <w:tblStyle w:val="TableGrid"/>
        <w:tblW w:w="4943" w:type="pct"/>
        <w:tblLayout w:type="fixed"/>
        <w:tblCellMar>
          <w:top w:w="28" w:type="dxa"/>
          <w:bottom w:w="28" w:type="dxa"/>
        </w:tblCellMar>
        <w:tblLook w:val="04A0" w:firstRow="1" w:lastRow="0" w:firstColumn="1" w:lastColumn="0" w:noHBand="0" w:noVBand="1"/>
      </w:tblPr>
      <w:tblGrid>
        <w:gridCol w:w="1404"/>
        <w:gridCol w:w="1118"/>
        <w:gridCol w:w="1004"/>
        <w:gridCol w:w="853"/>
        <w:gridCol w:w="1134"/>
        <w:gridCol w:w="58"/>
        <w:gridCol w:w="23"/>
        <w:gridCol w:w="1058"/>
        <w:gridCol w:w="6"/>
        <w:gridCol w:w="1113"/>
        <w:gridCol w:w="21"/>
        <w:gridCol w:w="484"/>
        <w:gridCol w:w="21"/>
        <w:gridCol w:w="209"/>
        <w:gridCol w:w="846"/>
        <w:gridCol w:w="147"/>
        <w:gridCol w:w="849"/>
      </w:tblGrid>
      <w:tr w:rsidR="00726817" w:rsidRPr="00782E31" w14:paraId="2917FB4C" w14:textId="77777777" w:rsidTr="00A214B7">
        <w:tc>
          <w:tcPr>
            <w:tcW w:w="678" w:type="pct"/>
          </w:tcPr>
          <w:p w14:paraId="0270D602" w14:textId="77777777" w:rsidR="00726817" w:rsidRPr="00782E31" w:rsidRDefault="00726817" w:rsidP="00A214B7">
            <w:pPr>
              <w:pStyle w:val="TableColHeadsBoldLeft0"/>
              <w:spacing w:before="0" w:after="0" w:line="240" w:lineRule="auto"/>
              <w:ind w:right="29"/>
              <w:jc w:val="both"/>
              <w:rPr>
                <w:rFonts w:ascii="Arial" w:hAnsi="Arial" w:cs="Arial"/>
                <w:b/>
                <w:color w:val="auto"/>
                <w:sz w:val="18"/>
                <w:szCs w:val="18"/>
              </w:rPr>
            </w:pPr>
          </w:p>
        </w:tc>
        <w:tc>
          <w:tcPr>
            <w:tcW w:w="540" w:type="pct"/>
          </w:tcPr>
          <w:p w14:paraId="3DCECACA" w14:textId="77777777" w:rsidR="00726817" w:rsidRPr="00782E31" w:rsidRDefault="00726817" w:rsidP="00A214B7">
            <w:pPr>
              <w:pStyle w:val="TableColHeadsBold"/>
              <w:spacing w:before="0" w:after="0" w:line="240" w:lineRule="auto"/>
              <w:ind w:right="41"/>
              <w:jc w:val="both"/>
              <w:rPr>
                <w:rFonts w:ascii="Arial" w:hAnsi="Arial" w:cs="Arial"/>
                <w:color w:val="auto"/>
                <w:sz w:val="18"/>
                <w:szCs w:val="18"/>
              </w:rPr>
            </w:pPr>
          </w:p>
        </w:tc>
        <w:tc>
          <w:tcPr>
            <w:tcW w:w="1998" w:type="pct"/>
            <w:gridSpan w:val="7"/>
            <w:tcBorders>
              <w:bottom w:val="single" w:sz="4" w:space="0" w:color="auto"/>
            </w:tcBorders>
          </w:tcPr>
          <w:p w14:paraId="41468CD7" w14:textId="77777777" w:rsidR="00726817" w:rsidRPr="00782E31" w:rsidRDefault="00726817" w:rsidP="00A214B7">
            <w:pPr>
              <w:pStyle w:val="TableColHeadsBold"/>
              <w:spacing w:before="0" w:after="0" w:line="240" w:lineRule="auto"/>
              <w:ind w:right="104"/>
              <w:jc w:val="center"/>
              <w:rPr>
                <w:rFonts w:ascii="Arial" w:hAnsi="Arial" w:cs="Arial"/>
                <w:color w:val="auto"/>
                <w:sz w:val="18"/>
                <w:szCs w:val="18"/>
              </w:rPr>
            </w:pPr>
            <w:r w:rsidRPr="00782E31">
              <w:rPr>
                <w:rFonts w:ascii="Arial" w:hAnsi="Arial" w:cs="Arial"/>
                <w:color w:val="auto"/>
                <w:sz w:val="18"/>
                <w:szCs w:val="18"/>
              </w:rPr>
              <w:t>Portfolio value, £m</w:t>
            </w:r>
          </w:p>
        </w:tc>
        <w:tc>
          <w:tcPr>
            <w:tcW w:w="782" w:type="pct"/>
            <w:gridSpan w:val="3"/>
          </w:tcPr>
          <w:p w14:paraId="4A95DC56" w14:textId="77777777" w:rsidR="00726817" w:rsidRPr="00782E31" w:rsidRDefault="00726817" w:rsidP="00A214B7">
            <w:pPr>
              <w:pStyle w:val="TableColHeadsBold"/>
              <w:spacing w:before="0" w:after="0" w:line="240" w:lineRule="auto"/>
              <w:ind w:right="104"/>
              <w:rPr>
                <w:rFonts w:ascii="Arial" w:hAnsi="Arial" w:cs="Arial"/>
                <w:color w:val="auto"/>
                <w:sz w:val="18"/>
                <w:szCs w:val="18"/>
              </w:rPr>
            </w:pPr>
          </w:p>
        </w:tc>
        <w:tc>
          <w:tcPr>
            <w:tcW w:w="10" w:type="pct"/>
          </w:tcPr>
          <w:p w14:paraId="7232ACFA" w14:textId="77777777" w:rsidR="00726817" w:rsidRPr="00782E31" w:rsidRDefault="00726817" w:rsidP="00A214B7">
            <w:pPr>
              <w:pStyle w:val="TableColHeadsBold"/>
              <w:spacing w:before="0" w:after="0" w:line="240" w:lineRule="auto"/>
              <w:ind w:right="117"/>
              <w:rPr>
                <w:rFonts w:ascii="Arial" w:hAnsi="Arial" w:cs="Arial"/>
                <w:color w:val="auto"/>
                <w:sz w:val="18"/>
                <w:szCs w:val="18"/>
              </w:rPr>
            </w:pPr>
          </w:p>
        </w:tc>
        <w:tc>
          <w:tcPr>
            <w:tcW w:w="510" w:type="pct"/>
            <w:gridSpan w:val="2"/>
            <w:tcBorders>
              <w:bottom w:val="single" w:sz="4" w:space="0" w:color="auto"/>
            </w:tcBorders>
          </w:tcPr>
          <w:p w14:paraId="1D22D594" w14:textId="77777777" w:rsidR="00726817" w:rsidRPr="00782E31" w:rsidRDefault="00726817" w:rsidP="00A214B7">
            <w:pPr>
              <w:pStyle w:val="TableColHeadsBold"/>
              <w:spacing w:before="0" w:after="0" w:line="240" w:lineRule="auto"/>
              <w:ind w:right="129"/>
              <w:rPr>
                <w:rFonts w:ascii="Arial" w:hAnsi="Arial" w:cs="Arial"/>
                <w:color w:val="auto"/>
                <w:sz w:val="18"/>
                <w:szCs w:val="18"/>
              </w:rPr>
            </w:pPr>
            <w:r w:rsidRPr="00782E31">
              <w:rPr>
                <w:rFonts w:ascii="Arial" w:hAnsi="Arial" w:cs="Arial"/>
                <w:color w:val="auto"/>
                <w:sz w:val="18"/>
                <w:szCs w:val="18"/>
              </w:rPr>
              <w:t>Yield</w:t>
            </w:r>
            <w:r w:rsidRPr="00782E31">
              <w:rPr>
                <w:rFonts w:ascii="Arial" w:hAnsi="Arial" w:cs="Arial"/>
                <w:color w:val="auto"/>
                <w:sz w:val="18"/>
                <w:szCs w:val="18"/>
                <w:vertAlign w:val="superscript"/>
              </w:rPr>
              <w:t>3</w:t>
            </w:r>
          </w:p>
        </w:tc>
        <w:tc>
          <w:tcPr>
            <w:tcW w:w="481" w:type="pct"/>
            <w:gridSpan w:val="2"/>
          </w:tcPr>
          <w:p w14:paraId="5C6851D3" w14:textId="77777777" w:rsidR="00726817" w:rsidRPr="00782E31" w:rsidRDefault="00726817" w:rsidP="00A214B7">
            <w:pPr>
              <w:pStyle w:val="TableColHeadsBold"/>
              <w:spacing w:before="0" w:after="0" w:line="240" w:lineRule="auto"/>
              <w:ind w:right="142"/>
              <w:jc w:val="both"/>
              <w:rPr>
                <w:rFonts w:ascii="Arial" w:hAnsi="Arial" w:cs="Arial"/>
                <w:color w:val="auto"/>
                <w:sz w:val="18"/>
                <w:szCs w:val="18"/>
              </w:rPr>
            </w:pPr>
          </w:p>
        </w:tc>
      </w:tr>
      <w:tr w:rsidR="00726817" w:rsidRPr="00782E31" w14:paraId="1C9A873A" w14:textId="77777777" w:rsidTr="00A214B7">
        <w:trPr>
          <w:trHeight w:val="624"/>
        </w:trPr>
        <w:tc>
          <w:tcPr>
            <w:tcW w:w="678" w:type="pct"/>
          </w:tcPr>
          <w:p w14:paraId="18105ED0" w14:textId="77777777" w:rsidR="00726817" w:rsidRPr="00782E31" w:rsidRDefault="00726817" w:rsidP="00A214B7">
            <w:pPr>
              <w:pStyle w:val="TableColHeadsBoldLeft0"/>
              <w:spacing w:before="0" w:after="0" w:line="200" w:lineRule="atLeast"/>
              <w:ind w:right="29"/>
              <w:jc w:val="both"/>
              <w:rPr>
                <w:rFonts w:ascii="Arial" w:hAnsi="Arial" w:cs="Arial"/>
                <w:b/>
                <w:color w:val="auto"/>
                <w:sz w:val="18"/>
                <w:szCs w:val="18"/>
              </w:rPr>
            </w:pPr>
          </w:p>
        </w:tc>
        <w:tc>
          <w:tcPr>
            <w:tcW w:w="540" w:type="pct"/>
            <w:shd w:val="clear" w:color="auto" w:fill="D9D9D9" w:themeFill="background1" w:themeFillShade="D9"/>
          </w:tcPr>
          <w:p w14:paraId="471220FD" w14:textId="77777777" w:rsidR="00726817" w:rsidRPr="00782E31" w:rsidRDefault="00726817" w:rsidP="00A214B7">
            <w:pPr>
              <w:pStyle w:val="TableColHeadsBold0"/>
            </w:pPr>
            <w:r w:rsidRPr="00782E31">
              <w:t xml:space="preserve">Lettable </w:t>
            </w:r>
            <w:r w:rsidRPr="00782E31">
              <w:br/>
              <w:t>area sq m</w:t>
            </w:r>
          </w:p>
        </w:tc>
        <w:tc>
          <w:tcPr>
            <w:tcW w:w="485" w:type="pct"/>
            <w:tcBorders>
              <w:top w:val="single" w:sz="4" w:space="0" w:color="auto"/>
            </w:tcBorders>
          </w:tcPr>
          <w:p w14:paraId="1D885212" w14:textId="77777777" w:rsidR="00726817" w:rsidRPr="00782E31" w:rsidRDefault="00726817" w:rsidP="00A214B7">
            <w:pPr>
              <w:pStyle w:val="TableColHeadsBold0"/>
            </w:pPr>
            <w:r w:rsidRPr="00782E31">
              <w:t xml:space="preserve">Completed </w:t>
            </w:r>
          </w:p>
        </w:tc>
        <w:tc>
          <w:tcPr>
            <w:tcW w:w="412" w:type="pct"/>
            <w:tcBorders>
              <w:top w:val="single" w:sz="4" w:space="0" w:color="auto"/>
            </w:tcBorders>
          </w:tcPr>
          <w:p w14:paraId="11C12CF2" w14:textId="77777777" w:rsidR="00726817" w:rsidRPr="00782E31" w:rsidRDefault="00726817" w:rsidP="00A214B7">
            <w:pPr>
              <w:pStyle w:val="TableColHeadsBold0"/>
            </w:pPr>
            <w:r w:rsidRPr="00782E31">
              <w:t xml:space="preserve">Land &amp; develop-ment </w:t>
            </w:r>
          </w:p>
        </w:tc>
        <w:tc>
          <w:tcPr>
            <w:tcW w:w="548" w:type="pct"/>
            <w:tcBorders>
              <w:top w:val="single" w:sz="4" w:space="0" w:color="auto"/>
            </w:tcBorders>
          </w:tcPr>
          <w:p w14:paraId="3AE6006E" w14:textId="77777777" w:rsidR="00726817" w:rsidRPr="00782E31" w:rsidRDefault="00726817" w:rsidP="00A214B7">
            <w:pPr>
              <w:pStyle w:val="TableColHeadsBold0"/>
            </w:pPr>
            <w:r w:rsidRPr="00782E31">
              <w:t>Combined property</w:t>
            </w:r>
            <w:r w:rsidRPr="00782E31">
              <w:br/>
              <w:t>portfolio</w:t>
            </w:r>
          </w:p>
        </w:tc>
        <w:tc>
          <w:tcPr>
            <w:tcW w:w="28" w:type="pct"/>
          </w:tcPr>
          <w:p w14:paraId="24AB3E80" w14:textId="77777777" w:rsidR="00726817" w:rsidRPr="00782E31" w:rsidRDefault="00726817" w:rsidP="00A214B7">
            <w:pPr>
              <w:pStyle w:val="TableColHeadsBold0"/>
            </w:pPr>
          </w:p>
        </w:tc>
        <w:tc>
          <w:tcPr>
            <w:tcW w:w="11" w:type="pct"/>
          </w:tcPr>
          <w:p w14:paraId="5889735D" w14:textId="77777777" w:rsidR="00726817" w:rsidRPr="00782E31" w:rsidRDefault="00726817" w:rsidP="00A214B7">
            <w:pPr>
              <w:pStyle w:val="TableColHeadsBold0"/>
            </w:pPr>
          </w:p>
        </w:tc>
        <w:tc>
          <w:tcPr>
            <w:tcW w:w="511" w:type="pct"/>
            <w:shd w:val="clear" w:color="auto" w:fill="D9D9D9" w:themeFill="background1" w:themeFillShade="D9"/>
          </w:tcPr>
          <w:p w14:paraId="2C1B9FD6" w14:textId="77777777" w:rsidR="00726817" w:rsidRPr="00782E31" w:rsidRDefault="00726817" w:rsidP="00A214B7">
            <w:pPr>
              <w:pStyle w:val="TableColHeadsBold0"/>
            </w:pPr>
            <w:r w:rsidRPr="00782E31">
              <w:t>Combined property portfolio</w:t>
            </w:r>
          </w:p>
        </w:tc>
        <w:tc>
          <w:tcPr>
            <w:tcW w:w="541" w:type="pct"/>
            <w:gridSpan w:val="2"/>
          </w:tcPr>
          <w:p w14:paraId="3ACFA18B" w14:textId="77777777" w:rsidR="00726817" w:rsidRPr="00782E31" w:rsidRDefault="00726817" w:rsidP="00A214B7">
            <w:pPr>
              <w:pStyle w:val="TableColHeadsBold0"/>
            </w:pPr>
            <w:r w:rsidRPr="00782E31">
              <w:t>Valuation movement</w:t>
            </w:r>
            <w:r w:rsidRPr="00782E31">
              <w:rPr>
                <w:vertAlign w:val="superscript"/>
              </w:rPr>
              <w:t>2 3</w:t>
            </w:r>
            <w:r w:rsidRPr="00782E31">
              <w:br/>
              <w:t>%</w:t>
            </w:r>
          </w:p>
        </w:tc>
        <w:tc>
          <w:tcPr>
            <w:tcW w:w="10" w:type="pct"/>
          </w:tcPr>
          <w:p w14:paraId="4A75324E" w14:textId="77777777" w:rsidR="00726817" w:rsidRPr="00782E31" w:rsidRDefault="00726817" w:rsidP="00A214B7">
            <w:pPr>
              <w:pStyle w:val="TableColHeadsBold0"/>
            </w:pPr>
          </w:p>
        </w:tc>
        <w:tc>
          <w:tcPr>
            <w:tcW w:w="345" w:type="pct"/>
            <w:gridSpan w:val="3"/>
            <w:tcBorders>
              <w:top w:val="single" w:sz="4" w:space="0" w:color="auto"/>
            </w:tcBorders>
          </w:tcPr>
          <w:p w14:paraId="0D17A7E4" w14:textId="77777777" w:rsidR="00726817" w:rsidRPr="00782E31" w:rsidRDefault="00726817" w:rsidP="00A214B7">
            <w:pPr>
              <w:pStyle w:val="TableColHeadsBold0"/>
            </w:pPr>
            <w:r w:rsidRPr="00782E31">
              <w:t xml:space="preserve">Topped-up net </w:t>
            </w:r>
            <w:r w:rsidRPr="00782E31">
              <w:br/>
              <w:t xml:space="preserve">initial </w:t>
            </w:r>
            <w:r w:rsidRPr="00782E31">
              <w:br/>
              <w:t>%</w:t>
            </w:r>
          </w:p>
        </w:tc>
        <w:tc>
          <w:tcPr>
            <w:tcW w:w="480" w:type="pct"/>
            <w:gridSpan w:val="2"/>
            <w:tcBorders>
              <w:top w:val="single" w:sz="4" w:space="0" w:color="auto"/>
            </w:tcBorders>
          </w:tcPr>
          <w:p w14:paraId="5F90893A" w14:textId="77777777" w:rsidR="00726817" w:rsidRPr="00782E31" w:rsidRDefault="00726817" w:rsidP="00A214B7">
            <w:pPr>
              <w:pStyle w:val="TableColHeadsBold0"/>
            </w:pPr>
            <w:r w:rsidRPr="00782E31">
              <w:t xml:space="preserve">Net true equivalent </w:t>
            </w:r>
            <w:r w:rsidRPr="00782E31">
              <w:br/>
              <w:t>%</w:t>
            </w:r>
          </w:p>
        </w:tc>
        <w:tc>
          <w:tcPr>
            <w:tcW w:w="410" w:type="pct"/>
          </w:tcPr>
          <w:p w14:paraId="46ED6723" w14:textId="48DD8A0D" w:rsidR="00726817" w:rsidRPr="00782E31" w:rsidRDefault="00726817" w:rsidP="00A214B7">
            <w:pPr>
              <w:pStyle w:val="TableColHeadsBold0"/>
            </w:pPr>
            <w:r w:rsidRPr="00782E31">
              <w:t xml:space="preserve">Vacancy </w:t>
            </w:r>
            <w:r w:rsidRPr="00782E31">
              <w:br/>
              <w:t xml:space="preserve">(ERV) </w:t>
            </w:r>
            <w:r w:rsidRPr="00782E31">
              <w:br/>
              <w:t>%</w:t>
            </w:r>
          </w:p>
        </w:tc>
      </w:tr>
      <w:tr w:rsidR="00726817" w:rsidRPr="00782E31" w14:paraId="23786375" w14:textId="77777777" w:rsidTr="00A214B7">
        <w:tc>
          <w:tcPr>
            <w:tcW w:w="678" w:type="pct"/>
            <w:tcBorders>
              <w:bottom w:val="single" w:sz="4" w:space="0" w:color="auto"/>
            </w:tcBorders>
          </w:tcPr>
          <w:p w14:paraId="6F4289EB" w14:textId="77777777" w:rsidR="00726817" w:rsidRPr="00782E31" w:rsidRDefault="00726817" w:rsidP="00A214B7">
            <w:pPr>
              <w:pStyle w:val="TableColHeadsBoldLeft0"/>
              <w:spacing w:before="0" w:after="0" w:line="240" w:lineRule="auto"/>
              <w:ind w:right="29"/>
              <w:jc w:val="both"/>
              <w:rPr>
                <w:rFonts w:ascii="Arial" w:hAnsi="Arial" w:cs="Arial"/>
                <w:b/>
                <w:color w:val="auto"/>
                <w:sz w:val="18"/>
                <w:szCs w:val="18"/>
              </w:rPr>
            </w:pPr>
          </w:p>
        </w:tc>
        <w:tc>
          <w:tcPr>
            <w:tcW w:w="540" w:type="pct"/>
            <w:tcBorders>
              <w:bottom w:val="single" w:sz="4" w:space="0" w:color="auto"/>
            </w:tcBorders>
            <w:shd w:val="clear" w:color="auto" w:fill="D9D9D9" w:themeFill="background1" w:themeFillShade="D9"/>
          </w:tcPr>
          <w:p w14:paraId="66B1F202" w14:textId="77777777" w:rsidR="00726817" w:rsidRPr="00782E31" w:rsidRDefault="00726817" w:rsidP="00A214B7">
            <w:pPr>
              <w:pStyle w:val="TableColHeadsBold"/>
              <w:spacing w:before="0" w:after="0" w:line="240" w:lineRule="auto"/>
              <w:ind w:right="41"/>
              <w:rPr>
                <w:rFonts w:ascii="Arial" w:hAnsi="Arial" w:cs="Arial"/>
                <w:color w:val="auto"/>
                <w:sz w:val="18"/>
                <w:szCs w:val="18"/>
              </w:rPr>
            </w:pPr>
            <w:r w:rsidRPr="00782E31">
              <w:rPr>
                <w:rFonts w:ascii="Arial" w:hAnsi="Arial" w:cs="Arial"/>
                <w:color w:val="auto"/>
                <w:sz w:val="18"/>
                <w:szCs w:val="18"/>
              </w:rPr>
              <w:t>(AUM)</w:t>
            </w:r>
          </w:p>
        </w:tc>
        <w:tc>
          <w:tcPr>
            <w:tcW w:w="485" w:type="pct"/>
            <w:tcBorders>
              <w:bottom w:val="single" w:sz="4" w:space="0" w:color="auto"/>
            </w:tcBorders>
          </w:tcPr>
          <w:p w14:paraId="539E1775" w14:textId="77777777" w:rsidR="00726817" w:rsidRPr="00782E31" w:rsidRDefault="00726817" w:rsidP="00A214B7">
            <w:pPr>
              <w:pStyle w:val="TableColHeadsBold"/>
              <w:spacing w:before="0" w:after="0" w:line="240" w:lineRule="auto"/>
              <w:ind w:right="67"/>
              <w:rPr>
                <w:rFonts w:ascii="Arial" w:hAnsi="Arial" w:cs="Arial"/>
                <w:color w:val="auto"/>
                <w:sz w:val="18"/>
                <w:szCs w:val="18"/>
              </w:rPr>
            </w:pPr>
          </w:p>
        </w:tc>
        <w:tc>
          <w:tcPr>
            <w:tcW w:w="412" w:type="pct"/>
            <w:tcBorders>
              <w:bottom w:val="single" w:sz="4" w:space="0" w:color="auto"/>
            </w:tcBorders>
          </w:tcPr>
          <w:p w14:paraId="72F6D072" w14:textId="77777777" w:rsidR="00726817" w:rsidRPr="00782E31" w:rsidRDefault="00726817" w:rsidP="00A214B7">
            <w:pPr>
              <w:pStyle w:val="TableColHeadsBold"/>
              <w:spacing w:before="0" w:after="0" w:line="240" w:lineRule="auto"/>
              <w:ind w:right="56"/>
              <w:rPr>
                <w:rFonts w:ascii="Arial" w:hAnsi="Arial" w:cs="Arial"/>
                <w:color w:val="auto"/>
                <w:sz w:val="18"/>
                <w:szCs w:val="18"/>
              </w:rPr>
            </w:pPr>
          </w:p>
        </w:tc>
        <w:tc>
          <w:tcPr>
            <w:tcW w:w="548" w:type="pct"/>
            <w:tcBorders>
              <w:bottom w:val="single" w:sz="4" w:space="0" w:color="auto"/>
            </w:tcBorders>
          </w:tcPr>
          <w:p w14:paraId="01A7A9AB" w14:textId="77777777" w:rsidR="00726817" w:rsidRPr="00782E31" w:rsidRDefault="00726817" w:rsidP="00A214B7">
            <w:pPr>
              <w:pStyle w:val="TableColHeadsBold"/>
              <w:tabs>
                <w:tab w:val="left" w:pos="936"/>
              </w:tabs>
              <w:spacing w:before="0" w:after="0" w:line="240" w:lineRule="auto"/>
              <w:ind w:right="121"/>
              <w:rPr>
                <w:rFonts w:ascii="Arial" w:hAnsi="Arial" w:cs="Arial"/>
                <w:color w:val="auto"/>
                <w:sz w:val="18"/>
                <w:szCs w:val="18"/>
              </w:rPr>
            </w:pPr>
          </w:p>
        </w:tc>
        <w:tc>
          <w:tcPr>
            <w:tcW w:w="28" w:type="pct"/>
            <w:tcBorders>
              <w:bottom w:val="single" w:sz="4" w:space="0" w:color="auto"/>
            </w:tcBorders>
          </w:tcPr>
          <w:p w14:paraId="1824A92A" w14:textId="77777777" w:rsidR="00726817" w:rsidRPr="00782E31" w:rsidRDefault="00726817" w:rsidP="00A214B7">
            <w:pPr>
              <w:pStyle w:val="TableColHeadsBold"/>
              <w:spacing w:before="0" w:after="0" w:line="240" w:lineRule="auto"/>
              <w:ind w:right="104"/>
              <w:rPr>
                <w:rFonts w:ascii="Arial" w:hAnsi="Arial" w:cs="Arial"/>
                <w:color w:val="auto"/>
                <w:sz w:val="18"/>
                <w:szCs w:val="18"/>
              </w:rPr>
            </w:pPr>
          </w:p>
        </w:tc>
        <w:tc>
          <w:tcPr>
            <w:tcW w:w="11" w:type="pct"/>
            <w:tcBorders>
              <w:bottom w:val="single" w:sz="4" w:space="0" w:color="auto"/>
            </w:tcBorders>
          </w:tcPr>
          <w:p w14:paraId="517A71E5" w14:textId="77777777" w:rsidR="00726817" w:rsidRPr="00782E31" w:rsidRDefault="00726817" w:rsidP="00A214B7">
            <w:pPr>
              <w:pStyle w:val="TableColHeadsBold"/>
              <w:spacing w:before="0" w:after="0" w:line="240" w:lineRule="auto"/>
              <w:ind w:right="104"/>
              <w:rPr>
                <w:rFonts w:ascii="Arial" w:hAnsi="Arial" w:cs="Arial"/>
                <w:color w:val="auto"/>
                <w:sz w:val="18"/>
                <w:szCs w:val="18"/>
              </w:rPr>
            </w:pPr>
          </w:p>
        </w:tc>
        <w:tc>
          <w:tcPr>
            <w:tcW w:w="511" w:type="pct"/>
            <w:tcBorders>
              <w:bottom w:val="single" w:sz="4" w:space="0" w:color="auto"/>
            </w:tcBorders>
            <w:shd w:val="clear" w:color="auto" w:fill="D9D9D9" w:themeFill="background1" w:themeFillShade="D9"/>
          </w:tcPr>
          <w:p w14:paraId="61704807" w14:textId="77777777" w:rsidR="00726817" w:rsidRPr="00782E31" w:rsidRDefault="00726817" w:rsidP="00A214B7">
            <w:pPr>
              <w:pStyle w:val="TableColHeadsBold"/>
              <w:spacing w:before="0" w:after="0" w:line="240" w:lineRule="auto"/>
              <w:ind w:right="30"/>
              <w:rPr>
                <w:rFonts w:ascii="Arial" w:hAnsi="Arial" w:cs="Arial"/>
                <w:color w:val="auto"/>
                <w:spacing w:val="-4"/>
                <w:sz w:val="18"/>
                <w:szCs w:val="18"/>
              </w:rPr>
            </w:pPr>
            <w:r w:rsidRPr="00782E31">
              <w:rPr>
                <w:rFonts w:ascii="Arial" w:hAnsi="Arial" w:cs="Arial"/>
                <w:color w:val="auto"/>
                <w:spacing w:val="-4"/>
                <w:sz w:val="18"/>
                <w:szCs w:val="18"/>
              </w:rPr>
              <w:t>(AUM)</w:t>
            </w:r>
          </w:p>
        </w:tc>
        <w:tc>
          <w:tcPr>
            <w:tcW w:w="541" w:type="pct"/>
            <w:gridSpan w:val="2"/>
            <w:tcBorders>
              <w:bottom w:val="single" w:sz="4" w:space="0" w:color="auto"/>
            </w:tcBorders>
          </w:tcPr>
          <w:p w14:paraId="2B881102" w14:textId="77777777" w:rsidR="00726817" w:rsidRPr="00782E31" w:rsidRDefault="00726817" w:rsidP="00A214B7">
            <w:pPr>
              <w:pStyle w:val="TableColHeadsBold"/>
              <w:spacing w:before="0" w:after="0" w:line="240" w:lineRule="auto"/>
              <w:ind w:right="30"/>
              <w:rPr>
                <w:rFonts w:ascii="Arial" w:hAnsi="Arial" w:cs="Arial"/>
                <w:color w:val="auto"/>
                <w:spacing w:val="-4"/>
                <w:sz w:val="18"/>
                <w:szCs w:val="18"/>
              </w:rPr>
            </w:pPr>
          </w:p>
        </w:tc>
        <w:tc>
          <w:tcPr>
            <w:tcW w:w="10" w:type="pct"/>
            <w:tcBorders>
              <w:bottom w:val="single" w:sz="4" w:space="0" w:color="auto"/>
            </w:tcBorders>
          </w:tcPr>
          <w:p w14:paraId="1E0132C0" w14:textId="77777777" w:rsidR="00726817" w:rsidRPr="00782E31" w:rsidRDefault="00726817" w:rsidP="00A214B7">
            <w:pPr>
              <w:pStyle w:val="TableColHeadsBold"/>
              <w:spacing w:before="0" w:after="0" w:line="240" w:lineRule="auto"/>
              <w:ind w:right="117"/>
              <w:rPr>
                <w:rFonts w:ascii="Arial" w:hAnsi="Arial" w:cs="Arial"/>
                <w:color w:val="auto"/>
                <w:sz w:val="18"/>
                <w:szCs w:val="18"/>
              </w:rPr>
            </w:pPr>
          </w:p>
        </w:tc>
        <w:tc>
          <w:tcPr>
            <w:tcW w:w="345" w:type="pct"/>
            <w:gridSpan w:val="3"/>
            <w:tcBorders>
              <w:bottom w:val="single" w:sz="4" w:space="0" w:color="auto"/>
            </w:tcBorders>
          </w:tcPr>
          <w:p w14:paraId="2F04ABFE" w14:textId="77777777" w:rsidR="00726817" w:rsidRPr="00782E31" w:rsidRDefault="00726817" w:rsidP="00A214B7">
            <w:pPr>
              <w:pStyle w:val="TableColHeadsBold"/>
              <w:spacing w:before="0" w:after="0" w:line="240" w:lineRule="auto"/>
              <w:ind w:right="0"/>
              <w:rPr>
                <w:rFonts w:ascii="Arial" w:hAnsi="Arial" w:cs="Arial"/>
                <w:color w:val="auto"/>
                <w:sz w:val="18"/>
                <w:szCs w:val="18"/>
              </w:rPr>
            </w:pPr>
          </w:p>
        </w:tc>
        <w:tc>
          <w:tcPr>
            <w:tcW w:w="480" w:type="pct"/>
            <w:gridSpan w:val="2"/>
            <w:tcBorders>
              <w:bottom w:val="single" w:sz="4" w:space="0" w:color="auto"/>
            </w:tcBorders>
          </w:tcPr>
          <w:p w14:paraId="61470A9C" w14:textId="77777777" w:rsidR="00726817" w:rsidRPr="00782E31" w:rsidRDefault="00726817" w:rsidP="00A214B7">
            <w:pPr>
              <w:pStyle w:val="TableColHeadsBold"/>
              <w:spacing w:before="0" w:after="0" w:line="240" w:lineRule="auto"/>
              <w:ind w:right="129"/>
              <w:jc w:val="left"/>
              <w:rPr>
                <w:rFonts w:ascii="Arial" w:hAnsi="Arial" w:cs="Arial"/>
                <w:color w:val="auto"/>
                <w:sz w:val="18"/>
                <w:szCs w:val="18"/>
              </w:rPr>
            </w:pPr>
          </w:p>
        </w:tc>
        <w:tc>
          <w:tcPr>
            <w:tcW w:w="410" w:type="pct"/>
            <w:tcBorders>
              <w:bottom w:val="single" w:sz="4" w:space="0" w:color="auto"/>
            </w:tcBorders>
          </w:tcPr>
          <w:p w14:paraId="7D6EEC9E" w14:textId="77777777" w:rsidR="00726817" w:rsidRPr="00782E31" w:rsidRDefault="00726817" w:rsidP="00A214B7">
            <w:pPr>
              <w:pStyle w:val="TableColHeadsBold"/>
              <w:spacing w:before="0" w:after="0" w:line="240" w:lineRule="auto"/>
              <w:ind w:right="119"/>
              <w:rPr>
                <w:rFonts w:ascii="Arial" w:hAnsi="Arial" w:cs="Arial"/>
                <w:color w:val="auto"/>
                <w:sz w:val="18"/>
                <w:szCs w:val="18"/>
              </w:rPr>
            </w:pPr>
          </w:p>
        </w:tc>
      </w:tr>
      <w:tr w:rsidR="00726817" w:rsidRPr="00782E31" w14:paraId="6315D9C8" w14:textId="77777777" w:rsidTr="00A214B7">
        <w:tc>
          <w:tcPr>
            <w:tcW w:w="678" w:type="pct"/>
            <w:tcBorders>
              <w:top w:val="single" w:sz="4" w:space="0" w:color="auto"/>
            </w:tcBorders>
          </w:tcPr>
          <w:p w14:paraId="5C8C554C" w14:textId="77777777" w:rsidR="00726817" w:rsidRPr="00782E31" w:rsidRDefault="00726817" w:rsidP="00A214B7">
            <w:pPr>
              <w:pStyle w:val="TabletextBold"/>
            </w:pPr>
            <w:r w:rsidRPr="00782E31">
              <w:t>UK</w:t>
            </w:r>
          </w:p>
        </w:tc>
        <w:tc>
          <w:tcPr>
            <w:tcW w:w="540" w:type="pct"/>
            <w:tcBorders>
              <w:top w:val="single" w:sz="4" w:space="0" w:color="auto"/>
            </w:tcBorders>
            <w:shd w:val="clear" w:color="auto" w:fill="D9D9D9" w:themeFill="background1" w:themeFillShade="D9"/>
          </w:tcPr>
          <w:p w14:paraId="0EB11DA1" w14:textId="77777777" w:rsidR="00726817" w:rsidRPr="00782E31" w:rsidRDefault="00726817" w:rsidP="00A214B7">
            <w:pPr>
              <w:pStyle w:val="TableFigures"/>
              <w:spacing w:before="0" w:after="0" w:line="240" w:lineRule="auto"/>
              <w:ind w:right="41"/>
              <w:rPr>
                <w:rFonts w:cs="Arial"/>
                <w:szCs w:val="18"/>
              </w:rPr>
            </w:pPr>
          </w:p>
        </w:tc>
        <w:tc>
          <w:tcPr>
            <w:tcW w:w="485" w:type="pct"/>
            <w:tcBorders>
              <w:top w:val="single" w:sz="4" w:space="0" w:color="auto"/>
            </w:tcBorders>
          </w:tcPr>
          <w:p w14:paraId="3BCA54DF" w14:textId="77777777" w:rsidR="00726817" w:rsidRPr="00782E31" w:rsidRDefault="00726817" w:rsidP="00A214B7">
            <w:pPr>
              <w:pStyle w:val="TableFigures"/>
              <w:spacing w:before="0" w:after="0" w:line="240" w:lineRule="auto"/>
              <w:ind w:right="67"/>
              <w:rPr>
                <w:rFonts w:cs="Arial"/>
                <w:szCs w:val="18"/>
              </w:rPr>
            </w:pPr>
          </w:p>
        </w:tc>
        <w:tc>
          <w:tcPr>
            <w:tcW w:w="412" w:type="pct"/>
            <w:tcBorders>
              <w:top w:val="single" w:sz="4" w:space="0" w:color="auto"/>
            </w:tcBorders>
          </w:tcPr>
          <w:p w14:paraId="5C26CF5E" w14:textId="77777777" w:rsidR="00726817" w:rsidRPr="00782E31" w:rsidRDefault="00726817" w:rsidP="00A214B7">
            <w:pPr>
              <w:pStyle w:val="TableFigures"/>
              <w:spacing w:before="0" w:after="0" w:line="240" w:lineRule="auto"/>
              <w:ind w:right="56"/>
              <w:rPr>
                <w:rFonts w:cs="Arial"/>
                <w:szCs w:val="18"/>
              </w:rPr>
            </w:pPr>
          </w:p>
        </w:tc>
        <w:tc>
          <w:tcPr>
            <w:tcW w:w="548" w:type="pct"/>
            <w:tcBorders>
              <w:top w:val="single" w:sz="4" w:space="0" w:color="auto"/>
            </w:tcBorders>
          </w:tcPr>
          <w:p w14:paraId="57EE399D" w14:textId="77777777" w:rsidR="00726817" w:rsidRPr="00782E31" w:rsidRDefault="00726817" w:rsidP="00A214B7">
            <w:pPr>
              <w:pStyle w:val="TableFigures"/>
              <w:tabs>
                <w:tab w:val="left" w:pos="936"/>
              </w:tabs>
              <w:spacing w:before="0" w:after="0" w:line="240" w:lineRule="auto"/>
              <w:ind w:right="117"/>
              <w:rPr>
                <w:rFonts w:cs="Arial"/>
                <w:szCs w:val="18"/>
              </w:rPr>
            </w:pPr>
          </w:p>
        </w:tc>
        <w:tc>
          <w:tcPr>
            <w:tcW w:w="28" w:type="pct"/>
            <w:tcBorders>
              <w:top w:val="single" w:sz="4" w:space="0" w:color="auto"/>
            </w:tcBorders>
          </w:tcPr>
          <w:p w14:paraId="69252E86" w14:textId="77777777" w:rsidR="00726817" w:rsidRPr="00782E31" w:rsidRDefault="00726817" w:rsidP="00A214B7">
            <w:pPr>
              <w:pStyle w:val="TableFigures"/>
              <w:spacing w:before="0" w:after="0" w:line="240" w:lineRule="auto"/>
              <w:ind w:right="104"/>
              <w:rPr>
                <w:rFonts w:cs="Arial"/>
                <w:szCs w:val="18"/>
              </w:rPr>
            </w:pPr>
          </w:p>
        </w:tc>
        <w:tc>
          <w:tcPr>
            <w:tcW w:w="11" w:type="pct"/>
            <w:tcBorders>
              <w:top w:val="single" w:sz="4" w:space="0" w:color="auto"/>
            </w:tcBorders>
          </w:tcPr>
          <w:p w14:paraId="5276B97F" w14:textId="77777777" w:rsidR="00726817" w:rsidRPr="00782E31" w:rsidRDefault="00726817" w:rsidP="00A214B7">
            <w:pPr>
              <w:pStyle w:val="TableFigures"/>
              <w:spacing w:before="0" w:after="0" w:line="240" w:lineRule="auto"/>
              <w:ind w:right="104"/>
              <w:rPr>
                <w:rFonts w:cs="Arial"/>
                <w:szCs w:val="18"/>
              </w:rPr>
            </w:pPr>
          </w:p>
        </w:tc>
        <w:tc>
          <w:tcPr>
            <w:tcW w:w="511" w:type="pct"/>
            <w:tcBorders>
              <w:top w:val="single" w:sz="4" w:space="0" w:color="auto"/>
            </w:tcBorders>
            <w:shd w:val="clear" w:color="auto" w:fill="D9D9D9" w:themeFill="background1" w:themeFillShade="D9"/>
          </w:tcPr>
          <w:p w14:paraId="2FB72FC7" w14:textId="77777777" w:rsidR="00726817" w:rsidRPr="00782E31" w:rsidRDefault="00726817" w:rsidP="00A214B7">
            <w:pPr>
              <w:pStyle w:val="TableFigures"/>
              <w:spacing w:before="0" w:after="0" w:line="240" w:lineRule="auto"/>
              <w:ind w:right="30"/>
              <w:rPr>
                <w:rFonts w:cs="Arial"/>
                <w:szCs w:val="18"/>
              </w:rPr>
            </w:pPr>
          </w:p>
        </w:tc>
        <w:tc>
          <w:tcPr>
            <w:tcW w:w="541" w:type="pct"/>
            <w:gridSpan w:val="2"/>
            <w:tcBorders>
              <w:top w:val="single" w:sz="4" w:space="0" w:color="auto"/>
            </w:tcBorders>
          </w:tcPr>
          <w:p w14:paraId="21B0BBB0" w14:textId="77777777" w:rsidR="00726817" w:rsidRPr="00782E31" w:rsidRDefault="00726817" w:rsidP="00A214B7">
            <w:pPr>
              <w:pStyle w:val="TableFigures"/>
              <w:spacing w:before="0" w:after="0" w:line="240" w:lineRule="auto"/>
              <w:ind w:right="30"/>
              <w:rPr>
                <w:rFonts w:cs="Arial"/>
                <w:szCs w:val="18"/>
              </w:rPr>
            </w:pPr>
          </w:p>
        </w:tc>
        <w:tc>
          <w:tcPr>
            <w:tcW w:w="10" w:type="pct"/>
            <w:tcBorders>
              <w:top w:val="single" w:sz="4" w:space="0" w:color="auto"/>
            </w:tcBorders>
          </w:tcPr>
          <w:p w14:paraId="141D12FA" w14:textId="77777777" w:rsidR="00726817" w:rsidRPr="00782E31" w:rsidRDefault="00726817" w:rsidP="00A214B7">
            <w:pPr>
              <w:pStyle w:val="TableFigures"/>
              <w:spacing w:before="0" w:after="0" w:line="240" w:lineRule="auto"/>
              <w:ind w:right="117"/>
              <w:rPr>
                <w:rFonts w:cs="Arial"/>
                <w:szCs w:val="18"/>
              </w:rPr>
            </w:pPr>
          </w:p>
        </w:tc>
        <w:tc>
          <w:tcPr>
            <w:tcW w:w="345" w:type="pct"/>
            <w:gridSpan w:val="3"/>
            <w:tcBorders>
              <w:top w:val="single" w:sz="4" w:space="0" w:color="auto"/>
            </w:tcBorders>
          </w:tcPr>
          <w:p w14:paraId="3A6DB199" w14:textId="77777777" w:rsidR="00726817" w:rsidRPr="00782E31" w:rsidRDefault="00726817" w:rsidP="00A214B7">
            <w:pPr>
              <w:pStyle w:val="TableFigures"/>
              <w:spacing w:before="0" w:after="0" w:line="240" w:lineRule="auto"/>
              <w:ind w:right="0"/>
              <w:rPr>
                <w:rFonts w:cs="Arial"/>
                <w:szCs w:val="18"/>
              </w:rPr>
            </w:pPr>
          </w:p>
        </w:tc>
        <w:tc>
          <w:tcPr>
            <w:tcW w:w="480" w:type="pct"/>
            <w:gridSpan w:val="2"/>
            <w:tcBorders>
              <w:top w:val="single" w:sz="4" w:space="0" w:color="auto"/>
            </w:tcBorders>
          </w:tcPr>
          <w:p w14:paraId="1D431DF0" w14:textId="77777777" w:rsidR="00726817" w:rsidRPr="00782E31" w:rsidRDefault="00726817" w:rsidP="00A214B7">
            <w:pPr>
              <w:pStyle w:val="TableFigures"/>
              <w:spacing w:before="0" w:after="0" w:line="240" w:lineRule="auto"/>
              <w:ind w:right="129"/>
              <w:rPr>
                <w:rFonts w:cs="Arial"/>
                <w:szCs w:val="18"/>
              </w:rPr>
            </w:pPr>
          </w:p>
        </w:tc>
        <w:tc>
          <w:tcPr>
            <w:tcW w:w="410" w:type="pct"/>
            <w:tcBorders>
              <w:top w:val="single" w:sz="4" w:space="0" w:color="auto"/>
            </w:tcBorders>
          </w:tcPr>
          <w:p w14:paraId="32E0547C" w14:textId="77777777" w:rsidR="00726817" w:rsidRPr="00782E31" w:rsidRDefault="00726817" w:rsidP="00A214B7">
            <w:pPr>
              <w:pStyle w:val="TableFigures"/>
              <w:spacing w:before="0" w:after="0" w:line="240" w:lineRule="auto"/>
              <w:ind w:right="119"/>
              <w:rPr>
                <w:rFonts w:cs="Arial"/>
                <w:szCs w:val="18"/>
              </w:rPr>
            </w:pPr>
          </w:p>
        </w:tc>
      </w:tr>
      <w:tr w:rsidR="00726817" w:rsidRPr="00782E31" w14:paraId="75C12221" w14:textId="77777777" w:rsidTr="00A214B7">
        <w:tc>
          <w:tcPr>
            <w:tcW w:w="678" w:type="pct"/>
          </w:tcPr>
          <w:p w14:paraId="5850CB76" w14:textId="77777777" w:rsidR="00726817" w:rsidRPr="00782E31" w:rsidRDefault="00726817" w:rsidP="00A214B7">
            <w:pPr>
              <w:pStyle w:val="Tabletext"/>
            </w:pPr>
            <w:r w:rsidRPr="00782E31">
              <w:rPr>
                <w:rStyle w:val="TabletextBook"/>
                <w:rFonts w:ascii="Arial" w:hAnsi="Arial"/>
                <w:caps w:val="0"/>
                <w:color w:val="auto"/>
                <w:sz w:val="18"/>
              </w:rPr>
              <w:t>Greater London</w:t>
            </w:r>
          </w:p>
        </w:tc>
        <w:tc>
          <w:tcPr>
            <w:tcW w:w="540" w:type="pct"/>
            <w:shd w:val="clear" w:color="auto" w:fill="D9D9D9" w:themeFill="background1" w:themeFillShade="D9"/>
          </w:tcPr>
          <w:p w14:paraId="2E9A46BC" w14:textId="77777777" w:rsidR="00726817" w:rsidRPr="00782E31" w:rsidRDefault="00726817" w:rsidP="00A214B7">
            <w:pPr>
              <w:pStyle w:val="TableFigures"/>
            </w:pPr>
            <w:r w:rsidRPr="00782E31">
              <w:t>1,293,451</w:t>
            </w:r>
          </w:p>
        </w:tc>
        <w:tc>
          <w:tcPr>
            <w:tcW w:w="485" w:type="pct"/>
          </w:tcPr>
          <w:p w14:paraId="6F985E1B" w14:textId="77777777" w:rsidR="00726817" w:rsidRPr="00782E31" w:rsidRDefault="00726817" w:rsidP="00A214B7">
            <w:pPr>
              <w:pStyle w:val="TableFigures"/>
            </w:pPr>
            <w:r w:rsidRPr="00782E31">
              <w:t>7,005</w:t>
            </w:r>
          </w:p>
        </w:tc>
        <w:tc>
          <w:tcPr>
            <w:tcW w:w="412" w:type="pct"/>
          </w:tcPr>
          <w:p w14:paraId="435F1A69" w14:textId="77777777" w:rsidR="00726817" w:rsidRPr="00782E31" w:rsidRDefault="00726817" w:rsidP="00A214B7">
            <w:pPr>
              <w:pStyle w:val="TableFigures"/>
            </w:pPr>
            <w:r w:rsidRPr="00782E31">
              <w:t>327</w:t>
            </w:r>
          </w:p>
        </w:tc>
        <w:tc>
          <w:tcPr>
            <w:tcW w:w="548" w:type="pct"/>
          </w:tcPr>
          <w:p w14:paraId="3284F780" w14:textId="77777777" w:rsidR="00726817" w:rsidRPr="00782E31" w:rsidRDefault="00726817" w:rsidP="00A214B7">
            <w:pPr>
              <w:pStyle w:val="TableFigures"/>
            </w:pPr>
            <w:r w:rsidRPr="00782E31">
              <w:t>7,332</w:t>
            </w:r>
          </w:p>
        </w:tc>
        <w:tc>
          <w:tcPr>
            <w:tcW w:w="28" w:type="pct"/>
          </w:tcPr>
          <w:p w14:paraId="3217BCAC" w14:textId="77777777" w:rsidR="00726817" w:rsidRPr="00782E31" w:rsidRDefault="00726817" w:rsidP="00A214B7">
            <w:pPr>
              <w:pStyle w:val="TableFigures"/>
            </w:pPr>
          </w:p>
        </w:tc>
        <w:tc>
          <w:tcPr>
            <w:tcW w:w="11" w:type="pct"/>
          </w:tcPr>
          <w:p w14:paraId="53ADDDC9" w14:textId="77777777" w:rsidR="00726817" w:rsidRPr="00782E31" w:rsidRDefault="00726817" w:rsidP="00A214B7">
            <w:pPr>
              <w:pStyle w:val="TableFigures"/>
            </w:pPr>
          </w:p>
        </w:tc>
        <w:tc>
          <w:tcPr>
            <w:tcW w:w="511" w:type="pct"/>
            <w:shd w:val="clear" w:color="auto" w:fill="D9D9D9" w:themeFill="background1" w:themeFillShade="D9"/>
          </w:tcPr>
          <w:p w14:paraId="502256EA" w14:textId="7605EA96" w:rsidR="00726817" w:rsidRPr="00782E31" w:rsidRDefault="00726817" w:rsidP="00A214B7">
            <w:pPr>
              <w:pStyle w:val="TableFigures"/>
            </w:pPr>
            <w:r w:rsidRPr="00782E31">
              <w:t>7,33</w:t>
            </w:r>
            <w:r w:rsidR="00F8795D">
              <w:t>9</w:t>
            </w:r>
          </w:p>
        </w:tc>
        <w:tc>
          <w:tcPr>
            <w:tcW w:w="541" w:type="pct"/>
            <w:gridSpan w:val="2"/>
          </w:tcPr>
          <w:p w14:paraId="506D2241" w14:textId="77777777" w:rsidR="00726817" w:rsidRPr="00782E31" w:rsidRDefault="00726817" w:rsidP="00A214B7">
            <w:pPr>
              <w:pStyle w:val="TableFigures"/>
            </w:pPr>
            <w:r w:rsidRPr="00782E31">
              <w:t>38.1</w:t>
            </w:r>
          </w:p>
        </w:tc>
        <w:tc>
          <w:tcPr>
            <w:tcW w:w="10" w:type="pct"/>
          </w:tcPr>
          <w:p w14:paraId="05C7E9E3" w14:textId="77777777" w:rsidR="00726817" w:rsidRPr="00782E31" w:rsidRDefault="00726817" w:rsidP="00A214B7">
            <w:pPr>
              <w:pStyle w:val="TableFigures"/>
            </w:pPr>
          </w:p>
        </w:tc>
        <w:tc>
          <w:tcPr>
            <w:tcW w:w="345" w:type="pct"/>
            <w:gridSpan w:val="3"/>
          </w:tcPr>
          <w:p w14:paraId="61646DDF" w14:textId="77777777" w:rsidR="00726817" w:rsidRPr="00782E31" w:rsidRDefault="00726817" w:rsidP="00A214B7">
            <w:pPr>
              <w:pStyle w:val="TableFigures"/>
            </w:pPr>
            <w:r w:rsidRPr="00782E31">
              <w:t>2.7</w:t>
            </w:r>
          </w:p>
        </w:tc>
        <w:tc>
          <w:tcPr>
            <w:tcW w:w="480" w:type="pct"/>
            <w:gridSpan w:val="2"/>
          </w:tcPr>
          <w:p w14:paraId="64D7FDFE" w14:textId="77777777" w:rsidR="00726817" w:rsidRPr="00782E31" w:rsidRDefault="00726817" w:rsidP="00A214B7">
            <w:pPr>
              <w:pStyle w:val="TableFigures"/>
            </w:pPr>
            <w:r w:rsidRPr="00782E31">
              <w:t>3.5</w:t>
            </w:r>
          </w:p>
        </w:tc>
        <w:tc>
          <w:tcPr>
            <w:tcW w:w="410" w:type="pct"/>
          </w:tcPr>
          <w:p w14:paraId="4D37EE63" w14:textId="77777777" w:rsidR="00726817" w:rsidRPr="00782E31" w:rsidRDefault="00726817" w:rsidP="00A214B7">
            <w:pPr>
              <w:pStyle w:val="TableFigures"/>
            </w:pPr>
            <w:r w:rsidRPr="00782E31">
              <w:t>2.8</w:t>
            </w:r>
          </w:p>
        </w:tc>
      </w:tr>
      <w:tr w:rsidR="00726817" w:rsidRPr="00782E31" w14:paraId="7520C2B6" w14:textId="77777777" w:rsidTr="00A214B7">
        <w:tc>
          <w:tcPr>
            <w:tcW w:w="678" w:type="pct"/>
          </w:tcPr>
          <w:p w14:paraId="0D4747D9" w14:textId="77777777" w:rsidR="00726817" w:rsidRPr="00782E31" w:rsidRDefault="00726817" w:rsidP="00A214B7">
            <w:pPr>
              <w:pStyle w:val="Tabletext"/>
            </w:pPr>
            <w:r w:rsidRPr="00782E31">
              <w:rPr>
                <w:rStyle w:val="TabletextBook"/>
                <w:rFonts w:ascii="Arial" w:hAnsi="Arial"/>
                <w:caps w:val="0"/>
                <w:color w:val="auto"/>
                <w:sz w:val="18"/>
              </w:rPr>
              <w:t xml:space="preserve">Thames Valley </w:t>
            </w:r>
          </w:p>
        </w:tc>
        <w:tc>
          <w:tcPr>
            <w:tcW w:w="540" w:type="pct"/>
            <w:shd w:val="clear" w:color="auto" w:fill="D9D9D9" w:themeFill="background1" w:themeFillShade="D9"/>
          </w:tcPr>
          <w:p w14:paraId="029C0D0D" w14:textId="77777777" w:rsidR="00726817" w:rsidRPr="00782E31" w:rsidRDefault="00726817" w:rsidP="00A214B7">
            <w:pPr>
              <w:pStyle w:val="TableFigures"/>
            </w:pPr>
            <w:r w:rsidRPr="00782E31">
              <w:t>661,111</w:t>
            </w:r>
          </w:p>
        </w:tc>
        <w:tc>
          <w:tcPr>
            <w:tcW w:w="485" w:type="pct"/>
          </w:tcPr>
          <w:p w14:paraId="37AD6E8F" w14:textId="77777777" w:rsidR="00726817" w:rsidRPr="00782E31" w:rsidRDefault="00726817" w:rsidP="00A214B7">
            <w:pPr>
              <w:pStyle w:val="TableFigures"/>
            </w:pPr>
            <w:r w:rsidRPr="00782E31">
              <w:t>2,878</w:t>
            </w:r>
          </w:p>
        </w:tc>
        <w:tc>
          <w:tcPr>
            <w:tcW w:w="412" w:type="pct"/>
          </w:tcPr>
          <w:p w14:paraId="13773EB1" w14:textId="77777777" w:rsidR="00726817" w:rsidRPr="00782E31" w:rsidRDefault="00726817" w:rsidP="00A214B7">
            <w:pPr>
              <w:pStyle w:val="TableFigures"/>
            </w:pPr>
            <w:r w:rsidRPr="00782E31">
              <w:t>224</w:t>
            </w:r>
          </w:p>
        </w:tc>
        <w:tc>
          <w:tcPr>
            <w:tcW w:w="548" w:type="pct"/>
          </w:tcPr>
          <w:p w14:paraId="60ACD581" w14:textId="77777777" w:rsidR="00726817" w:rsidRPr="00782E31" w:rsidRDefault="00726817" w:rsidP="00A214B7">
            <w:pPr>
              <w:pStyle w:val="TableFigures"/>
            </w:pPr>
            <w:r w:rsidRPr="00782E31">
              <w:t>3,102</w:t>
            </w:r>
          </w:p>
        </w:tc>
        <w:tc>
          <w:tcPr>
            <w:tcW w:w="28" w:type="pct"/>
          </w:tcPr>
          <w:p w14:paraId="6187A175" w14:textId="77777777" w:rsidR="00726817" w:rsidRPr="00782E31" w:rsidRDefault="00726817" w:rsidP="00A214B7">
            <w:pPr>
              <w:pStyle w:val="TableFigures"/>
            </w:pPr>
          </w:p>
        </w:tc>
        <w:tc>
          <w:tcPr>
            <w:tcW w:w="11" w:type="pct"/>
          </w:tcPr>
          <w:p w14:paraId="2B49FF6A" w14:textId="77777777" w:rsidR="00726817" w:rsidRPr="00782E31" w:rsidRDefault="00726817" w:rsidP="00A214B7">
            <w:pPr>
              <w:pStyle w:val="TableFigures"/>
            </w:pPr>
          </w:p>
        </w:tc>
        <w:tc>
          <w:tcPr>
            <w:tcW w:w="511" w:type="pct"/>
            <w:shd w:val="clear" w:color="auto" w:fill="D9D9D9" w:themeFill="background1" w:themeFillShade="D9"/>
          </w:tcPr>
          <w:p w14:paraId="50D84D4A" w14:textId="77777777" w:rsidR="00726817" w:rsidRPr="00782E31" w:rsidRDefault="00726817" w:rsidP="00A214B7">
            <w:pPr>
              <w:pStyle w:val="TableFigures"/>
            </w:pPr>
            <w:r w:rsidRPr="00782E31">
              <w:t>3,102</w:t>
            </w:r>
          </w:p>
        </w:tc>
        <w:tc>
          <w:tcPr>
            <w:tcW w:w="541" w:type="pct"/>
            <w:gridSpan w:val="2"/>
          </w:tcPr>
          <w:p w14:paraId="1519EA2D" w14:textId="77777777" w:rsidR="00726817" w:rsidRPr="00782E31" w:rsidRDefault="00726817" w:rsidP="00A214B7">
            <w:pPr>
              <w:pStyle w:val="TableFigures"/>
            </w:pPr>
            <w:r w:rsidRPr="00782E31">
              <w:t>28.4</w:t>
            </w:r>
          </w:p>
        </w:tc>
        <w:tc>
          <w:tcPr>
            <w:tcW w:w="10" w:type="pct"/>
          </w:tcPr>
          <w:p w14:paraId="1E396F1B" w14:textId="77777777" w:rsidR="00726817" w:rsidRPr="00782E31" w:rsidRDefault="00726817" w:rsidP="00A214B7">
            <w:pPr>
              <w:pStyle w:val="TableFigures"/>
            </w:pPr>
          </w:p>
        </w:tc>
        <w:tc>
          <w:tcPr>
            <w:tcW w:w="345" w:type="pct"/>
            <w:gridSpan w:val="3"/>
          </w:tcPr>
          <w:p w14:paraId="1C681F79" w14:textId="77777777" w:rsidR="00726817" w:rsidRPr="00782E31" w:rsidRDefault="00726817" w:rsidP="00A214B7">
            <w:pPr>
              <w:pStyle w:val="TableFigures"/>
            </w:pPr>
            <w:r w:rsidRPr="00782E31">
              <w:t>3.6</w:t>
            </w:r>
          </w:p>
        </w:tc>
        <w:tc>
          <w:tcPr>
            <w:tcW w:w="480" w:type="pct"/>
            <w:gridSpan w:val="2"/>
          </w:tcPr>
          <w:p w14:paraId="618C356E" w14:textId="77777777" w:rsidR="00726817" w:rsidRPr="00782E31" w:rsidRDefault="00726817" w:rsidP="00A214B7">
            <w:pPr>
              <w:pStyle w:val="TableFigures"/>
            </w:pPr>
            <w:r w:rsidRPr="00782E31">
              <w:t>4.1</w:t>
            </w:r>
          </w:p>
        </w:tc>
        <w:tc>
          <w:tcPr>
            <w:tcW w:w="410" w:type="pct"/>
          </w:tcPr>
          <w:p w14:paraId="5AEA99F2" w14:textId="77777777" w:rsidR="00726817" w:rsidRPr="00782E31" w:rsidRDefault="00726817" w:rsidP="00A214B7">
            <w:pPr>
              <w:pStyle w:val="TableFigures"/>
            </w:pPr>
            <w:r w:rsidRPr="00782E31">
              <w:t>4.0</w:t>
            </w:r>
          </w:p>
        </w:tc>
      </w:tr>
      <w:tr w:rsidR="00726817" w:rsidRPr="00782E31" w14:paraId="211A40D6" w14:textId="77777777" w:rsidTr="00A214B7">
        <w:tc>
          <w:tcPr>
            <w:tcW w:w="678" w:type="pct"/>
          </w:tcPr>
          <w:p w14:paraId="04DAAC3E" w14:textId="77777777" w:rsidR="00726817" w:rsidRPr="00782E31" w:rsidRDefault="00726817" w:rsidP="00A214B7">
            <w:pPr>
              <w:pStyle w:val="Tabletext"/>
              <w:rPr>
                <w:rStyle w:val="TabletextBook"/>
                <w:rFonts w:ascii="Arial" w:hAnsi="Arial"/>
                <w:caps w:val="0"/>
                <w:color w:val="auto"/>
                <w:sz w:val="18"/>
              </w:rPr>
            </w:pPr>
            <w:r w:rsidRPr="00782E31">
              <w:rPr>
                <w:rStyle w:val="TabletextBook"/>
                <w:rFonts w:ascii="Arial" w:hAnsi="Arial"/>
                <w:caps w:val="0"/>
                <w:color w:val="auto"/>
                <w:sz w:val="18"/>
              </w:rPr>
              <w:t>National Logistics</w:t>
            </w:r>
          </w:p>
        </w:tc>
        <w:tc>
          <w:tcPr>
            <w:tcW w:w="540" w:type="pct"/>
            <w:shd w:val="clear" w:color="auto" w:fill="D9D9D9" w:themeFill="background1" w:themeFillShade="D9"/>
          </w:tcPr>
          <w:p w14:paraId="540E7E32" w14:textId="77777777" w:rsidR="00726817" w:rsidRPr="00782E31" w:rsidRDefault="00726817" w:rsidP="00A214B7">
            <w:pPr>
              <w:pStyle w:val="TableFigures"/>
            </w:pPr>
            <w:r w:rsidRPr="00782E31">
              <w:t>619,089</w:t>
            </w:r>
          </w:p>
        </w:tc>
        <w:tc>
          <w:tcPr>
            <w:tcW w:w="485" w:type="pct"/>
          </w:tcPr>
          <w:p w14:paraId="4B0C1C6E" w14:textId="77777777" w:rsidR="00726817" w:rsidRPr="00782E31" w:rsidRDefault="00726817" w:rsidP="00A214B7">
            <w:pPr>
              <w:pStyle w:val="TableFigures"/>
            </w:pPr>
            <w:r w:rsidRPr="00782E31">
              <w:t>1,247</w:t>
            </w:r>
          </w:p>
        </w:tc>
        <w:tc>
          <w:tcPr>
            <w:tcW w:w="412" w:type="pct"/>
          </w:tcPr>
          <w:p w14:paraId="2AAB80C1" w14:textId="77777777" w:rsidR="00726817" w:rsidRPr="00782E31" w:rsidRDefault="00726817" w:rsidP="00A214B7">
            <w:pPr>
              <w:pStyle w:val="TableFigures"/>
            </w:pPr>
            <w:r w:rsidRPr="00782E31">
              <w:t>470</w:t>
            </w:r>
          </w:p>
        </w:tc>
        <w:tc>
          <w:tcPr>
            <w:tcW w:w="548" w:type="pct"/>
          </w:tcPr>
          <w:p w14:paraId="107728F5" w14:textId="77777777" w:rsidR="00726817" w:rsidRPr="00782E31" w:rsidRDefault="00726817" w:rsidP="00A214B7">
            <w:pPr>
              <w:pStyle w:val="TableFigures"/>
            </w:pPr>
            <w:r w:rsidRPr="00782E31">
              <w:t>1,717</w:t>
            </w:r>
          </w:p>
        </w:tc>
        <w:tc>
          <w:tcPr>
            <w:tcW w:w="28" w:type="pct"/>
          </w:tcPr>
          <w:p w14:paraId="466B055D" w14:textId="77777777" w:rsidR="00726817" w:rsidRPr="00782E31" w:rsidRDefault="00726817" w:rsidP="00A214B7">
            <w:pPr>
              <w:pStyle w:val="TableFigures"/>
            </w:pPr>
          </w:p>
        </w:tc>
        <w:tc>
          <w:tcPr>
            <w:tcW w:w="11" w:type="pct"/>
          </w:tcPr>
          <w:p w14:paraId="12B989C5" w14:textId="77777777" w:rsidR="00726817" w:rsidRPr="00782E31" w:rsidRDefault="00726817" w:rsidP="00A214B7">
            <w:pPr>
              <w:pStyle w:val="TableFigures"/>
            </w:pPr>
          </w:p>
        </w:tc>
        <w:tc>
          <w:tcPr>
            <w:tcW w:w="511" w:type="pct"/>
            <w:shd w:val="clear" w:color="auto" w:fill="D9D9D9" w:themeFill="background1" w:themeFillShade="D9"/>
          </w:tcPr>
          <w:p w14:paraId="72E6FAE4" w14:textId="77777777" w:rsidR="00726817" w:rsidRPr="00782E31" w:rsidRDefault="00726817" w:rsidP="00A214B7">
            <w:pPr>
              <w:pStyle w:val="TableFigures"/>
            </w:pPr>
            <w:r w:rsidRPr="00782E31">
              <w:t>1,717</w:t>
            </w:r>
          </w:p>
        </w:tc>
        <w:tc>
          <w:tcPr>
            <w:tcW w:w="541" w:type="pct"/>
            <w:gridSpan w:val="2"/>
          </w:tcPr>
          <w:p w14:paraId="2234031A" w14:textId="77777777" w:rsidR="00726817" w:rsidRPr="00782E31" w:rsidRDefault="00726817" w:rsidP="00A214B7">
            <w:pPr>
              <w:pStyle w:val="TableFigures"/>
            </w:pPr>
            <w:r w:rsidRPr="00782E31">
              <w:t>27.8</w:t>
            </w:r>
          </w:p>
        </w:tc>
        <w:tc>
          <w:tcPr>
            <w:tcW w:w="10" w:type="pct"/>
          </w:tcPr>
          <w:p w14:paraId="4067C31A" w14:textId="77777777" w:rsidR="00726817" w:rsidRPr="00782E31" w:rsidRDefault="00726817" w:rsidP="00A214B7">
            <w:pPr>
              <w:pStyle w:val="TableFigures"/>
            </w:pPr>
          </w:p>
        </w:tc>
        <w:tc>
          <w:tcPr>
            <w:tcW w:w="345" w:type="pct"/>
            <w:gridSpan w:val="3"/>
          </w:tcPr>
          <w:p w14:paraId="67B4A14C" w14:textId="77777777" w:rsidR="00726817" w:rsidRPr="00782E31" w:rsidRDefault="00726817" w:rsidP="00A214B7">
            <w:pPr>
              <w:pStyle w:val="TableFigures"/>
            </w:pPr>
            <w:r w:rsidRPr="00782E31">
              <w:t>4.0</w:t>
            </w:r>
          </w:p>
        </w:tc>
        <w:tc>
          <w:tcPr>
            <w:tcW w:w="480" w:type="pct"/>
            <w:gridSpan w:val="2"/>
          </w:tcPr>
          <w:p w14:paraId="179CCD2F" w14:textId="77777777" w:rsidR="00726817" w:rsidRPr="00782E31" w:rsidRDefault="00726817" w:rsidP="00A214B7">
            <w:pPr>
              <w:pStyle w:val="TableFigures"/>
            </w:pPr>
            <w:r w:rsidRPr="00782E31">
              <w:t>3.8</w:t>
            </w:r>
          </w:p>
        </w:tc>
        <w:tc>
          <w:tcPr>
            <w:tcW w:w="410" w:type="pct"/>
          </w:tcPr>
          <w:p w14:paraId="75783F1D" w14:textId="77777777" w:rsidR="00726817" w:rsidRPr="00782E31" w:rsidRDefault="00726817" w:rsidP="00A214B7">
            <w:pPr>
              <w:pStyle w:val="TableFigures"/>
            </w:pPr>
            <w:r w:rsidRPr="00782E31">
              <w:t>-</w:t>
            </w:r>
          </w:p>
        </w:tc>
      </w:tr>
      <w:tr w:rsidR="00726817" w:rsidRPr="00782E31" w14:paraId="2A598E6C" w14:textId="77777777" w:rsidTr="00A214B7">
        <w:tc>
          <w:tcPr>
            <w:tcW w:w="678" w:type="pct"/>
          </w:tcPr>
          <w:p w14:paraId="07360A9E" w14:textId="77777777" w:rsidR="00726817" w:rsidRPr="00782E31" w:rsidRDefault="00726817" w:rsidP="00A214B7">
            <w:pPr>
              <w:pStyle w:val="TabletextBold"/>
              <w:rPr>
                <w:rStyle w:val="TabletextBook"/>
                <w:rFonts w:ascii="Arial" w:hAnsi="Arial" w:cs="Arial"/>
                <w:b w:val="0"/>
                <w:caps w:val="0"/>
                <w:color w:val="auto"/>
                <w:sz w:val="18"/>
                <w:szCs w:val="18"/>
              </w:rPr>
            </w:pPr>
            <w:r w:rsidRPr="00782E31">
              <w:rPr>
                <w:rStyle w:val="TabletextBook"/>
                <w:rFonts w:ascii="Arial" w:hAnsi="Arial" w:cs="Arial"/>
                <w:caps w:val="0"/>
                <w:color w:val="auto"/>
                <w:sz w:val="18"/>
                <w:szCs w:val="18"/>
              </w:rPr>
              <w:t>UK Total</w:t>
            </w:r>
          </w:p>
        </w:tc>
        <w:tc>
          <w:tcPr>
            <w:tcW w:w="540" w:type="pct"/>
            <w:shd w:val="clear" w:color="auto" w:fill="D9D9D9" w:themeFill="background1" w:themeFillShade="D9"/>
          </w:tcPr>
          <w:p w14:paraId="3F41FDB4" w14:textId="1A6C81A1" w:rsidR="00726817" w:rsidRPr="00782E31" w:rsidRDefault="00726817" w:rsidP="00A214B7">
            <w:pPr>
              <w:pStyle w:val="TableFiguresBold0"/>
            </w:pPr>
            <w:r w:rsidRPr="00782E31">
              <w:t>2</w:t>
            </w:r>
            <w:r w:rsidR="00A73D99">
              <w:t>,</w:t>
            </w:r>
            <w:r w:rsidRPr="00782E31">
              <w:t>573</w:t>
            </w:r>
            <w:r w:rsidR="00A73D99">
              <w:t>,</w:t>
            </w:r>
            <w:r w:rsidRPr="00782E31">
              <w:t>651</w:t>
            </w:r>
          </w:p>
        </w:tc>
        <w:tc>
          <w:tcPr>
            <w:tcW w:w="485" w:type="pct"/>
          </w:tcPr>
          <w:p w14:paraId="61AEC5F8" w14:textId="77777777" w:rsidR="00726817" w:rsidRPr="00782E31" w:rsidRDefault="00726817" w:rsidP="00A214B7">
            <w:pPr>
              <w:pStyle w:val="TableFiguresBold0"/>
            </w:pPr>
            <w:r w:rsidRPr="00782E31">
              <w:t>11,130</w:t>
            </w:r>
          </w:p>
        </w:tc>
        <w:tc>
          <w:tcPr>
            <w:tcW w:w="412" w:type="pct"/>
          </w:tcPr>
          <w:p w14:paraId="08EDA44C" w14:textId="77777777" w:rsidR="00726817" w:rsidRPr="00782E31" w:rsidRDefault="00726817" w:rsidP="00A214B7">
            <w:pPr>
              <w:pStyle w:val="TableFiguresBold0"/>
            </w:pPr>
            <w:r w:rsidRPr="00782E31">
              <w:t>1,021</w:t>
            </w:r>
          </w:p>
        </w:tc>
        <w:tc>
          <w:tcPr>
            <w:tcW w:w="548" w:type="pct"/>
          </w:tcPr>
          <w:p w14:paraId="1FC4ABFD" w14:textId="77777777" w:rsidR="00726817" w:rsidRPr="00782E31" w:rsidRDefault="00726817" w:rsidP="00A214B7">
            <w:pPr>
              <w:pStyle w:val="TableFiguresBold0"/>
            </w:pPr>
            <w:r w:rsidRPr="00782E31">
              <w:t>12,151</w:t>
            </w:r>
          </w:p>
        </w:tc>
        <w:tc>
          <w:tcPr>
            <w:tcW w:w="28" w:type="pct"/>
          </w:tcPr>
          <w:p w14:paraId="5706BB1C" w14:textId="77777777" w:rsidR="00726817" w:rsidRPr="00782E31" w:rsidRDefault="00726817" w:rsidP="00A214B7">
            <w:pPr>
              <w:pStyle w:val="TableFiguresBold0"/>
            </w:pPr>
          </w:p>
        </w:tc>
        <w:tc>
          <w:tcPr>
            <w:tcW w:w="11" w:type="pct"/>
          </w:tcPr>
          <w:p w14:paraId="384515D6" w14:textId="77777777" w:rsidR="00726817" w:rsidRPr="00782E31" w:rsidRDefault="00726817" w:rsidP="00A214B7">
            <w:pPr>
              <w:pStyle w:val="TableFiguresBold0"/>
            </w:pPr>
          </w:p>
        </w:tc>
        <w:tc>
          <w:tcPr>
            <w:tcW w:w="511" w:type="pct"/>
            <w:shd w:val="clear" w:color="auto" w:fill="D9D9D9" w:themeFill="background1" w:themeFillShade="D9"/>
          </w:tcPr>
          <w:p w14:paraId="4D638576" w14:textId="5C0582D6" w:rsidR="00726817" w:rsidRPr="00782E31" w:rsidRDefault="00726817" w:rsidP="00A214B7">
            <w:pPr>
              <w:pStyle w:val="TableFiguresBold0"/>
            </w:pPr>
            <w:r w:rsidRPr="00782E31">
              <w:t>12,15</w:t>
            </w:r>
            <w:r w:rsidR="00F8795D">
              <w:t>8</w:t>
            </w:r>
          </w:p>
        </w:tc>
        <w:tc>
          <w:tcPr>
            <w:tcW w:w="541" w:type="pct"/>
            <w:gridSpan w:val="2"/>
          </w:tcPr>
          <w:p w14:paraId="7E03EE15" w14:textId="2345407A" w:rsidR="00726817" w:rsidRPr="00782E31" w:rsidRDefault="00726817" w:rsidP="00A214B7">
            <w:pPr>
              <w:pStyle w:val="TableFiguresBold0"/>
            </w:pPr>
            <w:r w:rsidRPr="00782E31">
              <w:t>34.</w:t>
            </w:r>
            <w:r w:rsidR="002F5B12">
              <w:t>5</w:t>
            </w:r>
          </w:p>
        </w:tc>
        <w:tc>
          <w:tcPr>
            <w:tcW w:w="10" w:type="pct"/>
          </w:tcPr>
          <w:p w14:paraId="77D1A33F" w14:textId="77777777" w:rsidR="00726817" w:rsidRPr="00782E31" w:rsidRDefault="00726817" w:rsidP="00A214B7">
            <w:pPr>
              <w:pStyle w:val="TableFiguresBold0"/>
            </w:pPr>
          </w:p>
        </w:tc>
        <w:tc>
          <w:tcPr>
            <w:tcW w:w="345" w:type="pct"/>
            <w:gridSpan w:val="3"/>
          </w:tcPr>
          <w:p w14:paraId="40709F66" w14:textId="77777777" w:rsidR="00726817" w:rsidRPr="00782E31" w:rsidRDefault="00726817" w:rsidP="00A214B7">
            <w:pPr>
              <w:pStyle w:val="TableFiguresBold0"/>
            </w:pPr>
            <w:r w:rsidRPr="00782E31">
              <w:t>3.1</w:t>
            </w:r>
          </w:p>
        </w:tc>
        <w:tc>
          <w:tcPr>
            <w:tcW w:w="480" w:type="pct"/>
            <w:gridSpan w:val="2"/>
          </w:tcPr>
          <w:p w14:paraId="3B9FDB1B" w14:textId="77777777" w:rsidR="00726817" w:rsidRPr="00782E31" w:rsidRDefault="00726817" w:rsidP="00A214B7">
            <w:pPr>
              <w:pStyle w:val="TableFiguresBold0"/>
            </w:pPr>
            <w:r w:rsidRPr="00782E31">
              <w:t>3.7</w:t>
            </w:r>
          </w:p>
        </w:tc>
        <w:tc>
          <w:tcPr>
            <w:tcW w:w="410" w:type="pct"/>
          </w:tcPr>
          <w:p w14:paraId="7EA5667C" w14:textId="77777777" w:rsidR="00726817" w:rsidRPr="00782E31" w:rsidRDefault="00726817" w:rsidP="00A214B7">
            <w:pPr>
              <w:pStyle w:val="TableFiguresBold0"/>
            </w:pPr>
            <w:r w:rsidRPr="00782E31">
              <w:t>2.8</w:t>
            </w:r>
          </w:p>
        </w:tc>
      </w:tr>
      <w:tr w:rsidR="00726817" w:rsidRPr="00782E31" w14:paraId="74698FB2" w14:textId="77777777" w:rsidTr="00A214B7">
        <w:tc>
          <w:tcPr>
            <w:tcW w:w="678" w:type="pct"/>
          </w:tcPr>
          <w:p w14:paraId="48B983F3" w14:textId="77777777" w:rsidR="00726817" w:rsidRPr="00782E31" w:rsidRDefault="00726817" w:rsidP="00A214B7">
            <w:pPr>
              <w:pStyle w:val="TabletextBold"/>
              <w:rPr>
                <w:caps/>
              </w:rPr>
            </w:pPr>
            <w:r w:rsidRPr="00782E31">
              <w:t>Continental Europe</w:t>
            </w:r>
          </w:p>
        </w:tc>
        <w:tc>
          <w:tcPr>
            <w:tcW w:w="540" w:type="pct"/>
            <w:shd w:val="clear" w:color="auto" w:fill="D9D9D9" w:themeFill="background1" w:themeFillShade="D9"/>
          </w:tcPr>
          <w:p w14:paraId="1007DC65" w14:textId="77777777" w:rsidR="00726817" w:rsidRPr="00782E31" w:rsidRDefault="00726817" w:rsidP="00A214B7">
            <w:pPr>
              <w:pStyle w:val="TableFigures"/>
              <w:spacing w:before="0" w:after="0" w:line="240" w:lineRule="auto"/>
              <w:ind w:right="41"/>
              <w:rPr>
                <w:rFonts w:cs="Arial"/>
                <w:b/>
                <w:szCs w:val="18"/>
              </w:rPr>
            </w:pPr>
          </w:p>
        </w:tc>
        <w:tc>
          <w:tcPr>
            <w:tcW w:w="485" w:type="pct"/>
          </w:tcPr>
          <w:p w14:paraId="189EBD60" w14:textId="77777777" w:rsidR="00726817" w:rsidRPr="00782E31" w:rsidRDefault="00726817" w:rsidP="00A214B7">
            <w:pPr>
              <w:pStyle w:val="TableFigures"/>
              <w:spacing w:before="0" w:after="0" w:line="240" w:lineRule="auto"/>
              <w:ind w:right="67"/>
              <w:rPr>
                <w:rFonts w:cs="Arial"/>
                <w:b/>
                <w:szCs w:val="18"/>
              </w:rPr>
            </w:pPr>
          </w:p>
        </w:tc>
        <w:tc>
          <w:tcPr>
            <w:tcW w:w="412" w:type="pct"/>
          </w:tcPr>
          <w:p w14:paraId="1CD3C592" w14:textId="77777777" w:rsidR="00726817" w:rsidRPr="00782E31" w:rsidRDefault="00726817" w:rsidP="00A214B7">
            <w:pPr>
              <w:pStyle w:val="TableFigures"/>
              <w:spacing w:before="0" w:after="0" w:line="240" w:lineRule="auto"/>
              <w:ind w:right="56"/>
              <w:rPr>
                <w:rFonts w:cs="Arial"/>
                <w:b/>
                <w:szCs w:val="18"/>
              </w:rPr>
            </w:pPr>
          </w:p>
        </w:tc>
        <w:tc>
          <w:tcPr>
            <w:tcW w:w="548" w:type="pct"/>
          </w:tcPr>
          <w:p w14:paraId="034F46A3" w14:textId="77777777" w:rsidR="00726817" w:rsidRPr="00782E31" w:rsidRDefault="00726817" w:rsidP="00A214B7">
            <w:pPr>
              <w:pStyle w:val="TableFigures"/>
              <w:tabs>
                <w:tab w:val="left" w:pos="936"/>
              </w:tabs>
              <w:spacing w:before="0" w:after="0" w:line="240" w:lineRule="auto"/>
              <w:ind w:right="91"/>
              <w:rPr>
                <w:rFonts w:cs="Arial"/>
                <w:b/>
                <w:szCs w:val="18"/>
              </w:rPr>
            </w:pPr>
          </w:p>
        </w:tc>
        <w:tc>
          <w:tcPr>
            <w:tcW w:w="28" w:type="pct"/>
          </w:tcPr>
          <w:p w14:paraId="13559177" w14:textId="77777777" w:rsidR="00726817" w:rsidRPr="00782E31" w:rsidRDefault="00726817" w:rsidP="00A214B7">
            <w:pPr>
              <w:pStyle w:val="TableFigures"/>
              <w:spacing w:before="0" w:after="0" w:line="240" w:lineRule="auto"/>
              <w:ind w:right="104"/>
              <w:rPr>
                <w:rFonts w:cs="Arial"/>
                <w:b/>
                <w:szCs w:val="18"/>
              </w:rPr>
            </w:pPr>
          </w:p>
        </w:tc>
        <w:tc>
          <w:tcPr>
            <w:tcW w:w="11" w:type="pct"/>
          </w:tcPr>
          <w:p w14:paraId="54BA4930" w14:textId="77777777" w:rsidR="00726817" w:rsidRPr="00782E31" w:rsidRDefault="00726817" w:rsidP="00A214B7">
            <w:pPr>
              <w:pStyle w:val="TableFigures"/>
              <w:spacing w:before="0" w:after="0" w:line="240" w:lineRule="auto"/>
              <w:ind w:right="104"/>
              <w:rPr>
                <w:rFonts w:cs="Arial"/>
                <w:b/>
                <w:szCs w:val="18"/>
              </w:rPr>
            </w:pPr>
          </w:p>
        </w:tc>
        <w:tc>
          <w:tcPr>
            <w:tcW w:w="511" w:type="pct"/>
            <w:shd w:val="clear" w:color="auto" w:fill="D9D9D9" w:themeFill="background1" w:themeFillShade="D9"/>
          </w:tcPr>
          <w:p w14:paraId="0996A7CF" w14:textId="77777777" w:rsidR="00726817" w:rsidRPr="00782E31" w:rsidRDefault="00726817" w:rsidP="00A214B7">
            <w:pPr>
              <w:pStyle w:val="TableFigures"/>
              <w:spacing w:before="0" w:after="0" w:line="240" w:lineRule="auto"/>
              <w:ind w:right="30"/>
              <w:rPr>
                <w:rFonts w:cs="Arial"/>
                <w:b/>
                <w:szCs w:val="18"/>
              </w:rPr>
            </w:pPr>
          </w:p>
        </w:tc>
        <w:tc>
          <w:tcPr>
            <w:tcW w:w="541" w:type="pct"/>
            <w:gridSpan w:val="2"/>
          </w:tcPr>
          <w:p w14:paraId="73B05CDB" w14:textId="77777777" w:rsidR="00726817" w:rsidRPr="00782E31" w:rsidRDefault="00726817" w:rsidP="00A214B7">
            <w:pPr>
              <w:pStyle w:val="TableFigures"/>
              <w:spacing w:before="0" w:after="0" w:line="240" w:lineRule="auto"/>
              <w:ind w:right="30"/>
              <w:rPr>
                <w:rFonts w:cs="Arial"/>
                <w:b/>
                <w:szCs w:val="18"/>
              </w:rPr>
            </w:pPr>
          </w:p>
        </w:tc>
        <w:tc>
          <w:tcPr>
            <w:tcW w:w="10" w:type="pct"/>
          </w:tcPr>
          <w:p w14:paraId="4FE7214A" w14:textId="77777777" w:rsidR="00726817" w:rsidRPr="00782E31" w:rsidRDefault="00726817" w:rsidP="00A214B7">
            <w:pPr>
              <w:pStyle w:val="TableFigures"/>
              <w:spacing w:before="0" w:after="0" w:line="240" w:lineRule="auto"/>
              <w:ind w:right="117"/>
              <w:rPr>
                <w:rFonts w:cs="Arial"/>
                <w:b/>
                <w:szCs w:val="18"/>
              </w:rPr>
            </w:pPr>
          </w:p>
        </w:tc>
        <w:tc>
          <w:tcPr>
            <w:tcW w:w="345" w:type="pct"/>
            <w:gridSpan w:val="3"/>
          </w:tcPr>
          <w:p w14:paraId="70F4E4BA" w14:textId="77777777" w:rsidR="00726817" w:rsidRPr="00782E31" w:rsidRDefault="00726817" w:rsidP="00A214B7">
            <w:pPr>
              <w:pStyle w:val="TableFigures"/>
              <w:spacing w:before="0" w:after="0" w:line="240" w:lineRule="auto"/>
              <w:ind w:right="0"/>
              <w:rPr>
                <w:rFonts w:cs="Arial"/>
                <w:b/>
                <w:szCs w:val="18"/>
              </w:rPr>
            </w:pPr>
          </w:p>
        </w:tc>
        <w:tc>
          <w:tcPr>
            <w:tcW w:w="480" w:type="pct"/>
            <w:gridSpan w:val="2"/>
          </w:tcPr>
          <w:p w14:paraId="7DF7B365" w14:textId="77777777" w:rsidR="00726817" w:rsidRPr="00782E31" w:rsidRDefault="00726817" w:rsidP="00A214B7">
            <w:pPr>
              <w:pStyle w:val="TableFigures"/>
              <w:spacing w:before="0" w:after="0" w:line="240" w:lineRule="auto"/>
              <w:ind w:right="129"/>
              <w:rPr>
                <w:rFonts w:cs="Arial"/>
                <w:b/>
                <w:szCs w:val="18"/>
              </w:rPr>
            </w:pPr>
          </w:p>
        </w:tc>
        <w:tc>
          <w:tcPr>
            <w:tcW w:w="410" w:type="pct"/>
          </w:tcPr>
          <w:p w14:paraId="22AA2566" w14:textId="77777777" w:rsidR="00726817" w:rsidRPr="00782E31" w:rsidRDefault="00726817" w:rsidP="00A214B7">
            <w:pPr>
              <w:pStyle w:val="TableFigures"/>
              <w:spacing w:before="0" w:after="0" w:line="240" w:lineRule="auto"/>
              <w:ind w:right="119"/>
              <w:rPr>
                <w:rFonts w:cs="Arial"/>
                <w:b/>
                <w:szCs w:val="18"/>
              </w:rPr>
            </w:pPr>
          </w:p>
        </w:tc>
      </w:tr>
      <w:tr w:rsidR="00726817" w:rsidRPr="00782E31" w14:paraId="4A535C8D" w14:textId="77777777" w:rsidTr="00A214B7">
        <w:tc>
          <w:tcPr>
            <w:tcW w:w="678" w:type="pct"/>
          </w:tcPr>
          <w:p w14:paraId="10BA911C" w14:textId="77777777" w:rsidR="00726817" w:rsidRPr="00782E31" w:rsidRDefault="00726817" w:rsidP="00A214B7">
            <w:pPr>
              <w:pStyle w:val="Tabletext"/>
            </w:pPr>
            <w:r w:rsidRPr="00782E31">
              <w:t>Germany</w:t>
            </w:r>
          </w:p>
        </w:tc>
        <w:tc>
          <w:tcPr>
            <w:tcW w:w="540" w:type="pct"/>
            <w:shd w:val="clear" w:color="auto" w:fill="D9D9D9" w:themeFill="background1" w:themeFillShade="D9"/>
          </w:tcPr>
          <w:p w14:paraId="605D92F2" w14:textId="77777777" w:rsidR="00726817" w:rsidRPr="00782E31" w:rsidRDefault="00726817" w:rsidP="00A214B7">
            <w:pPr>
              <w:pStyle w:val="TableFigures"/>
            </w:pPr>
            <w:r w:rsidRPr="00782E31">
              <w:t xml:space="preserve"> 1,615,149 </w:t>
            </w:r>
          </w:p>
        </w:tc>
        <w:tc>
          <w:tcPr>
            <w:tcW w:w="485" w:type="pct"/>
          </w:tcPr>
          <w:p w14:paraId="00DB3B77" w14:textId="77777777" w:rsidR="00726817" w:rsidRPr="00782E31" w:rsidRDefault="00726817" w:rsidP="00A214B7">
            <w:pPr>
              <w:pStyle w:val="TableFigures"/>
            </w:pPr>
            <w:r w:rsidRPr="00782E31">
              <w:t>1,532</w:t>
            </w:r>
          </w:p>
        </w:tc>
        <w:tc>
          <w:tcPr>
            <w:tcW w:w="412" w:type="pct"/>
          </w:tcPr>
          <w:p w14:paraId="7584E6C5" w14:textId="77777777" w:rsidR="00726817" w:rsidRPr="00782E31" w:rsidRDefault="00726817" w:rsidP="00A214B7">
            <w:pPr>
              <w:pStyle w:val="TableFigures"/>
            </w:pPr>
            <w:r w:rsidRPr="00782E31">
              <w:t>197</w:t>
            </w:r>
          </w:p>
        </w:tc>
        <w:tc>
          <w:tcPr>
            <w:tcW w:w="548" w:type="pct"/>
          </w:tcPr>
          <w:p w14:paraId="069609A9" w14:textId="77777777" w:rsidR="00726817" w:rsidRPr="00782E31" w:rsidRDefault="00726817" w:rsidP="00A214B7">
            <w:pPr>
              <w:pStyle w:val="TableFigures"/>
            </w:pPr>
            <w:r w:rsidRPr="00782E31">
              <w:t>1,729</w:t>
            </w:r>
          </w:p>
        </w:tc>
        <w:tc>
          <w:tcPr>
            <w:tcW w:w="28" w:type="pct"/>
          </w:tcPr>
          <w:p w14:paraId="44FD3B3C" w14:textId="77777777" w:rsidR="00726817" w:rsidRPr="00782E31" w:rsidRDefault="00726817" w:rsidP="00A214B7">
            <w:pPr>
              <w:pStyle w:val="TableFigures"/>
            </w:pPr>
          </w:p>
        </w:tc>
        <w:tc>
          <w:tcPr>
            <w:tcW w:w="11" w:type="pct"/>
          </w:tcPr>
          <w:p w14:paraId="41D65865" w14:textId="77777777" w:rsidR="00726817" w:rsidRPr="00782E31" w:rsidRDefault="00726817" w:rsidP="00A214B7">
            <w:pPr>
              <w:pStyle w:val="TableFigures"/>
            </w:pPr>
          </w:p>
        </w:tc>
        <w:tc>
          <w:tcPr>
            <w:tcW w:w="511" w:type="pct"/>
            <w:shd w:val="clear" w:color="auto" w:fill="D9D9D9" w:themeFill="background1" w:themeFillShade="D9"/>
          </w:tcPr>
          <w:p w14:paraId="5709EE3C" w14:textId="0721D599" w:rsidR="00726817" w:rsidRPr="00782E31" w:rsidRDefault="00726817" w:rsidP="00A214B7">
            <w:pPr>
              <w:pStyle w:val="TableFigures"/>
            </w:pPr>
            <w:r w:rsidRPr="00782E31">
              <w:t>2,</w:t>
            </w:r>
            <w:r w:rsidR="00F8795D">
              <w:t>548</w:t>
            </w:r>
          </w:p>
        </w:tc>
        <w:tc>
          <w:tcPr>
            <w:tcW w:w="541" w:type="pct"/>
            <w:gridSpan w:val="2"/>
          </w:tcPr>
          <w:p w14:paraId="330561F1" w14:textId="77777777" w:rsidR="00726817" w:rsidRPr="00782E31" w:rsidRDefault="00726817" w:rsidP="00A214B7">
            <w:pPr>
              <w:pStyle w:val="TableFigures"/>
            </w:pPr>
            <w:r w:rsidRPr="00782E31">
              <w:t>15.8</w:t>
            </w:r>
          </w:p>
        </w:tc>
        <w:tc>
          <w:tcPr>
            <w:tcW w:w="10" w:type="pct"/>
          </w:tcPr>
          <w:p w14:paraId="708B34D6" w14:textId="77777777" w:rsidR="00726817" w:rsidRPr="00782E31" w:rsidRDefault="00726817" w:rsidP="00A214B7">
            <w:pPr>
              <w:pStyle w:val="TableFigures"/>
            </w:pPr>
          </w:p>
        </w:tc>
        <w:tc>
          <w:tcPr>
            <w:tcW w:w="345" w:type="pct"/>
            <w:gridSpan w:val="3"/>
          </w:tcPr>
          <w:p w14:paraId="2776F13A" w14:textId="77777777" w:rsidR="00726817" w:rsidRPr="00782E31" w:rsidRDefault="00726817" w:rsidP="00A214B7">
            <w:pPr>
              <w:pStyle w:val="TableFigures"/>
            </w:pPr>
            <w:r w:rsidRPr="00782E31">
              <w:t>3.4</w:t>
            </w:r>
          </w:p>
        </w:tc>
        <w:tc>
          <w:tcPr>
            <w:tcW w:w="480" w:type="pct"/>
            <w:gridSpan w:val="2"/>
          </w:tcPr>
          <w:p w14:paraId="1910FEBC" w14:textId="77777777" w:rsidR="00726817" w:rsidRPr="00782E31" w:rsidRDefault="00726817" w:rsidP="00A214B7">
            <w:pPr>
              <w:pStyle w:val="TableFigures"/>
            </w:pPr>
            <w:r w:rsidRPr="00782E31">
              <w:t>3.6</w:t>
            </w:r>
          </w:p>
        </w:tc>
        <w:tc>
          <w:tcPr>
            <w:tcW w:w="410" w:type="pct"/>
          </w:tcPr>
          <w:p w14:paraId="3C0942C5" w14:textId="77777777" w:rsidR="00726817" w:rsidRPr="00782E31" w:rsidRDefault="00726817" w:rsidP="00A214B7">
            <w:pPr>
              <w:pStyle w:val="TableFigures"/>
            </w:pPr>
            <w:r w:rsidRPr="00782E31">
              <w:t>5.0</w:t>
            </w:r>
          </w:p>
        </w:tc>
      </w:tr>
      <w:tr w:rsidR="00726817" w:rsidRPr="00782E31" w14:paraId="7C59E1EE" w14:textId="77777777" w:rsidTr="00A214B7">
        <w:tc>
          <w:tcPr>
            <w:tcW w:w="678" w:type="pct"/>
          </w:tcPr>
          <w:p w14:paraId="7B127705" w14:textId="77777777" w:rsidR="00726817" w:rsidRPr="00782E31" w:rsidRDefault="00726817" w:rsidP="00A214B7">
            <w:pPr>
              <w:pStyle w:val="Tabletext"/>
            </w:pPr>
            <w:r w:rsidRPr="00782E31">
              <w:t>Netherlands</w:t>
            </w:r>
          </w:p>
        </w:tc>
        <w:tc>
          <w:tcPr>
            <w:tcW w:w="540" w:type="pct"/>
            <w:shd w:val="clear" w:color="auto" w:fill="D9D9D9" w:themeFill="background1" w:themeFillShade="D9"/>
          </w:tcPr>
          <w:p w14:paraId="0E6CE6F1" w14:textId="77777777" w:rsidR="00726817" w:rsidRPr="00782E31" w:rsidRDefault="00726817" w:rsidP="00A214B7">
            <w:pPr>
              <w:pStyle w:val="TableFigures"/>
            </w:pPr>
            <w:r w:rsidRPr="00782E31">
              <w:t xml:space="preserve"> 233,185 </w:t>
            </w:r>
          </w:p>
        </w:tc>
        <w:tc>
          <w:tcPr>
            <w:tcW w:w="485" w:type="pct"/>
          </w:tcPr>
          <w:p w14:paraId="02E4633A" w14:textId="77777777" w:rsidR="00726817" w:rsidRPr="00782E31" w:rsidRDefault="00726817" w:rsidP="00A214B7">
            <w:pPr>
              <w:pStyle w:val="TableFigures"/>
            </w:pPr>
            <w:r w:rsidRPr="00782E31">
              <w:t>167</w:t>
            </w:r>
          </w:p>
        </w:tc>
        <w:tc>
          <w:tcPr>
            <w:tcW w:w="412" w:type="pct"/>
          </w:tcPr>
          <w:p w14:paraId="0EBF59FA" w14:textId="77777777" w:rsidR="00726817" w:rsidRPr="00782E31" w:rsidRDefault="00726817" w:rsidP="00A214B7">
            <w:pPr>
              <w:pStyle w:val="TableFigures"/>
            </w:pPr>
            <w:r w:rsidRPr="00782E31">
              <w:t>27</w:t>
            </w:r>
          </w:p>
        </w:tc>
        <w:tc>
          <w:tcPr>
            <w:tcW w:w="548" w:type="pct"/>
          </w:tcPr>
          <w:p w14:paraId="5DEB7E3F" w14:textId="77777777" w:rsidR="00726817" w:rsidRPr="00782E31" w:rsidRDefault="00726817" w:rsidP="00A214B7">
            <w:pPr>
              <w:pStyle w:val="TableFigures"/>
            </w:pPr>
            <w:r w:rsidRPr="00782E31">
              <w:t>194</w:t>
            </w:r>
          </w:p>
        </w:tc>
        <w:tc>
          <w:tcPr>
            <w:tcW w:w="28" w:type="pct"/>
          </w:tcPr>
          <w:p w14:paraId="2E573119" w14:textId="77777777" w:rsidR="00726817" w:rsidRPr="00782E31" w:rsidRDefault="00726817" w:rsidP="00A214B7">
            <w:pPr>
              <w:pStyle w:val="TableFigures"/>
            </w:pPr>
          </w:p>
        </w:tc>
        <w:tc>
          <w:tcPr>
            <w:tcW w:w="11" w:type="pct"/>
          </w:tcPr>
          <w:p w14:paraId="6203495F" w14:textId="77777777" w:rsidR="00726817" w:rsidRPr="00782E31" w:rsidRDefault="00726817" w:rsidP="00A214B7">
            <w:pPr>
              <w:pStyle w:val="TableFigures"/>
            </w:pPr>
          </w:p>
        </w:tc>
        <w:tc>
          <w:tcPr>
            <w:tcW w:w="511" w:type="pct"/>
            <w:shd w:val="clear" w:color="auto" w:fill="D9D9D9" w:themeFill="background1" w:themeFillShade="D9"/>
          </w:tcPr>
          <w:p w14:paraId="3322B1AE" w14:textId="77777777" w:rsidR="00726817" w:rsidRPr="00782E31" w:rsidRDefault="00726817" w:rsidP="00A214B7">
            <w:pPr>
              <w:pStyle w:val="TableFigures"/>
            </w:pPr>
            <w:r w:rsidRPr="00782E31">
              <w:t>368</w:t>
            </w:r>
          </w:p>
        </w:tc>
        <w:tc>
          <w:tcPr>
            <w:tcW w:w="541" w:type="pct"/>
            <w:gridSpan w:val="2"/>
          </w:tcPr>
          <w:p w14:paraId="550736D4" w14:textId="77777777" w:rsidR="00726817" w:rsidRPr="00782E31" w:rsidRDefault="00726817" w:rsidP="00A214B7">
            <w:pPr>
              <w:pStyle w:val="TableFigures"/>
            </w:pPr>
            <w:r w:rsidRPr="00782E31">
              <w:t>21.4</w:t>
            </w:r>
          </w:p>
        </w:tc>
        <w:tc>
          <w:tcPr>
            <w:tcW w:w="10" w:type="pct"/>
          </w:tcPr>
          <w:p w14:paraId="10CF3BF5" w14:textId="77777777" w:rsidR="00726817" w:rsidRPr="00782E31" w:rsidRDefault="00726817" w:rsidP="00A214B7">
            <w:pPr>
              <w:pStyle w:val="TableFigures"/>
            </w:pPr>
          </w:p>
        </w:tc>
        <w:tc>
          <w:tcPr>
            <w:tcW w:w="345" w:type="pct"/>
            <w:gridSpan w:val="3"/>
          </w:tcPr>
          <w:p w14:paraId="793BF0C7" w14:textId="77777777" w:rsidR="00726817" w:rsidRPr="00782E31" w:rsidRDefault="00726817" w:rsidP="00A214B7">
            <w:pPr>
              <w:pStyle w:val="TableFigures"/>
            </w:pPr>
            <w:r w:rsidRPr="00782E31">
              <w:t>3.9</w:t>
            </w:r>
          </w:p>
        </w:tc>
        <w:tc>
          <w:tcPr>
            <w:tcW w:w="480" w:type="pct"/>
            <w:gridSpan w:val="2"/>
          </w:tcPr>
          <w:p w14:paraId="0B910D23" w14:textId="77777777" w:rsidR="00726817" w:rsidRPr="00782E31" w:rsidRDefault="00726817" w:rsidP="00A214B7">
            <w:pPr>
              <w:pStyle w:val="TableFigures"/>
            </w:pPr>
            <w:r w:rsidRPr="00782E31">
              <w:t>3.9</w:t>
            </w:r>
          </w:p>
        </w:tc>
        <w:tc>
          <w:tcPr>
            <w:tcW w:w="410" w:type="pct"/>
          </w:tcPr>
          <w:p w14:paraId="56B1C185" w14:textId="77777777" w:rsidR="00726817" w:rsidRPr="00782E31" w:rsidRDefault="00726817" w:rsidP="00A214B7">
            <w:pPr>
              <w:pStyle w:val="TableFigures"/>
            </w:pPr>
            <w:r w:rsidRPr="00782E31">
              <w:t>-</w:t>
            </w:r>
          </w:p>
        </w:tc>
      </w:tr>
      <w:tr w:rsidR="00726817" w:rsidRPr="00782E31" w14:paraId="05761713" w14:textId="77777777" w:rsidTr="00A214B7">
        <w:tc>
          <w:tcPr>
            <w:tcW w:w="678" w:type="pct"/>
          </w:tcPr>
          <w:p w14:paraId="1F3D66C4" w14:textId="77777777" w:rsidR="00726817" w:rsidRPr="00782E31" w:rsidRDefault="00726817" w:rsidP="00A214B7">
            <w:pPr>
              <w:pStyle w:val="Tabletext"/>
            </w:pPr>
            <w:r w:rsidRPr="00782E31">
              <w:t xml:space="preserve">France </w:t>
            </w:r>
          </w:p>
        </w:tc>
        <w:tc>
          <w:tcPr>
            <w:tcW w:w="540" w:type="pct"/>
            <w:shd w:val="clear" w:color="auto" w:fill="D9D9D9" w:themeFill="background1" w:themeFillShade="D9"/>
          </w:tcPr>
          <w:p w14:paraId="119C380F" w14:textId="77777777" w:rsidR="00726817" w:rsidRPr="00782E31" w:rsidRDefault="00726817" w:rsidP="00A214B7">
            <w:pPr>
              <w:pStyle w:val="TableFigures"/>
            </w:pPr>
            <w:r w:rsidRPr="00782E31">
              <w:t xml:space="preserve"> 1,513,337 </w:t>
            </w:r>
          </w:p>
        </w:tc>
        <w:tc>
          <w:tcPr>
            <w:tcW w:w="485" w:type="pct"/>
          </w:tcPr>
          <w:p w14:paraId="311F5C89" w14:textId="77777777" w:rsidR="00726817" w:rsidRPr="00782E31" w:rsidRDefault="00726817" w:rsidP="00A214B7">
            <w:pPr>
              <w:pStyle w:val="TableFigures"/>
            </w:pPr>
            <w:r w:rsidRPr="00782E31">
              <w:t>1,751</w:t>
            </w:r>
          </w:p>
        </w:tc>
        <w:tc>
          <w:tcPr>
            <w:tcW w:w="412" w:type="pct"/>
          </w:tcPr>
          <w:p w14:paraId="1B2DB961" w14:textId="77777777" w:rsidR="00726817" w:rsidRPr="00782E31" w:rsidRDefault="00726817" w:rsidP="00A214B7">
            <w:pPr>
              <w:pStyle w:val="TableFigures"/>
            </w:pPr>
            <w:r w:rsidRPr="00782E31">
              <w:t>112</w:t>
            </w:r>
          </w:p>
        </w:tc>
        <w:tc>
          <w:tcPr>
            <w:tcW w:w="548" w:type="pct"/>
          </w:tcPr>
          <w:p w14:paraId="442D8E43" w14:textId="77777777" w:rsidR="00726817" w:rsidRPr="00782E31" w:rsidRDefault="00726817" w:rsidP="00A214B7">
            <w:pPr>
              <w:pStyle w:val="TableFigures"/>
            </w:pPr>
            <w:r w:rsidRPr="00782E31">
              <w:t>1,863</w:t>
            </w:r>
          </w:p>
        </w:tc>
        <w:tc>
          <w:tcPr>
            <w:tcW w:w="28" w:type="pct"/>
          </w:tcPr>
          <w:p w14:paraId="22B779E2" w14:textId="77777777" w:rsidR="00726817" w:rsidRPr="00782E31" w:rsidRDefault="00726817" w:rsidP="00A214B7">
            <w:pPr>
              <w:pStyle w:val="TableFigures"/>
            </w:pPr>
          </w:p>
        </w:tc>
        <w:tc>
          <w:tcPr>
            <w:tcW w:w="11" w:type="pct"/>
          </w:tcPr>
          <w:p w14:paraId="73CB88E6" w14:textId="77777777" w:rsidR="00726817" w:rsidRPr="00782E31" w:rsidRDefault="00726817" w:rsidP="00A214B7">
            <w:pPr>
              <w:pStyle w:val="TableFigures"/>
            </w:pPr>
          </w:p>
        </w:tc>
        <w:tc>
          <w:tcPr>
            <w:tcW w:w="511" w:type="pct"/>
            <w:shd w:val="clear" w:color="auto" w:fill="D9D9D9" w:themeFill="background1" w:themeFillShade="D9"/>
          </w:tcPr>
          <w:p w14:paraId="624FC96D" w14:textId="77777777" w:rsidR="00726817" w:rsidRPr="00782E31" w:rsidRDefault="00726817" w:rsidP="00A214B7">
            <w:pPr>
              <w:pStyle w:val="TableFigures"/>
            </w:pPr>
            <w:r w:rsidRPr="00782E31">
              <w:t>2,394</w:t>
            </w:r>
          </w:p>
        </w:tc>
        <w:tc>
          <w:tcPr>
            <w:tcW w:w="541" w:type="pct"/>
            <w:gridSpan w:val="2"/>
          </w:tcPr>
          <w:p w14:paraId="29EF4DC4" w14:textId="77777777" w:rsidR="00726817" w:rsidRPr="00782E31" w:rsidRDefault="00726817" w:rsidP="00A214B7">
            <w:pPr>
              <w:pStyle w:val="TableFigures"/>
            </w:pPr>
            <w:r w:rsidRPr="00782E31">
              <w:t>18.9</w:t>
            </w:r>
          </w:p>
        </w:tc>
        <w:tc>
          <w:tcPr>
            <w:tcW w:w="10" w:type="pct"/>
          </w:tcPr>
          <w:p w14:paraId="5C8712A5" w14:textId="77777777" w:rsidR="00726817" w:rsidRPr="00782E31" w:rsidRDefault="00726817" w:rsidP="00A214B7">
            <w:pPr>
              <w:pStyle w:val="TableFigures"/>
            </w:pPr>
          </w:p>
        </w:tc>
        <w:tc>
          <w:tcPr>
            <w:tcW w:w="345" w:type="pct"/>
            <w:gridSpan w:val="3"/>
          </w:tcPr>
          <w:p w14:paraId="44E337DB" w14:textId="77777777" w:rsidR="00726817" w:rsidRPr="00782E31" w:rsidRDefault="00726817" w:rsidP="00A214B7">
            <w:pPr>
              <w:pStyle w:val="TableFigures"/>
            </w:pPr>
            <w:r w:rsidRPr="00782E31">
              <w:t>3.7</w:t>
            </w:r>
          </w:p>
        </w:tc>
        <w:tc>
          <w:tcPr>
            <w:tcW w:w="480" w:type="pct"/>
            <w:gridSpan w:val="2"/>
          </w:tcPr>
          <w:p w14:paraId="5BE2A652" w14:textId="77777777" w:rsidR="00726817" w:rsidRPr="00782E31" w:rsidRDefault="00726817" w:rsidP="00A214B7">
            <w:pPr>
              <w:pStyle w:val="TableFigures"/>
            </w:pPr>
            <w:r w:rsidRPr="00782E31">
              <w:t>4.1</w:t>
            </w:r>
          </w:p>
        </w:tc>
        <w:tc>
          <w:tcPr>
            <w:tcW w:w="410" w:type="pct"/>
          </w:tcPr>
          <w:p w14:paraId="211388DC" w14:textId="77777777" w:rsidR="00726817" w:rsidRPr="00782E31" w:rsidRDefault="00726817" w:rsidP="00A214B7">
            <w:pPr>
              <w:pStyle w:val="TableFigures"/>
            </w:pPr>
            <w:r w:rsidRPr="00782E31">
              <w:t>6.5</w:t>
            </w:r>
          </w:p>
        </w:tc>
      </w:tr>
      <w:tr w:rsidR="00726817" w:rsidRPr="00782E31" w14:paraId="25A85CF5" w14:textId="77777777" w:rsidTr="00A214B7">
        <w:tc>
          <w:tcPr>
            <w:tcW w:w="678" w:type="pct"/>
          </w:tcPr>
          <w:p w14:paraId="1E5FDB64" w14:textId="77777777" w:rsidR="00726817" w:rsidRPr="00782E31" w:rsidRDefault="00726817" w:rsidP="00A214B7">
            <w:pPr>
              <w:pStyle w:val="Tabletext"/>
            </w:pPr>
            <w:r w:rsidRPr="00782E31">
              <w:t>Italy</w:t>
            </w:r>
          </w:p>
        </w:tc>
        <w:tc>
          <w:tcPr>
            <w:tcW w:w="540" w:type="pct"/>
            <w:shd w:val="clear" w:color="auto" w:fill="D9D9D9" w:themeFill="background1" w:themeFillShade="D9"/>
          </w:tcPr>
          <w:p w14:paraId="5E705A9A" w14:textId="77777777" w:rsidR="00726817" w:rsidRPr="00782E31" w:rsidRDefault="00726817" w:rsidP="00A214B7">
            <w:pPr>
              <w:pStyle w:val="TableFigures"/>
            </w:pPr>
            <w:r w:rsidRPr="00782E31">
              <w:t xml:space="preserve"> 1,600,875 </w:t>
            </w:r>
          </w:p>
        </w:tc>
        <w:tc>
          <w:tcPr>
            <w:tcW w:w="485" w:type="pct"/>
          </w:tcPr>
          <w:p w14:paraId="1750A688" w14:textId="77777777" w:rsidR="00726817" w:rsidRPr="00782E31" w:rsidRDefault="00726817" w:rsidP="00A214B7">
            <w:pPr>
              <w:pStyle w:val="TableFigures"/>
            </w:pPr>
            <w:r w:rsidRPr="00782E31">
              <w:t>1,117</w:t>
            </w:r>
          </w:p>
        </w:tc>
        <w:tc>
          <w:tcPr>
            <w:tcW w:w="412" w:type="pct"/>
          </w:tcPr>
          <w:p w14:paraId="0C11680E" w14:textId="77777777" w:rsidR="00726817" w:rsidRPr="00782E31" w:rsidRDefault="00726817" w:rsidP="00A214B7">
            <w:pPr>
              <w:pStyle w:val="TableFigures"/>
            </w:pPr>
            <w:r w:rsidRPr="00782E31">
              <w:t>138</w:t>
            </w:r>
          </w:p>
        </w:tc>
        <w:tc>
          <w:tcPr>
            <w:tcW w:w="548" w:type="pct"/>
          </w:tcPr>
          <w:p w14:paraId="12D1A0DA" w14:textId="77777777" w:rsidR="00726817" w:rsidRPr="00782E31" w:rsidRDefault="00726817" w:rsidP="00A214B7">
            <w:pPr>
              <w:pStyle w:val="TableFigures"/>
            </w:pPr>
            <w:r w:rsidRPr="00782E31">
              <w:t>1,255</w:t>
            </w:r>
          </w:p>
        </w:tc>
        <w:tc>
          <w:tcPr>
            <w:tcW w:w="28" w:type="pct"/>
          </w:tcPr>
          <w:p w14:paraId="0F1494C7" w14:textId="77777777" w:rsidR="00726817" w:rsidRPr="00782E31" w:rsidRDefault="00726817" w:rsidP="00A214B7">
            <w:pPr>
              <w:pStyle w:val="TableFigures"/>
            </w:pPr>
          </w:p>
        </w:tc>
        <w:tc>
          <w:tcPr>
            <w:tcW w:w="11" w:type="pct"/>
          </w:tcPr>
          <w:p w14:paraId="239C5802" w14:textId="77777777" w:rsidR="00726817" w:rsidRPr="00782E31" w:rsidRDefault="00726817" w:rsidP="00A214B7">
            <w:pPr>
              <w:pStyle w:val="TableFigures"/>
            </w:pPr>
          </w:p>
        </w:tc>
        <w:tc>
          <w:tcPr>
            <w:tcW w:w="511" w:type="pct"/>
            <w:shd w:val="clear" w:color="auto" w:fill="D9D9D9" w:themeFill="background1" w:themeFillShade="D9"/>
          </w:tcPr>
          <w:p w14:paraId="3FE903AB" w14:textId="77777777" w:rsidR="00726817" w:rsidRPr="00782E31" w:rsidRDefault="00726817" w:rsidP="00A214B7">
            <w:pPr>
              <w:pStyle w:val="TableFigures"/>
            </w:pPr>
            <w:r w:rsidRPr="00782E31">
              <w:t>1,813</w:t>
            </w:r>
          </w:p>
        </w:tc>
        <w:tc>
          <w:tcPr>
            <w:tcW w:w="541" w:type="pct"/>
            <w:gridSpan w:val="2"/>
          </w:tcPr>
          <w:p w14:paraId="693E80C6" w14:textId="77777777" w:rsidR="00726817" w:rsidRPr="00782E31" w:rsidRDefault="00726817" w:rsidP="00A214B7">
            <w:pPr>
              <w:pStyle w:val="TableFigures"/>
            </w:pPr>
            <w:r w:rsidRPr="00782E31">
              <w:t>28.9</w:t>
            </w:r>
          </w:p>
        </w:tc>
        <w:tc>
          <w:tcPr>
            <w:tcW w:w="10" w:type="pct"/>
          </w:tcPr>
          <w:p w14:paraId="1DDF1AFA" w14:textId="77777777" w:rsidR="00726817" w:rsidRPr="00782E31" w:rsidRDefault="00726817" w:rsidP="00A214B7">
            <w:pPr>
              <w:pStyle w:val="TableFigures"/>
            </w:pPr>
          </w:p>
        </w:tc>
        <w:tc>
          <w:tcPr>
            <w:tcW w:w="345" w:type="pct"/>
            <w:gridSpan w:val="3"/>
          </w:tcPr>
          <w:p w14:paraId="131AA3A4" w14:textId="77777777" w:rsidR="00726817" w:rsidRPr="00782E31" w:rsidRDefault="00726817" w:rsidP="00A214B7">
            <w:pPr>
              <w:pStyle w:val="TableFigures"/>
            </w:pPr>
            <w:r w:rsidRPr="00782E31">
              <w:t>3.8</w:t>
            </w:r>
          </w:p>
        </w:tc>
        <w:tc>
          <w:tcPr>
            <w:tcW w:w="480" w:type="pct"/>
            <w:gridSpan w:val="2"/>
          </w:tcPr>
          <w:p w14:paraId="0004949D" w14:textId="77777777" w:rsidR="00726817" w:rsidRPr="00782E31" w:rsidRDefault="00726817" w:rsidP="00A214B7">
            <w:pPr>
              <w:pStyle w:val="TableFigures"/>
            </w:pPr>
            <w:r w:rsidRPr="00782E31">
              <w:t>3.8</w:t>
            </w:r>
          </w:p>
        </w:tc>
        <w:tc>
          <w:tcPr>
            <w:tcW w:w="410" w:type="pct"/>
          </w:tcPr>
          <w:p w14:paraId="4AC5E9D5" w14:textId="77777777" w:rsidR="00726817" w:rsidRPr="00782E31" w:rsidRDefault="00726817" w:rsidP="00A214B7">
            <w:pPr>
              <w:pStyle w:val="TableFigures"/>
            </w:pPr>
            <w:r w:rsidRPr="00782E31">
              <w:t>-</w:t>
            </w:r>
          </w:p>
        </w:tc>
      </w:tr>
      <w:tr w:rsidR="00726817" w:rsidRPr="00782E31" w14:paraId="7A70896D" w14:textId="77777777" w:rsidTr="00A214B7">
        <w:tc>
          <w:tcPr>
            <w:tcW w:w="678" w:type="pct"/>
          </w:tcPr>
          <w:p w14:paraId="4702FCC5" w14:textId="77777777" w:rsidR="00726817" w:rsidRPr="00782E31" w:rsidRDefault="00726817" w:rsidP="00A214B7">
            <w:pPr>
              <w:pStyle w:val="Tabletext"/>
            </w:pPr>
            <w:r w:rsidRPr="00782E31">
              <w:t>Spain</w:t>
            </w:r>
          </w:p>
        </w:tc>
        <w:tc>
          <w:tcPr>
            <w:tcW w:w="540" w:type="pct"/>
            <w:shd w:val="clear" w:color="auto" w:fill="D9D9D9" w:themeFill="background1" w:themeFillShade="D9"/>
          </w:tcPr>
          <w:p w14:paraId="58A7DC45" w14:textId="77777777" w:rsidR="00726817" w:rsidRPr="00782E31" w:rsidDel="000C6E2E" w:rsidRDefault="00726817" w:rsidP="00A214B7">
            <w:pPr>
              <w:pStyle w:val="TableFigures"/>
            </w:pPr>
            <w:r w:rsidRPr="00782E31">
              <w:t xml:space="preserve"> 355,754 </w:t>
            </w:r>
          </w:p>
        </w:tc>
        <w:tc>
          <w:tcPr>
            <w:tcW w:w="485" w:type="pct"/>
          </w:tcPr>
          <w:p w14:paraId="3ABA2094" w14:textId="77777777" w:rsidR="00726817" w:rsidRPr="00782E31" w:rsidDel="000C6E2E" w:rsidRDefault="00726817" w:rsidP="00A214B7">
            <w:pPr>
              <w:pStyle w:val="TableFigures"/>
            </w:pPr>
            <w:r w:rsidRPr="00782E31">
              <w:t>321</w:t>
            </w:r>
          </w:p>
        </w:tc>
        <w:tc>
          <w:tcPr>
            <w:tcW w:w="412" w:type="pct"/>
          </w:tcPr>
          <w:p w14:paraId="11809B9F" w14:textId="77777777" w:rsidR="00726817" w:rsidRPr="00782E31" w:rsidDel="000C6E2E" w:rsidRDefault="00726817" w:rsidP="00A214B7">
            <w:pPr>
              <w:pStyle w:val="TableFigures"/>
            </w:pPr>
            <w:r w:rsidRPr="00782E31">
              <w:t>64</w:t>
            </w:r>
          </w:p>
        </w:tc>
        <w:tc>
          <w:tcPr>
            <w:tcW w:w="548" w:type="pct"/>
          </w:tcPr>
          <w:p w14:paraId="0DDECBAD" w14:textId="77777777" w:rsidR="00726817" w:rsidRPr="00782E31" w:rsidDel="000C6E2E" w:rsidRDefault="00726817" w:rsidP="00A214B7">
            <w:pPr>
              <w:pStyle w:val="TableFigures"/>
            </w:pPr>
            <w:r w:rsidRPr="00782E31">
              <w:t>385</w:t>
            </w:r>
          </w:p>
        </w:tc>
        <w:tc>
          <w:tcPr>
            <w:tcW w:w="28" w:type="pct"/>
          </w:tcPr>
          <w:p w14:paraId="37386611" w14:textId="77777777" w:rsidR="00726817" w:rsidRPr="00782E31" w:rsidRDefault="00726817" w:rsidP="00A214B7">
            <w:pPr>
              <w:pStyle w:val="TableFigures"/>
            </w:pPr>
          </w:p>
        </w:tc>
        <w:tc>
          <w:tcPr>
            <w:tcW w:w="11" w:type="pct"/>
          </w:tcPr>
          <w:p w14:paraId="09B07930" w14:textId="77777777" w:rsidR="00726817" w:rsidRPr="00782E31" w:rsidRDefault="00726817" w:rsidP="00A214B7">
            <w:pPr>
              <w:pStyle w:val="TableFigures"/>
            </w:pPr>
          </w:p>
        </w:tc>
        <w:tc>
          <w:tcPr>
            <w:tcW w:w="511" w:type="pct"/>
            <w:shd w:val="clear" w:color="auto" w:fill="D9D9D9" w:themeFill="background1" w:themeFillShade="D9"/>
          </w:tcPr>
          <w:p w14:paraId="5225E633" w14:textId="77777777" w:rsidR="00726817" w:rsidRPr="00782E31" w:rsidDel="000C6E2E" w:rsidRDefault="00726817" w:rsidP="00A214B7">
            <w:pPr>
              <w:pStyle w:val="TableFigures"/>
            </w:pPr>
            <w:r w:rsidRPr="00782E31">
              <w:t>583</w:t>
            </w:r>
          </w:p>
        </w:tc>
        <w:tc>
          <w:tcPr>
            <w:tcW w:w="541" w:type="pct"/>
            <w:gridSpan w:val="2"/>
          </w:tcPr>
          <w:p w14:paraId="12FD2279" w14:textId="77777777" w:rsidR="00726817" w:rsidRPr="00782E31" w:rsidDel="000C6E2E" w:rsidRDefault="00726817" w:rsidP="00A214B7">
            <w:pPr>
              <w:pStyle w:val="TableFigures"/>
            </w:pPr>
            <w:r w:rsidRPr="00782E31">
              <w:t>23.9</w:t>
            </w:r>
          </w:p>
        </w:tc>
        <w:tc>
          <w:tcPr>
            <w:tcW w:w="10" w:type="pct"/>
          </w:tcPr>
          <w:p w14:paraId="14203DAC" w14:textId="77777777" w:rsidR="00726817" w:rsidRPr="00782E31" w:rsidRDefault="00726817" w:rsidP="00A214B7">
            <w:pPr>
              <w:pStyle w:val="TableFigures"/>
            </w:pPr>
          </w:p>
        </w:tc>
        <w:tc>
          <w:tcPr>
            <w:tcW w:w="345" w:type="pct"/>
            <w:gridSpan w:val="3"/>
          </w:tcPr>
          <w:p w14:paraId="33EAAE6D" w14:textId="77777777" w:rsidR="00726817" w:rsidRPr="00782E31" w:rsidRDefault="00726817" w:rsidP="00A214B7">
            <w:pPr>
              <w:pStyle w:val="TableFigures"/>
            </w:pPr>
            <w:r w:rsidRPr="00782E31">
              <w:t>4.0</w:t>
            </w:r>
          </w:p>
        </w:tc>
        <w:tc>
          <w:tcPr>
            <w:tcW w:w="480" w:type="pct"/>
            <w:gridSpan w:val="2"/>
          </w:tcPr>
          <w:p w14:paraId="4D325540" w14:textId="77777777" w:rsidR="00726817" w:rsidRPr="00782E31" w:rsidRDefault="00726817" w:rsidP="00A214B7">
            <w:pPr>
              <w:pStyle w:val="TableFigures"/>
            </w:pPr>
            <w:r w:rsidRPr="00782E31">
              <w:t>3.9</w:t>
            </w:r>
          </w:p>
        </w:tc>
        <w:tc>
          <w:tcPr>
            <w:tcW w:w="410" w:type="pct"/>
          </w:tcPr>
          <w:p w14:paraId="1EFD674C" w14:textId="77777777" w:rsidR="00726817" w:rsidRPr="00782E31" w:rsidRDefault="00726817" w:rsidP="00A214B7">
            <w:pPr>
              <w:pStyle w:val="TableFigures"/>
            </w:pPr>
            <w:r w:rsidRPr="00782E31">
              <w:t>-</w:t>
            </w:r>
          </w:p>
        </w:tc>
      </w:tr>
      <w:tr w:rsidR="00726817" w:rsidRPr="00782E31" w14:paraId="0A9A5145" w14:textId="77777777" w:rsidTr="00A214B7">
        <w:tc>
          <w:tcPr>
            <w:tcW w:w="678" w:type="pct"/>
          </w:tcPr>
          <w:p w14:paraId="4A550AFD" w14:textId="77777777" w:rsidR="00726817" w:rsidRPr="00782E31" w:rsidRDefault="00726817" w:rsidP="00A214B7">
            <w:pPr>
              <w:pStyle w:val="Tabletext"/>
            </w:pPr>
            <w:r w:rsidRPr="00782E31">
              <w:t>Poland</w:t>
            </w:r>
          </w:p>
        </w:tc>
        <w:tc>
          <w:tcPr>
            <w:tcW w:w="540" w:type="pct"/>
            <w:shd w:val="clear" w:color="auto" w:fill="D9D9D9" w:themeFill="background1" w:themeFillShade="D9"/>
          </w:tcPr>
          <w:p w14:paraId="3B93776F" w14:textId="77777777" w:rsidR="00726817" w:rsidRPr="00782E31" w:rsidRDefault="00726817" w:rsidP="00A214B7">
            <w:pPr>
              <w:pStyle w:val="TableFigures"/>
            </w:pPr>
            <w:r w:rsidRPr="00782E31">
              <w:t xml:space="preserve"> 1,510,254 </w:t>
            </w:r>
          </w:p>
        </w:tc>
        <w:tc>
          <w:tcPr>
            <w:tcW w:w="485" w:type="pct"/>
          </w:tcPr>
          <w:p w14:paraId="2359A9E7" w14:textId="77777777" w:rsidR="00726817" w:rsidRPr="00782E31" w:rsidRDefault="00726817" w:rsidP="00A214B7">
            <w:pPr>
              <w:pStyle w:val="TableFigures"/>
            </w:pPr>
            <w:r w:rsidRPr="00782E31">
              <w:t>631</w:t>
            </w:r>
          </w:p>
        </w:tc>
        <w:tc>
          <w:tcPr>
            <w:tcW w:w="412" w:type="pct"/>
          </w:tcPr>
          <w:p w14:paraId="41D7CED2" w14:textId="77777777" w:rsidR="00726817" w:rsidRPr="00782E31" w:rsidRDefault="00726817" w:rsidP="00A214B7">
            <w:pPr>
              <w:pStyle w:val="TableFigures"/>
            </w:pPr>
            <w:r w:rsidRPr="00782E31">
              <w:t>75</w:t>
            </w:r>
          </w:p>
        </w:tc>
        <w:tc>
          <w:tcPr>
            <w:tcW w:w="548" w:type="pct"/>
          </w:tcPr>
          <w:p w14:paraId="0F262835" w14:textId="77777777" w:rsidR="00726817" w:rsidRPr="00782E31" w:rsidRDefault="00726817" w:rsidP="00A214B7">
            <w:pPr>
              <w:pStyle w:val="TableFigures"/>
            </w:pPr>
            <w:r w:rsidRPr="00782E31">
              <w:t>706</w:t>
            </w:r>
          </w:p>
        </w:tc>
        <w:tc>
          <w:tcPr>
            <w:tcW w:w="28" w:type="pct"/>
          </w:tcPr>
          <w:p w14:paraId="45E12B88" w14:textId="77777777" w:rsidR="00726817" w:rsidRPr="00782E31" w:rsidRDefault="00726817" w:rsidP="00A214B7">
            <w:pPr>
              <w:pStyle w:val="TableFigures"/>
            </w:pPr>
          </w:p>
        </w:tc>
        <w:tc>
          <w:tcPr>
            <w:tcW w:w="11" w:type="pct"/>
          </w:tcPr>
          <w:p w14:paraId="6A4FD5AC" w14:textId="77777777" w:rsidR="00726817" w:rsidRPr="00782E31" w:rsidRDefault="00726817" w:rsidP="00A214B7">
            <w:pPr>
              <w:pStyle w:val="TableFigures"/>
            </w:pPr>
          </w:p>
        </w:tc>
        <w:tc>
          <w:tcPr>
            <w:tcW w:w="511" w:type="pct"/>
            <w:shd w:val="clear" w:color="auto" w:fill="D9D9D9" w:themeFill="background1" w:themeFillShade="D9"/>
          </w:tcPr>
          <w:p w14:paraId="13C51C73" w14:textId="77777777" w:rsidR="00726817" w:rsidRPr="00782E31" w:rsidRDefault="00726817" w:rsidP="00A214B7">
            <w:pPr>
              <w:pStyle w:val="TableFigures"/>
            </w:pPr>
            <w:r w:rsidRPr="00782E31">
              <w:t>1,234</w:t>
            </w:r>
          </w:p>
        </w:tc>
        <w:tc>
          <w:tcPr>
            <w:tcW w:w="541" w:type="pct"/>
            <w:gridSpan w:val="2"/>
          </w:tcPr>
          <w:p w14:paraId="0BE13003" w14:textId="77777777" w:rsidR="00726817" w:rsidRPr="00782E31" w:rsidRDefault="00726817" w:rsidP="00A214B7">
            <w:pPr>
              <w:pStyle w:val="TableFigures"/>
            </w:pPr>
            <w:r w:rsidRPr="00782E31">
              <w:t>13.9</w:t>
            </w:r>
          </w:p>
        </w:tc>
        <w:tc>
          <w:tcPr>
            <w:tcW w:w="10" w:type="pct"/>
          </w:tcPr>
          <w:p w14:paraId="58FB9A76" w14:textId="77777777" w:rsidR="00726817" w:rsidRPr="00782E31" w:rsidRDefault="00726817" w:rsidP="00A214B7">
            <w:pPr>
              <w:pStyle w:val="TableFigures"/>
            </w:pPr>
          </w:p>
        </w:tc>
        <w:tc>
          <w:tcPr>
            <w:tcW w:w="345" w:type="pct"/>
            <w:gridSpan w:val="3"/>
          </w:tcPr>
          <w:p w14:paraId="4761839F" w14:textId="77777777" w:rsidR="00726817" w:rsidRPr="00782E31" w:rsidRDefault="00726817" w:rsidP="00A214B7">
            <w:pPr>
              <w:pStyle w:val="TableFigures"/>
            </w:pPr>
            <w:r w:rsidRPr="00782E31">
              <w:t>5.3</w:t>
            </w:r>
          </w:p>
        </w:tc>
        <w:tc>
          <w:tcPr>
            <w:tcW w:w="480" w:type="pct"/>
            <w:gridSpan w:val="2"/>
          </w:tcPr>
          <w:p w14:paraId="0303540A" w14:textId="77777777" w:rsidR="00726817" w:rsidRPr="00782E31" w:rsidRDefault="00726817" w:rsidP="00A214B7">
            <w:pPr>
              <w:pStyle w:val="TableFigures"/>
            </w:pPr>
            <w:r w:rsidRPr="00782E31">
              <w:t>5.2</w:t>
            </w:r>
          </w:p>
        </w:tc>
        <w:tc>
          <w:tcPr>
            <w:tcW w:w="410" w:type="pct"/>
          </w:tcPr>
          <w:p w14:paraId="31BBBEFA" w14:textId="77777777" w:rsidR="00726817" w:rsidRPr="00782E31" w:rsidRDefault="00726817" w:rsidP="00A214B7">
            <w:pPr>
              <w:pStyle w:val="TableFigures"/>
            </w:pPr>
            <w:r w:rsidRPr="00782E31">
              <w:t>4.3</w:t>
            </w:r>
          </w:p>
        </w:tc>
      </w:tr>
      <w:tr w:rsidR="00726817" w:rsidRPr="00782E31" w14:paraId="534EBF68" w14:textId="77777777" w:rsidTr="00A214B7">
        <w:tc>
          <w:tcPr>
            <w:tcW w:w="678" w:type="pct"/>
          </w:tcPr>
          <w:p w14:paraId="5D2C8361" w14:textId="77777777" w:rsidR="00726817" w:rsidRPr="00782E31" w:rsidRDefault="00726817" w:rsidP="00A214B7">
            <w:pPr>
              <w:pStyle w:val="Tabletext"/>
            </w:pPr>
            <w:r w:rsidRPr="00782E31">
              <w:t>Czech Republic</w:t>
            </w:r>
          </w:p>
        </w:tc>
        <w:tc>
          <w:tcPr>
            <w:tcW w:w="540" w:type="pct"/>
            <w:shd w:val="clear" w:color="auto" w:fill="D9D9D9" w:themeFill="background1" w:themeFillShade="D9"/>
          </w:tcPr>
          <w:p w14:paraId="0FB90CBD" w14:textId="77777777" w:rsidR="00726817" w:rsidRPr="00782E31" w:rsidRDefault="00726817" w:rsidP="00A214B7">
            <w:pPr>
              <w:pStyle w:val="TableFigures"/>
            </w:pPr>
            <w:r w:rsidRPr="00782E31">
              <w:t xml:space="preserve"> 169,514 </w:t>
            </w:r>
          </w:p>
        </w:tc>
        <w:tc>
          <w:tcPr>
            <w:tcW w:w="485" w:type="pct"/>
          </w:tcPr>
          <w:p w14:paraId="492A62BC" w14:textId="77777777" w:rsidR="00726817" w:rsidRPr="00782E31" w:rsidRDefault="00726817" w:rsidP="00A214B7">
            <w:pPr>
              <w:pStyle w:val="TableFigures"/>
            </w:pPr>
            <w:r w:rsidRPr="00782E31">
              <w:t>90</w:t>
            </w:r>
          </w:p>
        </w:tc>
        <w:tc>
          <w:tcPr>
            <w:tcW w:w="412" w:type="pct"/>
          </w:tcPr>
          <w:p w14:paraId="7A1AA959" w14:textId="77777777" w:rsidR="00726817" w:rsidRPr="00782E31" w:rsidRDefault="00726817" w:rsidP="00A214B7">
            <w:pPr>
              <w:pStyle w:val="TableFigures"/>
            </w:pPr>
            <w:r w:rsidRPr="00782E31">
              <w:t>4</w:t>
            </w:r>
          </w:p>
        </w:tc>
        <w:tc>
          <w:tcPr>
            <w:tcW w:w="548" w:type="pct"/>
          </w:tcPr>
          <w:p w14:paraId="6BDFC07A" w14:textId="77777777" w:rsidR="00726817" w:rsidRPr="00782E31" w:rsidRDefault="00726817" w:rsidP="00A214B7">
            <w:pPr>
              <w:pStyle w:val="TableFigures"/>
            </w:pPr>
            <w:r w:rsidRPr="00782E31">
              <w:t>94</w:t>
            </w:r>
          </w:p>
        </w:tc>
        <w:tc>
          <w:tcPr>
            <w:tcW w:w="28" w:type="pct"/>
          </w:tcPr>
          <w:p w14:paraId="01E7FFFC" w14:textId="77777777" w:rsidR="00726817" w:rsidRPr="00782E31" w:rsidRDefault="00726817" w:rsidP="00A214B7">
            <w:pPr>
              <w:pStyle w:val="TableFigures"/>
            </w:pPr>
          </w:p>
        </w:tc>
        <w:tc>
          <w:tcPr>
            <w:tcW w:w="11" w:type="pct"/>
          </w:tcPr>
          <w:p w14:paraId="3C541D2C" w14:textId="77777777" w:rsidR="00726817" w:rsidRPr="00782E31" w:rsidRDefault="00726817" w:rsidP="00A214B7">
            <w:pPr>
              <w:pStyle w:val="TableFigures"/>
            </w:pPr>
          </w:p>
        </w:tc>
        <w:tc>
          <w:tcPr>
            <w:tcW w:w="511" w:type="pct"/>
            <w:shd w:val="clear" w:color="auto" w:fill="D9D9D9" w:themeFill="background1" w:themeFillShade="D9"/>
          </w:tcPr>
          <w:p w14:paraId="01EFE46D" w14:textId="77777777" w:rsidR="00726817" w:rsidRPr="00782E31" w:rsidRDefault="00726817" w:rsidP="00A214B7">
            <w:pPr>
              <w:pStyle w:val="TableFigures"/>
            </w:pPr>
            <w:r w:rsidRPr="00782E31">
              <w:t>188</w:t>
            </w:r>
          </w:p>
        </w:tc>
        <w:tc>
          <w:tcPr>
            <w:tcW w:w="541" w:type="pct"/>
            <w:gridSpan w:val="2"/>
          </w:tcPr>
          <w:p w14:paraId="6B1ADFFE" w14:textId="77777777" w:rsidR="00726817" w:rsidRPr="00782E31" w:rsidRDefault="00726817" w:rsidP="00A214B7">
            <w:pPr>
              <w:pStyle w:val="TableFigures"/>
            </w:pPr>
            <w:r w:rsidRPr="00782E31">
              <w:t>21.6</w:t>
            </w:r>
          </w:p>
        </w:tc>
        <w:tc>
          <w:tcPr>
            <w:tcW w:w="10" w:type="pct"/>
          </w:tcPr>
          <w:p w14:paraId="01100E89" w14:textId="77777777" w:rsidR="00726817" w:rsidRPr="00782E31" w:rsidRDefault="00726817" w:rsidP="00A214B7">
            <w:pPr>
              <w:pStyle w:val="TableFigures"/>
            </w:pPr>
          </w:p>
        </w:tc>
        <w:tc>
          <w:tcPr>
            <w:tcW w:w="345" w:type="pct"/>
            <w:gridSpan w:val="3"/>
          </w:tcPr>
          <w:p w14:paraId="600A6087" w14:textId="77777777" w:rsidR="00726817" w:rsidRPr="00782E31" w:rsidRDefault="00726817" w:rsidP="00A214B7">
            <w:pPr>
              <w:pStyle w:val="TableFigures"/>
            </w:pPr>
            <w:r w:rsidRPr="00782E31">
              <w:t>4.4</w:t>
            </w:r>
          </w:p>
        </w:tc>
        <w:tc>
          <w:tcPr>
            <w:tcW w:w="480" w:type="pct"/>
            <w:gridSpan w:val="2"/>
          </w:tcPr>
          <w:p w14:paraId="0926152E" w14:textId="77777777" w:rsidR="00726817" w:rsidRPr="00782E31" w:rsidRDefault="00726817" w:rsidP="00A214B7">
            <w:pPr>
              <w:pStyle w:val="TableFigures"/>
            </w:pPr>
            <w:r w:rsidRPr="00782E31">
              <w:t>4.8</w:t>
            </w:r>
          </w:p>
        </w:tc>
        <w:tc>
          <w:tcPr>
            <w:tcW w:w="410" w:type="pct"/>
          </w:tcPr>
          <w:p w14:paraId="15074780" w14:textId="77777777" w:rsidR="00726817" w:rsidRPr="00782E31" w:rsidRDefault="00726817" w:rsidP="00A214B7">
            <w:pPr>
              <w:pStyle w:val="TableFigures"/>
            </w:pPr>
            <w:r w:rsidRPr="00782E31">
              <w:t>2.9</w:t>
            </w:r>
          </w:p>
        </w:tc>
      </w:tr>
      <w:tr w:rsidR="00726817" w:rsidRPr="00782E31" w14:paraId="25049DA0" w14:textId="77777777" w:rsidTr="00A214B7">
        <w:tc>
          <w:tcPr>
            <w:tcW w:w="678" w:type="pct"/>
          </w:tcPr>
          <w:p w14:paraId="0F11E4AE" w14:textId="77777777" w:rsidR="00726817" w:rsidRPr="00782E31" w:rsidRDefault="00726817" w:rsidP="00A214B7">
            <w:pPr>
              <w:pStyle w:val="TabletextBold"/>
              <w:rPr>
                <w:rStyle w:val="TabletextBook"/>
                <w:rFonts w:ascii="Arial" w:hAnsi="Arial" w:cs="Arial"/>
                <w:b w:val="0"/>
                <w:caps w:val="0"/>
                <w:color w:val="auto"/>
                <w:sz w:val="18"/>
                <w:szCs w:val="18"/>
              </w:rPr>
            </w:pPr>
            <w:r w:rsidRPr="00782E31">
              <w:rPr>
                <w:rStyle w:val="TabletextBook"/>
                <w:rFonts w:ascii="Arial" w:hAnsi="Arial" w:cs="Arial"/>
                <w:caps w:val="0"/>
                <w:color w:val="auto"/>
                <w:sz w:val="18"/>
                <w:szCs w:val="18"/>
              </w:rPr>
              <w:t>Continental Europe Total</w:t>
            </w:r>
          </w:p>
        </w:tc>
        <w:tc>
          <w:tcPr>
            <w:tcW w:w="540" w:type="pct"/>
            <w:shd w:val="clear" w:color="auto" w:fill="D9D9D9" w:themeFill="background1" w:themeFillShade="D9"/>
          </w:tcPr>
          <w:p w14:paraId="3C7EB044" w14:textId="77777777" w:rsidR="00726817" w:rsidRPr="00782E31" w:rsidRDefault="00726817" w:rsidP="00A214B7">
            <w:pPr>
              <w:pStyle w:val="TableFiguresBold0"/>
            </w:pPr>
            <w:r w:rsidRPr="00782E31">
              <w:t xml:space="preserve"> 6,998,068 </w:t>
            </w:r>
          </w:p>
        </w:tc>
        <w:tc>
          <w:tcPr>
            <w:tcW w:w="485" w:type="pct"/>
          </w:tcPr>
          <w:p w14:paraId="633CFE5D" w14:textId="77777777" w:rsidR="00726817" w:rsidRPr="00782E31" w:rsidRDefault="00726817" w:rsidP="00A214B7">
            <w:pPr>
              <w:pStyle w:val="TableFiguresBold0"/>
            </w:pPr>
            <w:r w:rsidRPr="00782E31">
              <w:t>5,609</w:t>
            </w:r>
          </w:p>
        </w:tc>
        <w:tc>
          <w:tcPr>
            <w:tcW w:w="412" w:type="pct"/>
          </w:tcPr>
          <w:p w14:paraId="35F71193" w14:textId="77777777" w:rsidR="00726817" w:rsidRPr="00782E31" w:rsidRDefault="00726817" w:rsidP="00A214B7">
            <w:pPr>
              <w:pStyle w:val="TableFiguresBold0"/>
            </w:pPr>
            <w:r w:rsidRPr="00782E31">
              <w:t>617</w:t>
            </w:r>
          </w:p>
        </w:tc>
        <w:tc>
          <w:tcPr>
            <w:tcW w:w="548" w:type="pct"/>
          </w:tcPr>
          <w:p w14:paraId="6269FB6F" w14:textId="77777777" w:rsidR="00726817" w:rsidRPr="00782E31" w:rsidRDefault="00726817" w:rsidP="00A214B7">
            <w:pPr>
              <w:pStyle w:val="TableFiguresBold0"/>
            </w:pPr>
            <w:r w:rsidRPr="00782E31">
              <w:t>6,226</w:t>
            </w:r>
          </w:p>
        </w:tc>
        <w:tc>
          <w:tcPr>
            <w:tcW w:w="28" w:type="pct"/>
          </w:tcPr>
          <w:p w14:paraId="16DFB2A9" w14:textId="77777777" w:rsidR="00726817" w:rsidRPr="00782E31" w:rsidRDefault="00726817" w:rsidP="00A214B7">
            <w:pPr>
              <w:pStyle w:val="TableFiguresBold0"/>
            </w:pPr>
          </w:p>
        </w:tc>
        <w:tc>
          <w:tcPr>
            <w:tcW w:w="11" w:type="pct"/>
          </w:tcPr>
          <w:p w14:paraId="1ED5AF00" w14:textId="77777777" w:rsidR="00726817" w:rsidRPr="00782E31" w:rsidRDefault="00726817" w:rsidP="00A214B7">
            <w:pPr>
              <w:pStyle w:val="TableFiguresBold0"/>
            </w:pPr>
          </w:p>
        </w:tc>
        <w:tc>
          <w:tcPr>
            <w:tcW w:w="511" w:type="pct"/>
            <w:shd w:val="clear" w:color="auto" w:fill="D9D9D9" w:themeFill="background1" w:themeFillShade="D9"/>
          </w:tcPr>
          <w:p w14:paraId="06A74FEC" w14:textId="61790F17" w:rsidR="00726817" w:rsidRPr="00782E31" w:rsidRDefault="00726817" w:rsidP="00A214B7">
            <w:pPr>
              <w:pStyle w:val="TableFiguresBold0"/>
            </w:pPr>
            <w:r w:rsidRPr="00782E31">
              <w:t>9,</w:t>
            </w:r>
            <w:r w:rsidR="00F8795D">
              <w:t>128</w:t>
            </w:r>
          </w:p>
        </w:tc>
        <w:tc>
          <w:tcPr>
            <w:tcW w:w="541" w:type="pct"/>
            <w:gridSpan w:val="2"/>
          </w:tcPr>
          <w:p w14:paraId="5BB1B7B2" w14:textId="77777777" w:rsidR="00726817" w:rsidRPr="00782E31" w:rsidRDefault="00726817" w:rsidP="00A214B7">
            <w:pPr>
              <w:pStyle w:val="TableFiguresBold0"/>
            </w:pPr>
            <w:r w:rsidRPr="00782E31">
              <w:t>18.7</w:t>
            </w:r>
          </w:p>
        </w:tc>
        <w:tc>
          <w:tcPr>
            <w:tcW w:w="10" w:type="pct"/>
          </w:tcPr>
          <w:p w14:paraId="4BE112E3" w14:textId="77777777" w:rsidR="00726817" w:rsidRPr="00782E31" w:rsidRDefault="00726817" w:rsidP="00A214B7">
            <w:pPr>
              <w:pStyle w:val="TableFiguresBold0"/>
            </w:pPr>
          </w:p>
        </w:tc>
        <w:tc>
          <w:tcPr>
            <w:tcW w:w="345" w:type="pct"/>
            <w:gridSpan w:val="3"/>
          </w:tcPr>
          <w:p w14:paraId="149E6589" w14:textId="77777777" w:rsidR="00726817" w:rsidRPr="00782E31" w:rsidRDefault="00726817" w:rsidP="00A214B7">
            <w:pPr>
              <w:pStyle w:val="TableFiguresBold0"/>
            </w:pPr>
            <w:r w:rsidRPr="00782E31">
              <w:t>3.8</w:t>
            </w:r>
          </w:p>
        </w:tc>
        <w:tc>
          <w:tcPr>
            <w:tcW w:w="480" w:type="pct"/>
            <w:gridSpan w:val="2"/>
          </w:tcPr>
          <w:p w14:paraId="1BA9EECC" w14:textId="77777777" w:rsidR="00726817" w:rsidRPr="00782E31" w:rsidRDefault="00726817" w:rsidP="00A214B7">
            <w:pPr>
              <w:pStyle w:val="TableFiguresBold0"/>
            </w:pPr>
            <w:r w:rsidRPr="00782E31">
              <w:t>4.0</w:t>
            </w:r>
          </w:p>
        </w:tc>
        <w:tc>
          <w:tcPr>
            <w:tcW w:w="410" w:type="pct"/>
          </w:tcPr>
          <w:p w14:paraId="613ABA29" w14:textId="77777777" w:rsidR="00726817" w:rsidRPr="00782E31" w:rsidRDefault="00726817" w:rsidP="00A214B7">
            <w:pPr>
              <w:pStyle w:val="TableFiguresBold0"/>
            </w:pPr>
            <w:r w:rsidRPr="00782E31">
              <w:t>3.9</w:t>
            </w:r>
          </w:p>
        </w:tc>
      </w:tr>
      <w:tr w:rsidR="00726817" w:rsidRPr="00782E31" w14:paraId="17F88680" w14:textId="77777777" w:rsidTr="00A214B7">
        <w:tc>
          <w:tcPr>
            <w:tcW w:w="678" w:type="pct"/>
          </w:tcPr>
          <w:p w14:paraId="3D1FB7BA" w14:textId="77777777" w:rsidR="00726817" w:rsidRPr="00782E31" w:rsidRDefault="00726817" w:rsidP="00A214B7">
            <w:pPr>
              <w:pStyle w:val="TabletextBold"/>
              <w:rPr>
                <w:rStyle w:val="TabletextBook"/>
                <w:rFonts w:ascii="Arial" w:hAnsi="Arial" w:cs="Arial"/>
                <w:b w:val="0"/>
                <w:caps w:val="0"/>
                <w:color w:val="auto"/>
                <w:sz w:val="18"/>
                <w:szCs w:val="18"/>
              </w:rPr>
            </w:pPr>
            <w:r w:rsidRPr="00782E31">
              <w:rPr>
                <w:rStyle w:val="TabletextBook"/>
                <w:rFonts w:ascii="Arial" w:hAnsi="Arial" w:cs="Arial"/>
                <w:caps w:val="0"/>
                <w:color w:val="auto"/>
                <w:sz w:val="18"/>
                <w:szCs w:val="18"/>
              </w:rPr>
              <w:t>GROUP TOTAL</w:t>
            </w:r>
          </w:p>
        </w:tc>
        <w:tc>
          <w:tcPr>
            <w:tcW w:w="540" w:type="pct"/>
            <w:shd w:val="clear" w:color="auto" w:fill="D9D9D9" w:themeFill="background1" w:themeFillShade="D9"/>
          </w:tcPr>
          <w:p w14:paraId="04D821AE" w14:textId="77777777" w:rsidR="00726817" w:rsidRPr="00782E31" w:rsidRDefault="00726817" w:rsidP="00A214B7">
            <w:pPr>
              <w:pStyle w:val="TableFiguresBold0"/>
            </w:pPr>
            <w:r w:rsidRPr="00782E31">
              <w:t xml:space="preserve"> 9,571,719 </w:t>
            </w:r>
          </w:p>
        </w:tc>
        <w:tc>
          <w:tcPr>
            <w:tcW w:w="485" w:type="pct"/>
          </w:tcPr>
          <w:p w14:paraId="7290D225" w14:textId="77777777" w:rsidR="00726817" w:rsidRPr="00782E31" w:rsidRDefault="00726817" w:rsidP="00A214B7">
            <w:pPr>
              <w:pStyle w:val="TableFiguresBold0"/>
            </w:pPr>
            <w:r w:rsidRPr="00782E31">
              <w:t>16,739</w:t>
            </w:r>
          </w:p>
        </w:tc>
        <w:tc>
          <w:tcPr>
            <w:tcW w:w="412" w:type="pct"/>
          </w:tcPr>
          <w:p w14:paraId="38DACFA6" w14:textId="77777777" w:rsidR="00726817" w:rsidRPr="00782E31" w:rsidRDefault="00726817" w:rsidP="00A214B7">
            <w:pPr>
              <w:pStyle w:val="TableFiguresBold0"/>
            </w:pPr>
            <w:r w:rsidRPr="00782E31">
              <w:t>1,638</w:t>
            </w:r>
          </w:p>
        </w:tc>
        <w:tc>
          <w:tcPr>
            <w:tcW w:w="548" w:type="pct"/>
          </w:tcPr>
          <w:p w14:paraId="3D5CF709" w14:textId="77777777" w:rsidR="00726817" w:rsidRPr="00782E31" w:rsidRDefault="00726817" w:rsidP="00A214B7">
            <w:pPr>
              <w:pStyle w:val="TableFiguresBold0"/>
            </w:pPr>
            <w:r w:rsidRPr="00782E31">
              <w:t>18,377</w:t>
            </w:r>
          </w:p>
        </w:tc>
        <w:tc>
          <w:tcPr>
            <w:tcW w:w="28" w:type="pct"/>
          </w:tcPr>
          <w:p w14:paraId="327DE50B" w14:textId="77777777" w:rsidR="00726817" w:rsidRPr="00782E31" w:rsidRDefault="00726817" w:rsidP="00A214B7">
            <w:pPr>
              <w:pStyle w:val="TableFiguresBold0"/>
            </w:pPr>
          </w:p>
        </w:tc>
        <w:tc>
          <w:tcPr>
            <w:tcW w:w="11" w:type="pct"/>
          </w:tcPr>
          <w:p w14:paraId="22C8A97F" w14:textId="77777777" w:rsidR="00726817" w:rsidRPr="00782E31" w:rsidRDefault="00726817" w:rsidP="00A214B7">
            <w:pPr>
              <w:pStyle w:val="TableFiguresBold0"/>
            </w:pPr>
          </w:p>
        </w:tc>
        <w:tc>
          <w:tcPr>
            <w:tcW w:w="511" w:type="pct"/>
            <w:shd w:val="clear" w:color="auto" w:fill="D9D9D9" w:themeFill="background1" w:themeFillShade="D9"/>
          </w:tcPr>
          <w:p w14:paraId="071B2017" w14:textId="7C44CA0E" w:rsidR="00726817" w:rsidRPr="00782E31" w:rsidRDefault="00726817" w:rsidP="00A214B7">
            <w:pPr>
              <w:pStyle w:val="TableFiguresBold0"/>
            </w:pPr>
            <w:r w:rsidRPr="00782E31">
              <w:t>21,</w:t>
            </w:r>
            <w:r w:rsidR="00023CF3" w:rsidRPr="00782E31">
              <w:t>2</w:t>
            </w:r>
            <w:r w:rsidR="00023CF3">
              <w:t>86</w:t>
            </w:r>
          </w:p>
        </w:tc>
        <w:tc>
          <w:tcPr>
            <w:tcW w:w="541" w:type="pct"/>
            <w:gridSpan w:val="2"/>
          </w:tcPr>
          <w:p w14:paraId="36AAD99D" w14:textId="77777777" w:rsidR="00726817" w:rsidRPr="00782E31" w:rsidRDefault="00726817" w:rsidP="00A214B7">
            <w:pPr>
              <w:pStyle w:val="TableFiguresBold0"/>
            </w:pPr>
            <w:r w:rsidRPr="00782E31">
              <w:t>29.0</w:t>
            </w:r>
          </w:p>
        </w:tc>
        <w:tc>
          <w:tcPr>
            <w:tcW w:w="10" w:type="pct"/>
          </w:tcPr>
          <w:p w14:paraId="536B2BE8" w14:textId="77777777" w:rsidR="00726817" w:rsidRPr="00782E31" w:rsidRDefault="00726817" w:rsidP="00A214B7">
            <w:pPr>
              <w:pStyle w:val="TableFiguresBold0"/>
            </w:pPr>
          </w:p>
        </w:tc>
        <w:tc>
          <w:tcPr>
            <w:tcW w:w="345" w:type="pct"/>
            <w:gridSpan w:val="3"/>
          </w:tcPr>
          <w:p w14:paraId="5180553F" w14:textId="77777777" w:rsidR="00726817" w:rsidRPr="00782E31" w:rsidRDefault="00726817" w:rsidP="00A214B7">
            <w:pPr>
              <w:pStyle w:val="TableFiguresBold0"/>
            </w:pPr>
            <w:r w:rsidRPr="00782E31">
              <w:t>3.3</w:t>
            </w:r>
          </w:p>
        </w:tc>
        <w:tc>
          <w:tcPr>
            <w:tcW w:w="480" w:type="pct"/>
            <w:gridSpan w:val="2"/>
          </w:tcPr>
          <w:p w14:paraId="4353364A" w14:textId="77777777" w:rsidR="00726817" w:rsidRPr="00782E31" w:rsidRDefault="00726817" w:rsidP="00A214B7">
            <w:pPr>
              <w:pStyle w:val="TableFiguresBold0"/>
            </w:pPr>
            <w:r w:rsidRPr="00782E31">
              <w:t>3.8</w:t>
            </w:r>
          </w:p>
        </w:tc>
        <w:tc>
          <w:tcPr>
            <w:tcW w:w="410" w:type="pct"/>
          </w:tcPr>
          <w:p w14:paraId="6A569E01" w14:textId="77777777" w:rsidR="00726817" w:rsidRPr="00782E31" w:rsidRDefault="00726817" w:rsidP="00A214B7">
            <w:pPr>
              <w:pStyle w:val="TableFiguresBold0"/>
            </w:pPr>
            <w:r w:rsidRPr="00782E31">
              <w:t>3.2</w:t>
            </w:r>
          </w:p>
        </w:tc>
      </w:tr>
      <w:tr w:rsidR="00726817" w:rsidRPr="00782E31" w14:paraId="56CA9C44" w14:textId="77777777" w:rsidTr="00A214B7">
        <w:tc>
          <w:tcPr>
            <w:tcW w:w="678" w:type="pct"/>
            <w:tcBorders>
              <w:bottom w:val="single" w:sz="4" w:space="0" w:color="auto"/>
            </w:tcBorders>
          </w:tcPr>
          <w:p w14:paraId="344C92D3" w14:textId="77777777" w:rsidR="00726817" w:rsidRPr="00782E31" w:rsidRDefault="00726817" w:rsidP="00A214B7">
            <w:pPr>
              <w:pStyle w:val="TabletextBold"/>
              <w:rPr>
                <w:rStyle w:val="TabletextBook"/>
                <w:rFonts w:ascii="Arial" w:hAnsi="Arial" w:cs="Arial"/>
                <w:caps w:val="0"/>
                <w:color w:val="auto"/>
                <w:sz w:val="18"/>
                <w:szCs w:val="18"/>
              </w:rPr>
            </w:pPr>
          </w:p>
        </w:tc>
        <w:tc>
          <w:tcPr>
            <w:tcW w:w="540" w:type="pct"/>
            <w:tcBorders>
              <w:bottom w:val="single" w:sz="4" w:space="0" w:color="auto"/>
            </w:tcBorders>
            <w:shd w:val="clear" w:color="auto" w:fill="D9D9D9" w:themeFill="background1" w:themeFillShade="D9"/>
            <w:vAlign w:val="top"/>
          </w:tcPr>
          <w:p w14:paraId="78A97693" w14:textId="77777777" w:rsidR="00726817" w:rsidRPr="00782E31" w:rsidRDefault="00726817" w:rsidP="00A214B7">
            <w:pPr>
              <w:pStyle w:val="TableFiguresBold0"/>
            </w:pPr>
          </w:p>
        </w:tc>
        <w:tc>
          <w:tcPr>
            <w:tcW w:w="485" w:type="pct"/>
            <w:tcBorders>
              <w:bottom w:val="single" w:sz="4" w:space="0" w:color="auto"/>
            </w:tcBorders>
            <w:vAlign w:val="top"/>
          </w:tcPr>
          <w:p w14:paraId="1836E203" w14:textId="77777777" w:rsidR="00726817" w:rsidRPr="00782E31" w:rsidRDefault="00726817" w:rsidP="00A214B7">
            <w:pPr>
              <w:pStyle w:val="TableFiguresBold0"/>
            </w:pPr>
          </w:p>
        </w:tc>
        <w:tc>
          <w:tcPr>
            <w:tcW w:w="412" w:type="pct"/>
            <w:tcBorders>
              <w:bottom w:val="single" w:sz="4" w:space="0" w:color="auto"/>
            </w:tcBorders>
            <w:vAlign w:val="top"/>
          </w:tcPr>
          <w:p w14:paraId="0C894344" w14:textId="77777777" w:rsidR="00726817" w:rsidRPr="00782E31" w:rsidRDefault="00726817" w:rsidP="00A214B7">
            <w:pPr>
              <w:pStyle w:val="TableFiguresBold0"/>
            </w:pPr>
          </w:p>
        </w:tc>
        <w:tc>
          <w:tcPr>
            <w:tcW w:w="548" w:type="pct"/>
            <w:tcBorders>
              <w:bottom w:val="single" w:sz="4" w:space="0" w:color="auto"/>
            </w:tcBorders>
            <w:vAlign w:val="top"/>
          </w:tcPr>
          <w:p w14:paraId="08E647B2" w14:textId="77777777" w:rsidR="00726817" w:rsidRPr="00782E31" w:rsidRDefault="00726817" w:rsidP="00A214B7">
            <w:pPr>
              <w:pStyle w:val="TableFiguresBold0"/>
            </w:pPr>
          </w:p>
        </w:tc>
        <w:tc>
          <w:tcPr>
            <w:tcW w:w="28" w:type="pct"/>
            <w:tcBorders>
              <w:bottom w:val="single" w:sz="4" w:space="0" w:color="auto"/>
            </w:tcBorders>
          </w:tcPr>
          <w:p w14:paraId="05592FCA" w14:textId="77777777" w:rsidR="00726817" w:rsidRPr="00782E31" w:rsidRDefault="00726817" w:rsidP="00A214B7">
            <w:pPr>
              <w:pStyle w:val="TableFiguresBold0"/>
            </w:pPr>
          </w:p>
        </w:tc>
        <w:tc>
          <w:tcPr>
            <w:tcW w:w="11" w:type="pct"/>
            <w:tcBorders>
              <w:bottom w:val="single" w:sz="4" w:space="0" w:color="auto"/>
            </w:tcBorders>
          </w:tcPr>
          <w:p w14:paraId="498B0DBB" w14:textId="77777777" w:rsidR="00726817" w:rsidRPr="00782E31" w:rsidRDefault="00726817" w:rsidP="00A214B7">
            <w:pPr>
              <w:pStyle w:val="TableFiguresBold0"/>
            </w:pPr>
          </w:p>
        </w:tc>
        <w:tc>
          <w:tcPr>
            <w:tcW w:w="511" w:type="pct"/>
            <w:tcBorders>
              <w:bottom w:val="single" w:sz="4" w:space="0" w:color="auto"/>
            </w:tcBorders>
            <w:shd w:val="clear" w:color="auto" w:fill="D9D9D9" w:themeFill="background1" w:themeFillShade="D9"/>
          </w:tcPr>
          <w:p w14:paraId="769AA55C" w14:textId="77777777" w:rsidR="00726817" w:rsidRPr="00782E31" w:rsidRDefault="00726817" w:rsidP="00A214B7">
            <w:pPr>
              <w:pStyle w:val="TableFiguresBold0"/>
            </w:pPr>
          </w:p>
        </w:tc>
        <w:tc>
          <w:tcPr>
            <w:tcW w:w="541" w:type="pct"/>
            <w:gridSpan w:val="2"/>
            <w:tcBorders>
              <w:bottom w:val="single" w:sz="4" w:space="0" w:color="auto"/>
            </w:tcBorders>
            <w:vAlign w:val="top"/>
          </w:tcPr>
          <w:p w14:paraId="25C69FE0" w14:textId="77777777" w:rsidR="00726817" w:rsidRPr="00782E31" w:rsidRDefault="00726817" w:rsidP="00A214B7">
            <w:pPr>
              <w:pStyle w:val="TableFiguresBold0"/>
            </w:pPr>
          </w:p>
        </w:tc>
        <w:tc>
          <w:tcPr>
            <w:tcW w:w="10" w:type="pct"/>
            <w:tcBorders>
              <w:bottom w:val="single" w:sz="4" w:space="0" w:color="auto"/>
            </w:tcBorders>
          </w:tcPr>
          <w:p w14:paraId="4FF02C1E" w14:textId="77777777" w:rsidR="00726817" w:rsidRPr="00782E31" w:rsidRDefault="00726817" w:rsidP="00A214B7">
            <w:pPr>
              <w:pStyle w:val="TableFiguresBold0"/>
            </w:pPr>
          </w:p>
        </w:tc>
        <w:tc>
          <w:tcPr>
            <w:tcW w:w="345" w:type="pct"/>
            <w:gridSpan w:val="3"/>
            <w:tcBorders>
              <w:bottom w:val="single" w:sz="4" w:space="0" w:color="auto"/>
            </w:tcBorders>
            <w:vAlign w:val="top"/>
          </w:tcPr>
          <w:p w14:paraId="4BD94946" w14:textId="77777777" w:rsidR="00726817" w:rsidRPr="00782E31" w:rsidRDefault="00726817" w:rsidP="00A214B7">
            <w:pPr>
              <w:pStyle w:val="TableFiguresBold0"/>
            </w:pPr>
          </w:p>
        </w:tc>
        <w:tc>
          <w:tcPr>
            <w:tcW w:w="480" w:type="pct"/>
            <w:gridSpan w:val="2"/>
            <w:tcBorders>
              <w:bottom w:val="single" w:sz="4" w:space="0" w:color="auto"/>
            </w:tcBorders>
            <w:vAlign w:val="top"/>
          </w:tcPr>
          <w:p w14:paraId="69DCDC1E" w14:textId="77777777" w:rsidR="00726817" w:rsidRPr="00782E31" w:rsidRDefault="00726817" w:rsidP="00A214B7">
            <w:pPr>
              <w:pStyle w:val="TableFiguresBold0"/>
            </w:pPr>
          </w:p>
        </w:tc>
        <w:tc>
          <w:tcPr>
            <w:tcW w:w="410" w:type="pct"/>
            <w:tcBorders>
              <w:bottom w:val="single" w:sz="4" w:space="0" w:color="auto"/>
            </w:tcBorders>
            <w:vAlign w:val="top"/>
          </w:tcPr>
          <w:p w14:paraId="58F554FF" w14:textId="77777777" w:rsidR="00726817" w:rsidRPr="00782E31" w:rsidRDefault="00726817" w:rsidP="00A214B7">
            <w:pPr>
              <w:pStyle w:val="TableFiguresBold0"/>
            </w:pPr>
          </w:p>
        </w:tc>
      </w:tr>
    </w:tbl>
    <w:p w14:paraId="35D9D08B" w14:textId="77777777" w:rsidR="00726817" w:rsidRPr="00782E31" w:rsidRDefault="00726817" w:rsidP="00726817">
      <w:pPr>
        <w:pStyle w:val="FootnotesNoSpace"/>
        <w:rPr>
          <w:i w:val="0"/>
        </w:rPr>
      </w:pPr>
    </w:p>
    <w:p w14:paraId="0022374C" w14:textId="77777777" w:rsidR="00726817" w:rsidRPr="00782E31" w:rsidRDefault="00726817" w:rsidP="00726817">
      <w:pPr>
        <w:pStyle w:val="FootnotesNoSpace"/>
        <w:rPr>
          <w:i w:val="0"/>
        </w:rPr>
      </w:pPr>
      <w:r w:rsidRPr="00782E31">
        <w:rPr>
          <w:i w:val="0"/>
        </w:rPr>
        <w:t>1 Figures reflect SEGRO wholly-owned assets and its share of assets held in joint ventures unless stated “AUM” which refers to all assets under management.</w:t>
      </w:r>
    </w:p>
    <w:p w14:paraId="3BB00712" w14:textId="77777777" w:rsidR="00726817" w:rsidRPr="00782E31" w:rsidRDefault="00726817" w:rsidP="00726817">
      <w:pPr>
        <w:pStyle w:val="FootnotesNoSpace"/>
        <w:rPr>
          <w:i w:val="0"/>
        </w:rPr>
      </w:pPr>
      <w:r w:rsidRPr="00782E31">
        <w:rPr>
          <w:i w:val="0"/>
        </w:rPr>
        <w:t>2 Valuation movement is based on the difference between the opening and closing valuations for properties held throughout the period, allowing for capital expenditure, acquisitions and disposals.</w:t>
      </w:r>
    </w:p>
    <w:p w14:paraId="6B0C1AAD" w14:textId="77777777" w:rsidR="00726817" w:rsidRPr="00782E31" w:rsidRDefault="00726817" w:rsidP="00726817">
      <w:pPr>
        <w:pStyle w:val="FootnotesNoSpace"/>
        <w:rPr>
          <w:i w:val="0"/>
        </w:rPr>
      </w:pPr>
      <w:r w:rsidRPr="00782E31">
        <w:rPr>
          <w:i w:val="0"/>
        </w:rPr>
        <w:t>3 In relation to completed properties only.</w:t>
      </w:r>
    </w:p>
    <w:p w14:paraId="0989FCFC" w14:textId="77777777" w:rsidR="00497403" w:rsidRDefault="00497403" w:rsidP="0023656B">
      <w:pPr>
        <w:pStyle w:val="Normal1"/>
        <w:rPr>
          <w:color w:val="FF0000"/>
        </w:rPr>
      </w:pPr>
    </w:p>
    <w:p w14:paraId="52114AA8" w14:textId="0DBB037A" w:rsidR="006E5B04" w:rsidRPr="005F6D8A" w:rsidRDefault="00497403" w:rsidP="009A7454">
      <w:pPr>
        <w:spacing w:after="0" w:line="240" w:lineRule="auto"/>
        <w:rPr>
          <w:color w:val="FF0000"/>
          <w:highlight w:val="yellow"/>
        </w:rPr>
      </w:pPr>
      <w:r>
        <w:rPr>
          <w:color w:val="FF0000"/>
          <w:highlight w:val="yellow"/>
        </w:rPr>
        <w:br w:type="page"/>
      </w:r>
    </w:p>
    <w:p w14:paraId="2C86FD73" w14:textId="76088015" w:rsidR="00ED085E" w:rsidRPr="00744DC1" w:rsidRDefault="00ED085E" w:rsidP="00ED085E">
      <w:pPr>
        <w:pStyle w:val="Heading3"/>
      </w:pPr>
      <w:r w:rsidRPr="00744DC1">
        <w:lastRenderedPageBreak/>
        <w:t>ASSET MANAGEMENT UPDATE</w:t>
      </w:r>
      <w:r w:rsidR="006801BB">
        <w:t xml:space="preserve"> - </w:t>
      </w:r>
      <w:r w:rsidR="006801BB" w:rsidRPr="00744DC1">
        <w:t>CREATING VALUE THROUGH OPERATIONAL EXCELLENCE</w:t>
      </w:r>
    </w:p>
    <w:p w14:paraId="25AD6307" w14:textId="224E8D3E" w:rsidR="001979A6" w:rsidRDefault="001979A6" w:rsidP="001979A6">
      <w:pPr>
        <w:pStyle w:val="Normal1"/>
        <w:rPr>
          <w:color w:val="FF0000"/>
        </w:rPr>
      </w:pPr>
      <w:r>
        <w:t>Our continued focus on Operational Excellence has helped us to deliver a record level of rental growth in 2021 and ensured the successful execution of our expanded development programme.</w:t>
      </w:r>
    </w:p>
    <w:p w14:paraId="2F717D8D" w14:textId="2D145E9E" w:rsidR="00ED085E" w:rsidRPr="001979A6" w:rsidRDefault="00ED085E" w:rsidP="00ED085E">
      <w:pPr>
        <w:pStyle w:val="Heading3"/>
      </w:pPr>
      <w:r w:rsidRPr="001979A6">
        <w:t xml:space="preserve">Growing </w:t>
      </w:r>
      <w:r w:rsidR="00EF0794">
        <w:t>r</w:t>
      </w:r>
      <w:r w:rsidRPr="001979A6">
        <w:t xml:space="preserve">ental </w:t>
      </w:r>
      <w:r w:rsidR="00EF0794">
        <w:t>i</w:t>
      </w:r>
      <w:r w:rsidRPr="001979A6">
        <w:t xml:space="preserve">ncome from </w:t>
      </w:r>
      <w:r w:rsidR="00EF0794">
        <w:t>l</w:t>
      </w:r>
      <w:r w:rsidRPr="001979A6">
        <w:t xml:space="preserve">etting </w:t>
      </w:r>
      <w:r w:rsidR="00EF0794">
        <w:t>e</w:t>
      </w:r>
      <w:r w:rsidRPr="001979A6">
        <w:t xml:space="preserve">xisting </w:t>
      </w:r>
      <w:r w:rsidR="00EF0794">
        <w:t>s</w:t>
      </w:r>
      <w:r w:rsidRPr="001979A6">
        <w:t xml:space="preserve">pace and </w:t>
      </w:r>
      <w:r w:rsidR="00EF0794">
        <w:t>n</w:t>
      </w:r>
      <w:r w:rsidRPr="001979A6">
        <w:t xml:space="preserve">ew </w:t>
      </w:r>
      <w:r w:rsidR="00EF0794">
        <w:t>d</w:t>
      </w:r>
      <w:r w:rsidRPr="001979A6">
        <w:t xml:space="preserve">evelopments </w:t>
      </w:r>
    </w:p>
    <w:p w14:paraId="28AACC0C" w14:textId="67744D3E" w:rsidR="006F69A2" w:rsidRDefault="006F69A2" w:rsidP="000C59DB">
      <w:pPr>
        <w:pStyle w:val="Normal1"/>
      </w:pPr>
      <w:r>
        <w:t xml:space="preserve">At 31 December 2021, our portfolio generated passing rent of £518 million, rising to £579 million once rent free periods expire (‘headline rent’). During the year, we contracted £95 million of new headline rent, </w:t>
      </w:r>
      <w:r w:rsidR="00920000">
        <w:t>an increase of more than 20 per cent on 2020</w:t>
      </w:r>
      <w:r>
        <w:t xml:space="preserve">. New pre-let agreements continue to contribute strongly to this number but we also grew rent on our existing space significantly. </w:t>
      </w:r>
    </w:p>
    <w:p w14:paraId="451BB953" w14:textId="017E9E1B" w:rsidR="006F69A2" w:rsidRDefault="006F69A2" w:rsidP="000C59DB">
      <w:pPr>
        <w:pStyle w:val="Normal1"/>
      </w:pPr>
      <w:r>
        <w:t xml:space="preserve">Our customer base remains well diversified, reflecting the multitude of uses of warehouse space. Our top 20 customers account for 32 per cent of total headline rent. Amazon remained as our largest customer during 2021, accounting for </w:t>
      </w:r>
      <w:r w:rsidR="003C6ED9">
        <w:t xml:space="preserve">7 </w:t>
      </w:r>
      <w:r>
        <w:t xml:space="preserve">per cent of the total. </w:t>
      </w:r>
    </w:p>
    <w:p w14:paraId="5660E4C8" w14:textId="77777777" w:rsidR="006F69A2" w:rsidRDefault="006F69A2" w:rsidP="006F69A2">
      <w:pPr>
        <w:pStyle w:val="Normal1"/>
      </w:pPr>
      <w:r>
        <w:t xml:space="preserve">Almost half of our customers are involved in businesses affected by e-commerce, including third party logistics and </w:t>
      </w:r>
      <w:r w:rsidRPr="006F69A2">
        <w:t xml:space="preserve">parcel delivery businesses, and retailers. These businesses accounted for almost 60 per cent of our take-up during the year. </w:t>
      </w:r>
    </w:p>
    <w:p w14:paraId="3063D32E" w14:textId="6E6BB21A" w:rsidR="006F69A2" w:rsidRDefault="006F69A2" w:rsidP="006F69A2">
      <w:pPr>
        <w:pStyle w:val="Normal1"/>
        <w:numPr>
          <w:ilvl w:val="0"/>
          <w:numId w:val="33"/>
        </w:numPr>
      </w:pPr>
      <w:r w:rsidRPr="006F69A2">
        <w:rPr>
          <w:b/>
          <w:bCs/>
        </w:rPr>
        <w:t>£1</w:t>
      </w:r>
      <w:r w:rsidR="00497403">
        <w:rPr>
          <w:b/>
          <w:bCs/>
        </w:rPr>
        <w:t>5</w:t>
      </w:r>
      <w:r w:rsidRPr="006F69A2">
        <w:rPr>
          <w:b/>
          <w:bCs/>
        </w:rPr>
        <w:t xml:space="preserve"> million of net new rent from existing assets.</w:t>
      </w:r>
      <w:r w:rsidRPr="006F69A2">
        <w:t xml:space="preserve"> We generated £26 million of headline rent from new leases on existing assets (2020: £16 million) and £9 million from rent reviews, lease renewals and indexation (2020: £13 million). This was offset by rent from space returned of £2</w:t>
      </w:r>
      <w:r w:rsidR="00D75442">
        <w:t>0</w:t>
      </w:r>
      <w:r w:rsidRPr="006F69A2">
        <w:t xml:space="preserve"> million (2020: £1</w:t>
      </w:r>
      <w:r w:rsidR="00D75442">
        <w:t>3</w:t>
      </w:r>
      <w:r w:rsidRPr="006F69A2">
        <w:t xml:space="preserve"> million)</w:t>
      </w:r>
      <w:r w:rsidR="00D75442">
        <w:t xml:space="preserve"> including £2 million of rent lost due to insolvency (2020: £2 million)</w:t>
      </w:r>
      <w:r w:rsidR="00497403">
        <w:t>.</w:t>
      </w:r>
    </w:p>
    <w:p w14:paraId="088A30CF" w14:textId="718428F4" w:rsidR="006F69A2" w:rsidRDefault="006F69A2" w:rsidP="006F69A2">
      <w:pPr>
        <w:pStyle w:val="Normal1"/>
        <w:numPr>
          <w:ilvl w:val="0"/>
          <w:numId w:val="33"/>
        </w:numPr>
      </w:pPr>
      <w:r w:rsidRPr="006F69A2">
        <w:rPr>
          <w:b/>
          <w:bCs/>
        </w:rPr>
        <w:t>Rental growth from lease reviews and renewals.</w:t>
      </w:r>
      <w:r>
        <w:t xml:space="preserve"> These generated an uplift of 13.0 per cent (2020: 19.1 per cent) for the portfolio as a whole compared to previous headline rent. During the year, new rents agreed at review and renewal were 18.7 per cent higher in the UK (2020: 28.2 per cent) as reversion accumulated over the past five years was reflected in new rents agreed, adding £5 million of headline rent. The 2020 comparator included the peppercorn lease re-gears at Heathrow which are now all complete. In Continental Europe, rents agreed on renewal were 1.5 per cent higher (2020: 0.5 per cent higher), strengthening once again as market rental growth continues to outpace the indexation provisions that have accumulated over recent years. </w:t>
      </w:r>
    </w:p>
    <w:p w14:paraId="79A41844" w14:textId="600E0872" w:rsidR="006F69A2" w:rsidRDefault="006F69A2" w:rsidP="006F69A2">
      <w:pPr>
        <w:pStyle w:val="Normal1"/>
        <w:numPr>
          <w:ilvl w:val="0"/>
          <w:numId w:val="33"/>
        </w:numPr>
      </w:pPr>
      <w:r w:rsidRPr="006F69A2">
        <w:rPr>
          <w:b/>
          <w:bCs/>
        </w:rPr>
        <w:t>Continued strong demand from customers for pre-let agreements</w:t>
      </w:r>
      <w:r>
        <w:t>. In addition to increased rents from existing assets, we contracted a record £49 million of headline rent from pre-let agreements and lettings of speculative developments prior to completion (2020: £41 million). Included within this is a large data centre redevelopment on the Slough Trading Estate, two units on some of the last remaining plots at SEGRO Logistics Park East Midlands Gateway</w:t>
      </w:r>
      <w:r w:rsidR="003C6ED9">
        <w:t xml:space="preserve"> (SLP-EMG)</w:t>
      </w:r>
      <w:r>
        <w:t xml:space="preserve">, our first development at the recently announced SmartParc in </w:t>
      </w:r>
      <w:r w:rsidR="003C6ED9">
        <w:t>Derby</w:t>
      </w:r>
      <w:r>
        <w:t xml:space="preserve">, projects for a leading global online retailer in the UK, Italy and Spain as well as big box space for retailers, third party logistics providers and manufacturers across Continental Europe. </w:t>
      </w:r>
    </w:p>
    <w:p w14:paraId="7C6A923F" w14:textId="1566E3FE" w:rsidR="006F69A2" w:rsidRDefault="006F69A2" w:rsidP="006F69A2">
      <w:pPr>
        <w:pStyle w:val="Normal1"/>
        <w:numPr>
          <w:ilvl w:val="0"/>
          <w:numId w:val="33"/>
        </w:numPr>
      </w:pPr>
      <w:r w:rsidRPr="006F69A2">
        <w:rPr>
          <w:b/>
          <w:bCs/>
        </w:rPr>
        <w:t>Rent roll growth increased to £72 million</w:t>
      </w:r>
      <w:r>
        <w:t>. An important element of achieving our goal of being a leading income-focused REIT is to grow our rent roll, primarily through increasing rent from our existing assets and then from generating new rent through development. Rent roll growth, which reflects net new headline rent from existing space (adjusted for take-backs of space for development), take-up of developments and pre-lets agreed during the period, increased to £72 million in 202</w:t>
      </w:r>
      <w:r w:rsidR="00367570">
        <w:t>1</w:t>
      </w:r>
      <w:r w:rsidR="003C6ED9">
        <w:t>,</w:t>
      </w:r>
      <w:r>
        <w:t xml:space="preserve"> from £60 million in 20</w:t>
      </w:r>
      <w:r w:rsidR="00367570">
        <w:t>20</w:t>
      </w:r>
      <w:r>
        <w:t>.</w:t>
      </w:r>
    </w:p>
    <w:p w14:paraId="7064C1DD" w14:textId="646E3830" w:rsidR="00497403" w:rsidRDefault="00497403">
      <w:pPr>
        <w:spacing w:after="0" w:line="240" w:lineRule="auto"/>
      </w:pPr>
      <w:r>
        <w:br w:type="page"/>
      </w:r>
    </w:p>
    <w:p w14:paraId="717837B2" w14:textId="77777777" w:rsidR="00497403" w:rsidRPr="004E6B4F" w:rsidRDefault="00497403" w:rsidP="00497403">
      <w:pPr>
        <w:pStyle w:val="Normal1"/>
        <w:rPr>
          <w:u w:val="single"/>
          <w:vertAlign w:val="superscript"/>
        </w:rPr>
      </w:pPr>
      <w:r w:rsidRPr="004E6B4F">
        <w:rPr>
          <w:u w:val="single"/>
        </w:rPr>
        <w:lastRenderedPageBreak/>
        <w:t>Summary of key leasing data for 2021</w:t>
      </w:r>
    </w:p>
    <w:tbl>
      <w:tblPr>
        <w:tblW w:w="10599" w:type="dxa"/>
        <w:tblLayout w:type="fixed"/>
        <w:tblLook w:val="01E0" w:firstRow="1" w:lastRow="1" w:firstColumn="1" w:lastColumn="1" w:noHBand="0" w:noVBand="0"/>
      </w:tblPr>
      <w:tblGrid>
        <w:gridCol w:w="7905"/>
        <w:gridCol w:w="567"/>
        <w:gridCol w:w="1063"/>
        <w:gridCol w:w="1064"/>
      </w:tblGrid>
      <w:tr w:rsidR="00497403" w:rsidRPr="00E35BE4" w14:paraId="03C7A824" w14:textId="77777777" w:rsidTr="009B38A8">
        <w:trPr>
          <w:trHeight w:val="261"/>
        </w:trPr>
        <w:tc>
          <w:tcPr>
            <w:tcW w:w="7905" w:type="dxa"/>
            <w:tcBorders>
              <w:bottom w:val="single" w:sz="4" w:space="0" w:color="auto"/>
            </w:tcBorders>
            <w:shd w:val="clear" w:color="auto" w:fill="auto"/>
          </w:tcPr>
          <w:p w14:paraId="2BFDAE29" w14:textId="77777777" w:rsidR="00497403" w:rsidRPr="004E6B4F" w:rsidRDefault="00497403" w:rsidP="009B38A8">
            <w:pPr>
              <w:pStyle w:val="TabletextBold"/>
            </w:pPr>
            <w:r w:rsidRPr="004E6B4F">
              <w:br w:type="page"/>
              <w:t>Summary of key leasing data</w:t>
            </w:r>
            <w:r w:rsidRPr="004E6B4F">
              <w:rPr>
                <w:vertAlign w:val="superscript"/>
              </w:rPr>
              <w:t>1</w:t>
            </w:r>
            <w:r w:rsidRPr="004E6B4F">
              <w:t xml:space="preserve"> for the year to 31 December</w:t>
            </w:r>
            <w:r w:rsidRPr="004E6B4F">
              <w:rPr>
                <w:vertAlign w:val="superscript"/>
              </w:rPr>
              <w:t xml:space="preserve"> </w:t>
            </w:r>
          </w:p>
        </w:tc>
        <w:tc>
          <w:tcPr>
            <w:tcW w:w="567" w:type="dxa"/>
            <w:tcBorders>
              <w:bottom w:val="single" w:sz="4" w:space="0" w:color="auto"/>
            </w:tcBorders>
            <w:shd w:val="clear" w:color="auto" w:fill="auto"/>
          </w:tcPr>
          <w:p w14:paraId="3E0F3688" w14:textId="77777777" w:rsidR="00497403" w:rsidRPr="004E6B4F" w:rsidRDefault="00497403" w:rsidP="009B38A8">
            <w:pPr>
              <w:pStyle w:val="TableColHeadsBold0"/>
            </w:pPr>
          </w:p>
        </w:tc>
        <w:tc>
          <w:tcPr>
            <w:tcW w:w="1063" w:type="dxa"/>
            <w:tcBorders>
              <w:bottom w:val="single" w:sz="4" w:space="0" w:color="auto"/>
            </w:tcBorders>
            <w:shd w:val="clear" w:color="auto" w:fill="auto"/>
          </w:tcPr>
          <w:p w14:paraId="68ABDEDD" w14:textId="77777777" w:rsidR="00497403" w:rsidRPr="004E6B4F" w:rsidRDefault="00497403" w:rsidP="009B38A8">
            <w:pPr>
              <w:pStyle w:val="TableColHeadsBold0"/>
            </w:pPr>
            <w:r w:rsidRPr="004E6B4F">
              <w:t>2021</w:t>
            </w:r>
          </w:p>
        </w:tc>
        <w:tc>
          <w:tcPr>
            <w:tcW w:w="1064" w:type="dxa"/>
            <w:tcBorders>
              <w:bottom w:val="single" w:sz="4" w:space="0" w:color="auto"/>
            </w:tcBorders>
          </w:tcPr>
          <w:p w14:paraId="2491ADDC" w14:textId="77777777" w:rsidR="00497403" w:rsidRPr="004E6B4F" w:rsidRDefault="00497403" w:rsidP="009B38A8">
            <w:pPr>
              <w:pStyle w:val="TableColHeadsBold0"/>
              <w:rPr>
                <w:b w:val="0"/>
                <w:bCs w:val="0"/>
              </w:rPr>
            </w:pPr>
            <w:r w:rsidRPr="004E6B4F">
              <w:rPr>
                <w:b w:val="0"/>
                <w:bCs w:val="0"/>
              </w:rPr>
              <w:t>2020</w:t>
            </w:r>
          </w:p>
        </w:tc>
      </w:tr>
      <w:tr w:rsidR="00497403" w:rsidRPr="00E35BE4" w14:paraId="2C2B19CF" w14:textId="77777777" w:rsidTr="009B38A8">
        <w:trPr>
          <w:trHeight w:val="261"/>
        </w:trPr>
        <w:tc>
          <w:tcPr>
            <w:tcW w:w="7905" w:type="dxa"/>
            <w:tcBorders>
              <w:top w:val="single" w:sz="4" w:space="0" w:color="auto"/>
            </w:tcBorders>
            <w:shd w:val="clear" w:color="auto" w:fill="auto"/>
          </w:tcPr>
          <w:p w14:paraId="1D8A310A" w14:textId="77777777" w:rsidR="00497403" w:rsidRPr="004E6B4F" w:rsidRDefault="00497403" w:rsidP="009B38A8">
            <w:pPr>
              <w:pStyle w:val="Tabletext"/>
            </w:pPr>
            <w:r w:rsidRPr="004E6B4F">
              <w:t>Take-up of existing space</w:t>
            </w:r>
            <w:r w:rsidRPr="004E6B4F">
              <w:rPr>
                <w:vertAlign w:val="superscript"/>
              </w:rPr>
              <w:t>2</w:t>
            </w:r>
            <w:r w:rsidRPr="004E6B4F">
              <w:t xml:space="preserve"> (A)</w:t>
            </w:r>
          </w:p>
        </w:tc>
        <w:tc>
          <w:tcPr>
            <w:tcW w:w="567" w:type="dxa"/>
            <w:tcBorders>
              <w:top w:val="single" w:sz="4" w:space="0" w:color="auto"/>
            </w:tcBorders>
            <w:shd w:val="clear" w:color="auto" w:fill="auto"/>
          </w:tcPr>
          <w:p w14:paraId="59881CCE" w14:textId="77777777" w:rsidR="00497403" w:rsidRPr="004E6B4F" w:rsidRDefault="00497403" w:rsidP="009B38A8">
            <w:pPr>
              <w:pStyle w:val="Tabletext"/>
              <w:rPr>
                <w:vertAlign w:val="superscript"/>
              </w:rPr>
            </w:pPr>
            <w:r w:rsidRPr="004E6B4F">
              <w:t>£m</w:t>
            </w:r>
          </w:p>
        </w:tc>
        <w:tc>
          <w:tcPr>
            <w:tcW w:w="1063" w:type="dxa"/>
            <w:tcBorders>
              <w:top w:val="single" w:sz="4" w:space="0" w:color="auto"/>
            </w:tcBorders>
            <w:shd w:val="clear" w:color="auto" w:fill="auto"/>
          </w:tcPr>
          <w:p w14:paraId="55C5F250" w14:textId="77777777" w:rsidR="00497403" w:rsidRPr="004E6B4F" w:rsidRDefault="00497403" w:rsidP="009B38A8">
            <w:pPr>
              <w:pStyle w:val="TableFigures"/>
              <w:rPr>
                <w:b/>
                <w:bCs/>
              </w:rPr>
            </w:pPr>
            <w:r w:rsidRPr="004E6B4F">
              <w:rPr>
                <w:b/>
                <w:bCs/>
              </w:rPr>
              <w:t>26</w:t>
            </w:r>
          </w:p>
        </w:tc>
        <w:tc>
          <w:tcPr>
            <w:tcW w:w="1064" w:type="dxa"/>
            <w:tcBorders>
              <w:top w:val="single" w:sz="4" w:space="0" w:color="auto"/>
            </w:tcBorders>
          </w:tcPr>
          <w:p w14:paraId="25EDBAFC" w14:textId="77777777" w:rsidR="00497403" w:rsidRPr="004E6B4F" w:rsidRDefault="00497403" w:rsidP="009B38A8">
            <w:pPr>
              <w:pStyle w:val="TableFigures"/>
            </w:pPr>
            <w:r w:rsidRPr="004E6B4F">
              <w:t>16</w:t>
            </w:r>
          </w:p>
        </w:tc>
      </w:tr>
      <w:tr w:rsidR="00497403" w:rsidRPr="00E35BE4" w14:paraId="5D6242AD" w14:textId="77777777" w:rsidTr="009B38A8">
        <w:trPr>
          <w:trHeight w:val="261"/>
        </w:trPr>
        <w:tc>
          <w:tcPr>
            <w:tcW w:w="7905" w:type="dxa"/>
            <w:shd w:val="clear" w:color="auto" w:fill="auto"/>
          </w:tcPr>
          <w:p w14:paraId="0C89DFE3" w14:textId="77777777" w:rsidR="00497403" w:rsidRPr="004E6B4F" w:rsidRDefault="00497403" w:rsidP="009B38A8">
            <w:pPr>
              <w:pStyle w:val="Tabletext"/>
            </w:pPr>
            <w:r w:rsidRPr="004E6B4F">
              <w:t>Space returned</w:t>
            </w:r>
            <w:r w:rsidRPr="004E6B4F">
              <w:rPr>
                <w:vertAlign w:val="superscript"/>
              </w:rPr>
              <w:t>3</w:t>
            </w:r>
            <w:r w:rsidRPr="004E6B4F">
              <w:t xml:space="preserve"> (B)</w:t>
            </w:r>
          </w:p>
        </w:tc>
        <w:tc>
          <w:tcPr>
            <w:tcW w:w="567" w:type="dxa"/>
            <w:shd w:val="clear" w:color="auto" w:fill="auto"/>
          </w:tcPr>
          <w:p w14:paraId="205EB818" w14:textId="77777777" w:rsidR="00497403" w:rsidRPr="004E6B4F" w:rsidRDefault="00497403" w:rsidP="009B38A8">
            <w:pPr>
              <w:pStyle w:val="Tabletext"/>
            </w:pPr>
            <w:r w:rsidRPr="004E6B4F">
              <w:t>£m</w:t>
            </w:r>
          </w:p>
        </w:tc>
        <w:tc>
          <w:tcPr>
            <w:tcW w:w="1063" w:type="dxa"/>
            <w:shd w:val="clear" w:color="auto" w:fill="auto"/>
          </w:tcPr>
          <w:p w14:paraId="6CC94622" w14:textId="77777777" w:rsidR="00497403" w:rsidRPr="004E6B4F" w:rsidRDefault="00497403" w:rsidP="009B38A8">
            <w:pPr>
              <w:pStyle w:val="TableFiguresBracketsBold"/>
            </w:pPr>
            <w:r w:rsidRPr="004E6B4F">
              <w:t>(20)</w:t>
            </w:r>
          </w:p>
        </w:tc>
        <w:tc>
          <w:tcPr>
            <w:tcW w:w="1064" w:type="dxa"/>
          </w:tcPr>
          <w:p w14:paraId="00948941" w14:textId="77777777" w:rsidR="00497403" w:rsidRPr="004E6B4F" w:rsidRDefault="00497403" w:rsidP="009B38A8">
            <w:pPr>
              <w:pStyle w:val="TableFiguresBrackets"/>
            </w:pPr>
            <w:r w:rsidRPr="004E6B4F">
              <w:t>(13)</w:t>
            </w:r>
          </w:p>
        </w:tc>
      </w:tr>
      <w:tr w:rsidR="00497403" w:rsidRPr="00E35BE4" w14:paraId="075AC39B" w14:textId="77777777" w:rsidTr="009B38A8">
        <w:trPr>
          <w:trHeight w:val="409"/>
        </w:trPr>
        <w:tc>
          <w:tcPr>
            <w:tcW w:w="7905" w:type="dxa"/>
            <w:shd w:val="clear" w:color="auto" w:fill="auto"/>
          </w:tcPr>
          <w:p w14:paraId="1DA4CC4E" w14:textId="77777777" w:rsidR="00497403" w:rsidRPr="004E6B4F" w:rsidRDefault="00497403" w:rsidP="009B38A8">
            <w:pPr>
              <w:pStyle w:val="TabletextBold"/>
            </w:pPr>
            <w:r w:rsidRPr="004E6B4F">
              <w:t>NET ABSORPTION OF EXISTING SPACE</w:t>
            </w:r>
            <w:r w:rsidRPr="004E6B4F">
              <w:rPr>
                <w:vertAlign w:val="superscript"/>
              </w:rPr>
              <w:t>2</w:t>
            </w:r>
            <w:r w:rsidRPr="004E6B4F">
              <w:t xml:space="preserve"> (A-B)</w:t>
            </w:r>
          </w:p>
        </w:tc>
        <w:tc>
          <w:tcPr>
            <w:tcW w:w="567" w:type="dxa"/>
            <w:shd w:val="clear" w:color="auto" w:fill="auto"/>
          </w:tcPr>
          <w:p w14:paraId="563E8907" w14:textId="77777777" w:rsidR="00497403" w:rsidRPr="004E6B4F" w:rsidRDefault="00497403" w:rsidP="009B38A8">
            <w:pPr>
              <w:pStyle w:val="TabletextBold"/>
              <w:rPr>
                <w:b w:val="0"/>
              </w:rPr>
            </w:pPr>
            <w:r w:rsidRPr="004E6B4F">
              <w:rPr>
                <w:b w:val="0"/>
              </w:rPr>
              <w:t>£m</w:t>
            </w:r>
          </w:p>
        </w:tc>
        <w:tc>
          <w:tcPr>
            <w:tcW w:w="1063" w:type="dxa"/>
            <w:shd w:val="clear" w:color="auto" w:fill="auto"/>
          </w:tcPr>
          <w:p w14:paraId="381BB054" w14:textId="77777777" w:rsidR="00497403" w:rsidRPr="004E6B4F" w:rsidRDefault="00497403" w:rsidP="009B38A8">
            <w:pPr>
              <w:pStyle w:val="TableFiguresBold0"/>
            </w:pPr>
            <w:r w:rsidRPr="004E6B4F">
              <w:t>6</w:t>
            </w:r>
          </w:p>
        </w:tc>
        <w:tc>
          <w:tcPr>
            <w:tcW w:w="1064" w:type="dxa"/>
          </w:tcPr>
          <w:p w14:paraId="194857BE" w14:textId="77777777" w:rsidR="00497403" w:rsidRPr="004E6B4F" w:rsidRDefault="00497403" w:rsidP="009B38A8">
            <w:pPr>
              <w:pStyle w:val="TableFigures"/>
            </w:pPr>
            <w:r w:rsidRPr="004E6B4F">
              <w:t>3</w:t>
            </w:r>
          </w:p>
        </w:tc>
      </w:tr>
      <w:tr w:rsidR="00497403" w:rsidRPr="00E35BE4" w14:paraId="3B230F5F" w14:textId="77777777" w:rsidTr="009B38A8">
        <w:trPr>
          <w:trHeight w:val="261"/>
        </w:trPr>
        <w:tc>
          <w:tcPr>
            <w:tcW w:w="7905" w:type="dxa"/>
            <w:shd w:val="clear" w:color="auto" w:fill="auto"/>
          </w:tcPr>
          <w:p w14:paraId="400ED1E6" w14:textId="77777777" w:rsidR="00497403" w:rsidRPr="004E6B4F" w:rsidRDefault="00497403" w:rsidP="009B38A8">
            <w:pPr>
              <w:pStyle w:val="Tabletext"/>
            </w:pPr>
            <w:r w:rsidRPr="004E6B4F">
              <w:t>Other rental movements (rent reviews, renewals, indexation)</w:t>
            </w:r>
            <w:r w:rsidRPr="004E6B4F">
              <w:rPr>
                <w:vertAlign w:val="superscript"/>
              </w:rPr>
              <w:t>2</w:t>
            </w:r>
            <w:r w:rsidRPr="004E6B4F">
              <w:t xml:space="preserve"> (C)</w:t>
            </w:r>
          </w:p>
        </w:tc>
        <w:tc>
          <w:tcPr>
            <w:tcW w:w="567" w:type="dxa"/>
            <w:shd w:val="clear" w:color="auto" w:fill="auto"/>
          </w:tcPr>
          <w:p w14:paraId="13972E10" w14:textId="77777777" w:rsidR="00497403" w:rsidRPr="004E6B4F" w:rsidRDefault="00497403" w:rsidP="009B38A8">
            <w:pPr>
              <w:pStyle w:val="Tabletext"/>
            </w:pPr>
            <w:r w:rsidRPr="004E6B4F">
              <w:t>£m</w:t>
            </w:r>
          </w:p>
        </w:tc>
        <w:tc>
          <w:tcPr>
            <w:tcW w:w="1063" w:type="dxa"/>
            <w:shd w:val="clear" w:color="auto" w:fill="auto"/>
          </w:tcPr>
          <w:p w14:paraId="29CED68F" w14:textId="77777777" w:rsidR="00497403" w:rsidRPr="004E6B4F" w:rsidRDefault="00497403" w:rsidP="009B38A8">
            <w:pPr>
              <w:pStyle w:val="TableFigures"/>
              <w:rPr>
                <w:b/>
              </w:rPr>
            </w:pPr>
            <w:r w:rsidRPr="004E6B4F">
              <w:rPr>
                <w:b/>
              </w:rPr>
              <w:t>9</w:t>
            </w:r>
          </w:p>
        </w:tc>
        <w:tc>
          <w:tcPr>
            <w:tcW w:w="1064" w:type="dxa"/>
          </w:tcPr>
          <w:p w14:paraId="7F09EF02" w14:textId="77777777" w:rsidR="00497403" w:rsidRPr="004E6B4F" w:rsidRDefault="00497403" w:rsidP="009B38A8">
            <w:pPr>
              <w:pStyle w:val="TableFigures"/>
            </w:pPr>
            <w:r w:rsidRPr="004E6B4F">
              <w:t>13</w:t>
            </w:r>
          </w:p>
        </w:tc>
      </w:tr>
      <w:tr w:rsidR="00497403" w:rsidRPr="00E35BE4" w14:paraId="171418B4" w14:textId="77777777" w:rsidTr="009B38A8">
        <w:trPr>
          <w:trHeight w:val="304"/>
        </w:trPr>
        <w:tc>
          <w:tcPr>
            <w:tcW w:w="7905" w:type="dxa"/>
            <w:shd w:val="clear" w:color="auto" w:fill="auto"/>
          </w:tcPr>
          <w:p w14:paraId="4B117BDD" w14:textId="77777777" w:rsidR="00497403" w:rsidRPr="004E6B4F" w:rsidRDefault="00497403" w:rsidP="009B38A8">
            <w:pPr>
              <w:pStyle w:val="TabletextBold"/>
            </w:pPr>
            <w:r w:rsidRPr="004E6B4F">
              <w:t>RENT ROLL GROWTH FROM EXISTING SPACE</w:t>
            </w:r>
          </w:p>
        </w:tc>
        <w:tc>
          <w:tcPr>
            <w:tcW w:w="567" w:type="dxa"/>
            <w:shd w:val="clear" w:color="auto" w:fill="auto"/>
          </w:tcPr>
          <w:p w14:paraId="78C9AAA5" w14:textId="77777777" w:rsidR="00497403" w:rsidRPr="004E6B4F" w:rsidRDefault="00497403" w:rsidP="009B38A8">
            <w:pPr>
              <w:pStyle w:val="TabletextBold"/>
              <w:rPr>
                <w:b w:val="0"/>
              </w:rPr>
            </w:pPr>
            <w:r w:rsidRPr="004E6B4F">
              <w:rPr>
                <w:b w:val="0"/>
              </w:rPr>
              <w:t>£m</w:t>
            </w:r>
          </w:p>
        </w:tc>
        <w:tc>
          <w:tcPr>
            <w:tcW w:w="1063" w:type="dxa"/>
            <w:shd w:val="clear" w:color="auto" w:fill="auto"/>
          </w:tcPr>
          <w:p w14:paraId="6BA46237" w14:textId="77777777" w:rsidR="00497403" w:rsidRPr="004E6B4F" w:rsidRDefault="00497403" w:rsidP="009B38A8">
            <w:pPr>
              <w:pStyle w:val="TableFiguresBold0"/>
            </w:pPr>
            <w:r w:rsidRPr="004E6B4F">
              <w:t>15</w:t>
            </w:r>
          </w:p>
        </w:tc>
        <w:tc>
          <w:tcPr>
            <w:tcW w:w="1064" w:type="dxa"/>
          </w:tcPr>
          <w:p w14:paraId="1C58D5F0" w14:textId="77777777" w:rsidR="00497403" w:rsidRPr="004E6B4F" w:rsidRDefault="00497403" w:rsidP="009B38A8">
            <w:pPr>
              <w:pStyle w:val="TableFigures"/>
              <w:rPr>
                <w:b/>
                <w:bCs/>
              </w:rPr>
            </w:pPr>
            <w:r w:rsidRPr="004E6B4F">
              <w:t>16</w:t>
            </w:r>
          </w:p>
        </w:tc>
      </w:tr>
      <w:tr w:rsidR="00497403" w:rsidRPr="00E35BE4" w14:paraId="2ECF7D00" w14:textId="77777777" w:rsidTr="009B38A8">
        <w:trPr>
          <w:trHeight w:val="261"/>
        </w:trPr>
        <w:tc>
          <w:tcPr>
            <w:tcW w:w="7905" w:type="dxa"/>
            <w:shd w:val="clear" w:color="auto" w:fill="auto"/>
          </w:tcPr>
          <w:p w14:paraId="790473EC" w14:textId="77777777" w:rsidR="00497403" w:rsidRPr="004E6B4F" w:rsidRDefault="00497403" w:rsidP="009B38A8">
            <w:pPr>
              <w:pStyle w:val="Tabletext"/>
            </w:pPr>
            <w:r w:rsidRPr="004E6B4F">
              <w:t>Take-up of pre-let developments completed in the year (signed in prior years)</w:t>
            </w:r>
            <w:r w:rsidRPr="004E6B4F">
              <w:rPr>
                <w:vertAlign w:val="superscript"/>
              </w:rPr>
              <w:t>2</w:t>
            </w:r>
            <w:r w:rsidRPr="004E6B4F">
              <w:t xml:space="preserve"> (D)</w:t>
            </w:r>
          </w:p>
        </w:tc>
        <w:tc>
          <w:tcPr>
            <w:tcW w:w="567" w:type="dxa"/>
            <w:shd w:val="clear" w:color="auto" w:fill="auto"/>
          </w:tcPr>
          <w:p w14:paraId="3AE03054" w14:textId="77777777" w:rsidR="00497403" w:rsidRPr="004E6B4F" w:rsidRDefault="00497403" w:rsidP="009B38A8">
            <w:pPr>
              <w:pStyle w:val="Tabletext"/>
            </w:pPr>
            <w:r w:rsidRPr="004E6B4F">
              <w:t>£m</w:t>
            </w:r>
          </w:p>
        </w:tc>
        <w:tc>
          <w:tcPr>
            <w:tcW w:w="1063" w:type="dxa"/>
            <w:shd w:val="clear" w:color="auto" w:fill="auto"/>
          </w:tcPr>
          <w:p w14:paraId="45AAC947" w14:textId="77777777" w:rsidR="00497403" w:rsidRPr="004E6B4F" w:rsidRDefault="00497403" w:rsidP="009B38A8">
            <w:pPr>
              <w:pStyle w:val="TableFigures"/>
              <w:rPr>
                <w:b/>
              </w:rPr>
            </w:pPr>
            <w:r w:rsidRPr="004E6B4F">
              <w:rPr>
                <w:b/>
              </w:rPr>
              <w:t>43</w:t>
            </w:r>
          </w:p>
        </w:tc>
        <w:tc>
          <w:tcPr>
            <w:tcW w:w="1064" w:type="dxa"/>
          </w:tcPr>
          <w:p w14:paraId="43F87C90" w14:textId="77777777" w:rsidR="00497403" w:rsidRPr="004E6B4F" w:rsidRDefault="00497403" w:rsidP="009B38A8">
            <w:pPr>
              <w:pStyle w:val="TableFigures"/>
            </w:pPr>
            <w:r w:rsidRPr="004E6B4F">
              <w:t>33</w:t>
            </w:r>
          </w:p>
        </w:tc>
      </w:tr>
      <w:tr w:rsidR="00497403" w:rsidRPr="00E35BE4" w14:paraId="3DD49D8E" w14:textId="77777777" w:rsidTr="009B38A8">
        <w:trPr>
          <w:trHeight w:val="261"/>
        </w:trPr>
        <w:tc>
          <w:tcPr>
            <w:tcW w:w="7905" w:type="dxa"/>
            <w:shd w:val="clear" w:color="auto" w:fill="auto"/>
          </w:tcPr>
          <w:p w14:paraId="68FB36EC" w14:textId="77777777" w:rsidR="00497403" w:rsidRPr="004E6B4F" w:rsidRDefault="00497403" w:rsidP="009B38A8">
            <w:pPr>
              <w:pStyle w:val="Tabletext"/>
            </w:pPr>
            <w:r w:rsidRPr="004E6B4F">
              <w:t>Take-up of speculative developments completed in the past two years</w:t>
            </w:r>
            <w:r w:rsidRPr="004E6B4F">
              <w:rPr>
                <w:vertAlign w:val="superscript"/>
              </w:rPr>
              <w:t>2</w:t>
            </w:r>
            <w:r w:rsidRPr="004E6B4F">
              <w:t xml:space="preserve"> (D)</w:t>
            </w:r>
          </w:p>
        </w:tc>
        <w:tc>
          <w:tcPr>
            <w:tcW w:w="567" w:type="dxa"/>
            <w:shd w:val="clear" w:color="auto" w:fill="auto"/>
          </w:tcPr>
          <w:p w14:paraId="0876F858" w14:textId="77777777" w:rsidR="00497403" w:rsidRPr="004E6B4F" w:rsidRDefault="00497403" w:rsidP="009B38A8">
            <w:pPr>
              <w:pStyle w:val="Tabletext"/>
            </w:pPr>
            <w:r w:rsidRPr="004E6B4F">
              <w:t>£m</w:t>
            </w:r>
          </w:p>
        </w:tc>
        <w:tc>
          <w:tcPr>
            <w:tcW w:w="1063" w:type="dxa"/>
            <w:shd w:val="clear" w:color="auto" w:fill="auto"/>
          </w:tcPr>
          <w:p w14:paraId="5721FE11" w14:textId="77777777" w:rsidR="00497403" w:rsidRPr="004E6B4F" w:rsidRDefault="00497403" w:rsidP="009B38A8">
            <w:pPr>
              <w:pStyle w:val="TableFigures"/>
              <w:rPr>
                <w:b/>
              </w:rPr>
            </w:pPr>
            <w:r w:rsidRPr="004E6B4F">
              <w:rPr>
                <w:b/>
              </w:rPr>
              <w:t>15</w:t>
            </w:r>
          </w:p>
        </w:tc>
        <w:tc>
          <w:tcPr>
            <w:tcW w:w="1064" w:type="dxa"/>
          </w:tcPr>
          <w:p w14:paraId="4E1CB18F" w14:textId="77777777" w:rsidR="00497403" w:rsidRPr="004E6B4F" w:rsidRDefault="00497403" w:rsidP="009B38A8">
            <w:pPr>
              <w:pStyle w:val="TableFigures"/>
            </w:pPr>
            <w:r w:rsidRPr="004E6B4F">
              <w:t>10</w:t>
            </w:r>
          </w:p>
        </w:tc>
      </w:tr>
      <w:tr w:rsidR="00497403" w:rsidRPr="00E35BE4" w14:paraId="3A76A011" w14:textId="77777777" w:rsidTr="009B38A8">
        <w:trPr>
          <w:trHeight w:val="330"/>
        </w:trPr>
        <w:tc>
          <w:tcPr>
            <w:tcW w:w="7905" w:type="dxa"/>
            <w:shd w:val="clear" w:color="auto" w:fill="auto"/>
          </w:tcPr>
          <w:p w14:paraId="20AD2BED" w14:textId="77777777" w:rsidR="00497403" w:rsidRPr="004E6B4F" w:rsidRDefault="00497403" w:rsidP="009B38A8">
            <w:pPr>
              <w:pStyle w:val="TabletextBold"/>
            </w:pPr>
            <w:r w:rsidRPr="004E6B4F">
              <w:t>TOTAL TAKE-UP</w:t>
            </w:r>
            <w:r w:rsidRPr="004E6B4F">
              <w:rPr>
                <w:vertAlign w:val="superscript"/>
              </w:rPr>
              <w:t>2</w:t>
            </w:r>
            <w:r w:rsidRPr="004E6B4F">
              <w:t xml:space="preserve"> (A+C+D)</w:t>
            </w:r>
          </w:p>
        </w:tc>
        <w:tc>
          <w:tcPr>
            <w:tcW w:w="567" w:type="dxa"/>
            <w:shd w:val="clear" w:color="auto" w:fill="auto"/>
          </w:tcPr>
          <w:p w14:paraId="2E7AE6AF" w14:textId="77777777" w:rsidR="00497403" w:rsidRPr="004E6B4F" w:rsidRDefault="00497403" w:rsidP="009B38A8">
            <w:pPr>
              <w:pStyle w:val="TabletextBold"/>
              <w:rPr>
                <w:b w:val="0"/>
              </w:rPr>
            </w:pPr>
            <w:r w:rsidRPr="004E6B4F">
              <w:rPr>
                <w:b w:val="0"/>
              </w:rPr>
              <w:t>£m</w:t>
            </w:r>
          </w:p>
        </w:tc>
        <w:tc>
          <w:tcPr>
            <w:tcW w:w="1063" w:type="dxa"/>
            <w:shd w:val="clear" w:color="auto" w:fill="auto"/>
          </w:tcPr>
          <w:p w14:paraId="3BF09B45" w14:textId="77777777" w:rsidR="00497403" w:rsidRPr="004E6B4F" w:rsidRDefault="00497403" w:rsidP="009B38A8">
            <w:pPr>
              <w:pStyle w:val="TableFiguresBold0"/>
            </w:pPr>
            <w:r w:rsidRPr="004E6B4F">
              <w:t>93</w:t>
            </w:r>
          </w:p>
        </w:tc>
        <w:tc>
          <w:tcPr>
            <w:tcW w:w="1064" w:type="dxa"/>
          </w:tcPr>
          <w:p w14:paraId="18817BC9" w14:textId="77777777" w:rsidR="00497403" w:rsidRPr="004E6B4F" w:rsidRDefault="00497403" w:rsidP="009B38A8">
            <w:pPr>
              <w:pStyle w:val="TableFigures"/>
              <w:rPr>
                <w:b/>
                <w:bCs/>
              </w:rPr>
            </w:pPr>
            <w:r w:rsidRPr="004E6B4F">
              <w:t>72</w:t>
            </w:r>
          </w:p>
        </w:tc>
      </w:tr>
      <w:tr w:rsidR="00497403" w:rsidRPr="00E35BE4" w14:paraId="18BE274D" w14:textId="77777777" w:rsidTr="009B38A8">
        <w:trPr>
          <w:trHeight w:val="261"/>
        </w:trPr>
        <w:tc>
          <w:tcPr>
            <w:tcW w:w="7905" w:type="dxa"/>
            <w:shd w:val="clear" w:color="auto" w:fill="auto"/>
          </w:tcPr>
          <w:p w14:paraId="73E7820A" w14:textId="77777777" w:rsidR="00497403" w:rsidRPr="004E6B4F" w:rsidRDefault="00497403" w:rsidP="009B38A8">
            <w:pPr>
              <w:pStyle w:val="Tabletext"/>
            </w:pPr>
            <w:r w:rsidRPr="004E6B4F">
              <w:t>Less take-up of pre-lets and speculative lettings signed in prior years</w:t>
            </w:r>
            <w:r w:rsidRPr="004E6B4F">
              <w:rPr>
                <w:vertAlign w:val="superscript"/>
              </w:rPr>
              <w:t>2</w:t>
            </w:r>
          </w:p>
        </w:tc>
        <w:tc>
          <w:tcPr>
            <w:tcW w:w="567" w:type="dxa"/>
            <w:shd w:val="clear" w:color="auto" w:fill="auto"/>
          </w:tcPr>
          <w:p w14:paraId="1374BFFB" w14:textId="77777777" w:rsidR="00497403" w:rsidRPr="004E6B4F" w:rsidRDefault="00497403" w:rsidP="009B38A8">
            <w:pPr>
              <w:pStyle w:val="Tabletext"/>
            </w:pPr>
            <w:r w:rsidRPr="004E6B4F">
              <w:t>£m</w:t>
            </w:r>
          </w:p>
        </w:tc>
        <w:tc>
          <w:tcPr>
            <w:tcW w:w="1063" w:type="dxa"/>
            <w:shd w:val="clear" w:color="auto" w:fill="auto"/>
          </w:tcPr>
          <w:p w14:paraId="00F5CDE3" w14:textId="77777777" w:rsidR="00497403" w:rsidRPr="004E6B4F" w:rsidRDefault="00497403" w:rsidP="009B38A8">
            <w:pPr>
              <w:pStyle w:val="TableFiguresBracketsBold"/>
              <w:rPr>
                <w:b w:val="0"/>
              </w:rPr>
            </w:pPr>
            <w:r w:rsidRPr="004E6B4F">
              <w:t>(47)</w:t>
            </w:r>
          </w:p>
        </w:tc>
        <w:tc>
          <w:tcPr>
            <w:tcW w:w="1064" w:type="dxa"/>
          </w:tcPr>
          <w:p w14:paraId="70E83ECD" w14:textId="77777777" w:rsidR="00497403" w:rsidRPr="004E6B4F" w:rsidRDefault="00497403" w:rsidP="009B38A8">
            <w:pPr>
              <w:pStyle w:val="TableFiguresBrackets"/>
            </w:pPr>
            <w:r w:rsidRPr="004E6B4F">
              <w:t>(35)</w:t>
            </w:r>
          </w:p>
        </w:tc>
      </w:tr>
      <w:tr w:rsidR="00497403" w:rsidRPr="00E35BE4" w14:paraId="48DCC27F" w14:textId="77777777" w:rsidTr="009B38A8">
        <w:trPr>
          <w:trHeight w:val="261"/>
        </w:trPr>
        <w:tc>
          <w:tcPr>
            <w:tcW w:w="7905" w:type="dxa"/>
            <w:shd w:val="clear" w:color="auto" w:fill="auto"/>
          </w:tcPr>
          <w:p w14:paraId="51F6787B" w14:textId="77777777" w:rsidR="00497403" w:rsidRPr="004E6B4F" w:rsidRDefault="00497403" w:rsidP="009B38A8">
            <w:pPr>
              <w:pStyle w:val="Tabletext"/>
            </w:pPr>
            <w:r w:rsidRPr="004E6B4F">
              <w:t>Pre-lets signed in the year for future delivery</w:t>
            </w:r>
            <w:r w:rsidRPr="004E6B4F">
              <w:rPr>
                <w:vertAlign w:val="superscript"/>
              </w:rPr>
              <w:t>2</w:t>
            </w:r>
          </w:p>
        </w:tc>
        <w:tc>
          <w:tcPr>
            <w:tcW w:w="567" w:type="dxa"/>
            <w:shd w:val="clear" w:color="auto" w:fill="auto"/>
          </w:tcPr>
          <w:p w14:paraId="7778F9C5" w14:textId="77777777" w:rsidR="00497403" w:rsidRPr="004E6B4F" w:rsidRDefault="00497403" w:rsidP="009B38A8">
            <w:pPr>
              <w:pStyle w:val="Tabletext"/>
            </w:pPr>
            <w:r w:rsidRPr="004E6B4F">
              <w:t>£m</w:t>
            </w:r>
          </w:p>
        </w:tc>
        <w:tc>
          <w:tcPr>
            <w:tcW w:w="1063" w:type="dxa"/>
            <w:shd w:val="clear" w:color="auto" w:fill="auto"/>
          </w:tcPr>
          <w:p w14:paraId="7712FAC4" w14:textId="77777777" w:rsidR="00497403" w:rsidRPr="004E6B4F" w:rsidRDefault="00497403" w:rsidP="009B38A8">
            <w:pPr>
              <w:pStyle w:val="TableFigures"/>
              <w:rPr>
                <w:b/>
              </w:rPr>
            </w:pPr>
            <w:r w:rsidRPr="004E6B4F">
              <w:rPr>
                <w:b/>
              </w:rPr>
              <w:t>49</w:t>
            </w:r>
          </w:p>
        </w:tc>
        <w:tc>
          <w:tcPr>
            <w:tcW w:w="1064" w:type="dxa"/>
          </w:tcPr>
          <w:p w14:paraId="2E2B2951" w14:textId="77777777" w:rsidR="00497403" w:rsidRPr="004E6B4F" w:rsidRDefault="00497403" w:rsidP="009B38A8">
            <w:pPr>
              <w:pStyle w:val="TableFigures"/>
            </w:pPr>
            <w:r w:rsidRPr="004E6B4F">
              <w:t>41</w:t>
            </w:r>
          </w:p>
        </w:tc>
      </w:tr>
      <w:tr w:rsidR="00497403" w:rsidRPr="00E35BE4" w14:paraId="2CDC8DA1" w14:textId="77777777" w:rsidTr="009B38A8">
        <w:trPr>
          <w:trHeight w:val="328"/>
        </w:trPr>
        <w:tc>
          <w:tcPr>
            <w:tcW w:w="7905" w:type="dxa"/>
            <w:shd w:val="clear" w:color="auto" w:fill="auto"/>
          </w:tcPr>
          <w:p w14:paraId="581E5335" w14:textId="77777777" w:rsidR="00497403" w:rsidRPr="004E6B4F" w:rsidRDefault="00497403" w:rsidP="009B38A8">
            <w:pPr>
              <w:pStyle w:val="TabletextBold"/>
            </w:pPr>
            <w:r w:rsidRPr="004E6B4F">
              <w:t>RENTAL INCOME CONTRACTED IN THE YEAR</w:t>
            </w:r>
            <w:r w:rsidRPr="004E6B4F">
              <w:rPr>
                <w:vertAlign w:val="superscript"/>
              </w:rPr>
              <w:t>2</w:t>
            </w:r>
          </w:p>
        </w:tc>
        <w:tc>
          <w:tcPr>
            <w:tcW w:w="567" w:type="dxa"/>
            <w:shd w:val="clear" w:color="auto" w:fill="auto"/>
          </w:tcPr>
          <w:p w14:paraId="1E6B06A0" w14:textId="77777777" w:rsidR="00497403" w:rsidRPr="004E6B4F" w:rsidRDefault="00497403" w:rsidP="009B38A8">
            <w:pPr>
              <w:pStyle w:val="TabletextBold"/>
              <w:rPr>
                <w:b w:val="0"/>
              </w:rPr>
            </w:pPr>
            <w:r w:rsidRPr="004E6B4F">
              <w:rPr>
                <w:b w:val="0"/>
              </w:rPr>
              <w:t>£m</w:t>
            </w:r>
          </w:p>
        </w:tc>
        <w:tc>
          <w:tcPr>
            <w:tcW w:w="1063" w:type="dxa"/>
            <w:shd w:val="clear" w:color="auto" w:fill="auto"/>
          </w:tcPr>
          <w:p w14:paraId="0AE9F0F5" w14:textId="77777777" w:rsidR="00497403" w:rsidRPr="004E6B4F" w:rsidRDefault="00497403" w:rsidP="009B38A8">
            <w:pPr>
              <w:pStyle w:val="TableFigures"/>
              <w:rPr>
                <w:b/>
                <w:bCs/>
              </w:rPr>
            </w:pPr>
            <w:r w:rsidRPr="004E6B4F">
              <w:rPr>
                <w:b/>
                <w:bCs/>
              </w:rPr>
              <w:t>95</w:t>
            </w:r>
          </w:p>
        </w:tc>
        <w:tc>
          <w:tcPr>
            <w:tcW w:w="1064" w:type="dxa"/>
          </w:tcPr>
          <w:p w14:paraId="4BCDAFC2" w14:textId="77777777" w:rsidR="00497403" w:rsidRPr="004E6B4F" w:rsidRDefault="00497403" w:rsidP="009B38A8">
            <w:pPr>
              <w:pStyle w:val="TableFigures"/>
            </w:pPr>
            <w:r w:rsidRPr="004E6B4F">
              <w:t>78</w:t>
            </w:r>
          </w:p>
        </w:tc>
      </w:tr>
      <w:tr w:rsidR="00497403" w:rsidRPr="00E35BE4" w14:paraId="71573A1F" w14:textId="77777777" w:rsidTr="009B38A8">
        <w:trPr>
          <w:trHeight w:val="213"/>
        </w:trPr>
        <w:tc>
          <w:tcPr>
            <w:tcW w:w="7905" w:type="dxa"/>
            <w:shd w:val="clear" w:color="auto" w:fill="auto"/>
          </w:tcPr>
          <w:p w14:paraId="24321F66" w14:textId="77777777" w:rsidR="00497403" w:rsidRPr="004E6B4F" w:rsidRDefault="00497403" w:rsidP="009B38A8">
            <w:pPr>
              <w:pStyle w:val="Tabletext"/>
            </w:pPr>
            <w:r w:rsidRPr="004E6B4F">
              <w:t>Takeback of space for redevelopment</w:t>
            </w:r>
          </w:p>
        </w:tc>
        <w:tc>
          <w:tcPr>
            <w:tcW w:w="567" w:type="dxa"/>
            <w:shd w:val="clear" w:color="auto" w:fill="auto"/>
          </w:tcPr>
          <w:p w14:paraId="31EB5197" w14:textId="77777777" w:rsidR="00497403" w:rsidRPr="004E6B4F" w:rsidRDefault="00497403" w:rsidP="009B38A8">
            <w:pPr>
              <w:pStyle w:val="Tabletext"/>
            </w:pPr>
            <w:r w:rsidRPr="004E6B4F">
              <w:t>£m</w:t>
            </w:r>
          </w:p>
        </w:tc>
        <w:tc>
          <w:tcPr>
            <w:tcW w:w="1063" w:type="dxa"/>
            <w:shd w:val="clear" w:color="auto" w:fill="auto"/>
          </w:tcPr>
          <w:p w14:paraId="2BA5D6EA" w14:textId="77777777" w:rsidR="00497403" w:rsidRPr="004E6B4F" w:rsidRDefault="00497403" w:rsidP="009B38A8">
            <w:pPr>
              <w:pStyle w:val="TableFiguresBrackets"/>
              <w:rPr>
                <w:b/>
              </w:rPr>
            </w:pPr>
            <w:r w:rsidRPr="004E6B4F">
              <w:rPr>
                <w:b/>
              </w:rPr>
              <w:t>(3)</w:t>
            </w:r>
          </w:p>
        </w:tc>
        <w:tc>
          <w:tcPr>
            <w:tcW w:w="1064" w:type="dxa"/>
          </w:tcPr>
          <w:p w14:paraId="1432864F" w14:textId="77777777" w:rsidR="00497403" w:rsidRPr="004E6B4F" w:rsidRDefault="00497403" w:rsidP="009B38A8">
            <w:pPr>
              <w:pStyle w:val="TableFiguresBrackets"/>
            </w:pPr>
            <w:r w:rsidRPr="004E6B4F">
              <w:t>(4)</w:t>
            </w:r>
          </w:p>
        </w:tc>
      </w:tr>
      <w:tr w:rsidR="00497403" w:rsidRPr="00E35BE4" w14:paraId="4E54CE4E" w14:textId="77777777" w:rsidTr="009B38A8">
        <w:trPr>
          <w:trHeight w:val="213"/>
        </w:trPr>
        <w:tc>
          <w:tcPr>
            <w:tcW w:w="7905" w:type="dxa"/>
            <w:shd w:val="clear" w:color="auto" w:fill="auto"/>
          </w:tcPr>
          <w:p w14:paraId="3A5DA4A8" w14:textId="77777777" w:rsidR="00497403" w:rsidRPr="004E6B4F" w:rsidRDefault="00497403" w:rsidP="009B38A8">
            <w:pPr>
              <w:pStyle w:val="Tabletext"/>
            </w:pPr>
            <w:r w:rsidRPr="004E6B4F">
              <w:t>Known Takeback/letting from acquisition</w:t>
            </w:r>
          </w:p>
        </w:tc>
        <w:tc>
          <w:tcPr>
            <w:tcW w:w="567" w:type="dxa"/>
            <w:shd w:val="clear" w:color="auto" w:fill="auto"/>
          </w:tcPr>
          <w:p w14:paraId="3582A25D" w14:textId="77777777" w:rsidR="00497403" w:rsidRPr="004E6B4F" w:rsidRDefault="00497403" w:rsidP="009B38A8">
            <w:pPr>
              <w:pStyle w:val="Tabletext"/>
            </w:pPr>
            <w:r w:rsidRPr="004E6B4F">
              <w:t>£m</w:t>
            </w:r>
          </w:p>
        </w:tc>
        <w:tc>
          <w:tcPr>
            <w:tcW w:w="1063" w:type="dxa"/>
            <w:shd w:val="clear" w:color="auto" w:fill="auto"/>
          </w:tcPr>
          <w:p w14:paraId="6F9BA1C0" w14:textId="77777777" w:rsidR="00497403" w:rsidRPr="004E6B4F" w:rsidRDefault="00497403" w:rsidP="009B38A8">
            <w:pPr>
              <w:pStyle w:val="TableFiguresBold0"/>
              <w:rPr>
                <w:b w:val="0"/>
              </w:rPr>
            </w:pPr>
            <w:r w:rsidRPr="004E6B4F">
              <w:t>–</w:t>
            </w:r>
          </w:p>
        </w:tc>
        <w:tc>
          <w:tcPr>
            <w:tcW w:w="1064" w:type="dxa"/>
          </w:tcPr>
          <w:p w14:paraId="40992608" w14:textId="77777777" w:rsidR="00497403" w:rsidRPr="004E6B4F" w:rsidRDefault="00497403" w:rsidP="009B38A8">
            <w:pPr>
              <w:pStyle w:val="TableFiguresBrackets"/>
            </w:pPr>
            <w:r w:rsidRPr="004E6B4F">
              <w:t>(1)</w:t>
            </w:r>
          </w:p>
        </w:tc>
      </w:tr>
      <w:tr w:rsidR="00497403" w:rsidRPr="00E35BE4" w14:paraId="6D11595B" w14:textId="77777777" w:rsidTr="009B38A8">
        <w:trPr>
          <w:trHeight w:val="225"/>
        </w:trPr>
        <w:tc>
          <w:tcPr>
            <w:tcW w:w="7905" w:type="dxa"/>
            <w:tcBorders>
              <w:bottom w:val="single" w:sz="4" w:space="0" w:color="auto"/>
            </w:tcBorders>
            <w:shd w:val="clear" w:color="auto" w:fill="auto"/>
          </w:tcPr>
          <w:p w14:paraId="267B7887" w14:textId="77777777" w:rsidR="00497403" w:rsidRPr="004E6B4F" w:rsidRDefault="00497403" w:rsidP="009B38A8">
            <w:pPr>
              <w:pStyle w:val="Tabletext"/>
            </w:pPr>
            <w:r w:rsidRPr="004E6B4F">
              <w:t>Retention rate</w:t>
            </w:r>
            <w:r w:rsidRPr="004E6B4F">
              <w:rPr>
                <w:vertAlign w:val="superscript"/>
              </w:rPr>
              <w:t>4</w:t>
            </w:r>
          </w:p>
        </w:tc>
        <w:tc>
          <w:tcPr>
            <w:tcW w:w="567" w:type="dxa"/>
            <w:tcBorders>
              <w:bottom w:val="single" w:sz="4" w:space="0" w:color="auto"/>
            </w:tcBorders>
            <w:shd w:val="clear" w:color="auto" w:fill="auto"/>
          </w:tcPr>
          <w:p w14:paraId="69CBA5FD" w14:textId="77777777" w:rsidR="00497403" w:rsidRPr="004E6B4F" w:rsidRDefault="00497403" w:rsidP="009B38A8">
            <w:pPr>
              <w:pStyle w:val="Tabletext"/>
            </w:pPr>
            <w:r w:rsidRPr="004E6B4F">
              <w:t>%</w:t>
            </w:r>
          </w:p>
        </w:tc>
        <w:tc>
          <w:tcPr>
            <w:tcW w:w="1063" w:type="dxa"/>
            <w:tcBorders>
              <w:bottom w:val="single" w:sz="4" w:space="0" w:color="auto"/>
            </w:tcBorders>
            <w:shd w:val="clear" w:color="auto" w:fill="auto"/>
          </w:tcPr>
          <w:p w14:paraId="44ABB7AC" w14:textId="77777777" w:rsidR="00497403" w:rsidRPr="004E6B4F" w:rsidRDefault="00497403" w:rsidP="009B38A8">
            <w:pPr>
              <w:pStyle w:val="TableFigures"/>
              <w:rPr>
                <w:b/>
              </w:rPr>
            </w:pPr>
            <w:r w:rsidRPr="004E6B4F">
              <w:rPr>
                <w:b/>
              </w:rPr>
              <w:t>77</w:t>
            </w:r>
          </w:p>
        </w:tc>
        <w:tc>
          <w:tcPr>
            <w:tcW w:w="1064" w:type="dxa"/>
            <w:tcBorders>
              <w:bottom w:val="single" w:sz="4" w:space="0" w:color="auto"/>
            </w:tcBorders>
          </w:tcPr>
          <w:p w14:paraId="0AB21662" w14:textId="77777777" w:rsidR="00497403" w:rsidRPr="004E6B4F" w:rsidRDefault="00497403" w:rsidP="009B38A8">
            <w:pPr>
              <w:pStyle w:val="TableFigures"/>
            </w:pPr>
            <w:r w:rsidRPr="004E6B4F">
              <w:t>86</w:t>
            </w:r>
          </w:p>
        </w:tc>
      </w:tr>
    </w:tbl>
    <w:p w14:paraId="3BF3708A" w14:textId="2745544D" w:rsidR="00EF0794" w:rsidRDefault="00EF0794" w:rsidP="00497403">
      <w:pPr>
        <w:pStyle w:val="FootnotesNoSpace"/>
        <w:rPr>
          <w:i w:val="0"/>
        </w:rPr>
      </w:pPr>
    </w:p>
    <w:p w14:paraId="4D9DFB42" w14:textId="15252734" w:rsidR="00497403" w:rsidRPr="004E6B4F" w:rsidRDefault="00EF0794" w:rsidP="00497403">
      <w:pPr>
        <w:pStyle w:val="FootnotesNoSpace"/>
        <w:rPr>
          <w:i w:val="0"/>
        </w:rPr>
      </w:pPr>
      <w:r>
        <w:rPr>
          <w:i w:val="0"/>
        </w:rPr>
        <w:t>1</w:t>
      </w:r>
      <w:r w:rsidR="00497403" w:rsidRPr="004E6B4F">
        <w:rPr>
          <w:i w:val="0"/>
        </w:rPr>
        <w:t xml:space="preserve"> All figures reflect exchange rates at 31 December </w:t>
      </w:r>
      <w:r w:rsidR="003C6ED9">
        <w:rPr>
          <w:i w:val="0"/>
        </w:rPr>
        <w:t xml:space="preserve">2021 </w:t>
      </w:r>
      <w:r w:rsidR="00497403" w:rsidRPr="004E6B4F">
        <w:rPr>
          <w:i w:val="0"/>
        </w:rPr>
        <w:t>and include joint ventures at share.</w:t>
      </w:r>
    </w:p>
    <w:p w14:paraId="40BCEEEA" w14:textId="77777777" w:rsidR="00497403" w:rsidRPr="004E6B4F" w:rsidRDefault="00497403" w:rsidP="00497403">
      <w:pPr>
        <w:pStyle w:val="FootnotesNoSpace"/>
        <w:rPr>
          <w:i w:val="0"/>
        </w:rPr>
      </w:pPr>
      <w:r w:rsidRPr="004E6B4F">
        <w:rPr>
          <w:i w:val="0"/>
        </w:rPr>
        <w:t>2 Headline rent.</w:t>
      </w:r>
    </w:p>
    <w:p w14:paraId="2B265BFA" w14:textId="77777777" w:rsidR="00497403" w:rsidRPr="004E6B4F" w:rsidRDefault="00497403" w:rsidP="00497403">
      <w:pPr>
        <w:pStyle w:val="FootnotesNoSpace"/>
        <w:rPr>
          <w:i w:val="0"/>
        </w:rPr>
      </w:pPr>
      <w:r w:rsidRPr="004E6B4F">
        <w:rPr>
          <w:i w:val="0"/>
        </w:rPr>
        <w:t>3 Headline rent, excluding space taken back for redevelopment.</w:t>
      </w:r>
    </w:p>
    <w:p w14:paraId="79A35EE8" w14:textId="77777777" w:rsidR="00497403" w:rsidRPr="004E6B4F" w:rsidRDefault="00497403" w:rsidP="00497403">
      <w:pPr>
        <w:pStyle w:val="FootnotesNoSpace"/>
        <w:rPr>
          <w:i w:val="0"/>
        </w:rPr>
      </w:pPr>
      <w:r w:rsidRPr="004E6B4F">
        <w:rPr>
          <w:i w:val="0"/>
        </w:rPr>
        <w:t>4 Headline rent retained as a percentage of total headline rent at risk from break or expiry during the period.</w:t>
      </w:r>
    </w:p>
    <w:p w14:paraId="736E81D8" w14:textId="77777777" w:rsidR="00497403" w:rsidRDefault="00497403" w:rsidP="002E04BD">
      <w:pPr>
        <w:pStyle w:val="Normal1"/>
      </w:pPr>
    </w:p>
    <w:p w14:paraId="4A4E7CF4" w14:textId="29BFDD53" w:rsidR="009E598C" w:rsidRDefault="009E598C" w:rsidP="009E598C">
      <w:pPr>
        <w:pStyle w:val="Heading3"/>
      </w:pPr>
      <w:r>
        <w:t xml:space="preserve">Existing </w:t>
      </w:r>
      <w:r w:rsidR="00EF0794">
        <w:t>p</w:t>
      </w:r>
      <w:r>
        <w:t xml:space="preserve">ortfolio continues to perform well and delivered another set of strong operating metrics </w:t>
      </w:r>
    </w:p>
    <w:p w14:paraId="40098C1E" w14:textId="409A7A57" w:rsidR="009E598C" w:rsidRDefault="009E598C" w:rsidP="009E598C">
      <w:pPr>
        <w:pStyle w:val="Normal1"/>
      </w:pPr>
      <w:r>
        <w:t xml:space="preserve">We monitor a number of asset management indicators to assess the performance of our existing portfolio: </w:t>
      </w:r>
    </w:p>
    <w:p w14:paraId="0643C01D" w14:textId="77777777" w:rsidR="009E598C" w:rsidRDefault="009E598C" w:rsidP="009E598C">
      <w:pPr>
        <w:pStyle w:val="Normal1"/>
        <w:numPr>
          <w:ilvl w:val="0"/>
          <w:numId w:val="34"/>
        </w:numPr>
      </w:pPr>
      <w:r w:rsidRPr="009E598C">
        <w:rPr>
          <w:b/>
          <w:bCs/>
        </w:rPr>
        <w:t>High levels of customer satisfaction.</w:t>
      </w:r>
      <w:r>
        <w:t xml:space="preserve"> Although the quality and location of our portfolio is important to our customers, we believe that the service we provide is crucial to maintaining high customer retention and low vacancy. We carry out a rolling survey of our customer base throughout the year to identify and rectify issues promptly. In 2021, 247 customers responded (a 25 per cent increase on 2020) and 97 per cent said that they would recommend SEGRO to others (2020: 99 per cent) and 90 percent said they rated their experience with SEGRO as ‘Excellent’ or ‘Very Good’ (2020: 87 per cent).</w:t>
      </w:r>
    </w:p>
    <w:p w14:paraId="31D72BFE" w14:textId="77777777" w:rsidR="009E598C" w:rsidRDefault="009E598C" w:rsidP="009E598C">
      <w:pPr>
        <w:pStyle w:val="Normal1"/>
        <w:numPr>
          <w:ilvl w:val="0"/>
          <w:numId w:val="34"/>
        </w:numPr>
      </w:pPr>
      <w:r w:rsidRPr="009E598C">
        <w:rPr>
          <w:b/>
          <w:bCs/>
        </w:rPr>
        <w:t>Vacancy has remained low</w:t>
      </w:r>
      <w:r>
        <w:t xml:space="preserve">. The vacancy rate at 31 December 2021 was 3.2 per cent (31 December 2020: 3.9 per cent). This reduction was mainly due to a very strong performance in letting recently completed speculatively developed space across the portfolio. The vacancy rate on our standing stock remains low at 2.7 per cent (2020: 2.5 per cent). The vacancy rate is now at the bottom end of our target range of between 4 and 6 per cent. The average vacancy rate during the period was 3.8 per cent (2020: 4.8 per cent). </w:t>
      </w:r>
    </w:p>
    <w:p w14:paraId="4FAC3DA5" w14:textId="2250D2C7" w:rsidR="009E598C" w:rsidRDefault="009E598C" w:rsidP="009E598C">
      <w:pPr>
        <w:pStyle w:val="Normal1"/>
        <w:numPr>
          <w:ilvl w:val="0"/>
          <w:numId w:val="34"/>
        </w:numPr>
      </w:pPr>
      <w:r w:rsidRPr="006A727E">
        <w:rPr>
          <w:b/>
          <w:bCs/>
        </w:rPr>
        <w:t>Customer retention rate of 77 per cent</w:t>
      </w:r>
      <w:r w:rsidRPr="006A727E">
        <w:t>. Approximately</w:t>
      </w:r>
      <w:r>
        <w:t xml:space="preserve"> £55 million of headline rent was at risk from a break or lease expiry during the period of which we retained 74 per cent in existing space, with a further 3 per cent retained but in new premises.</w:t>
      </w:r>
      <w:r w:rsidR="006A727E">
        <w:t xml:space="preserve"> We value the long-term relationships that we build with our customers and always try to work with them to meet their changing requirements. However, with vacancy at such low levels we do also take the opportunity to create space for reletting and the capture of market rental growth. We have also actively taken back space during 2021 to enable redevelopment. </w:t>
      </w:r>
      <w:r>
        <w:t xml:space="preserve"> </w:t>
      </w:r>
    </w:p>
    <w:p w14:paraId="47102902" w14:textId="77777777" w:rsidR="009E598C" w:rsidRDefault="009E598C" w:rsidP="009E598C">
      <w:pPr>
        <w:pStyle w:val="Normal1"/>
        <w:numPr>
          <w:ilvl w:val="0"/>
          <w:numId w:val="34"/>
        </w:numPr>
      </w:pPr>
      <w:r w:rsidRPr="009E598C">
        <w:rPr>
          <w:b/>
          <w:bCs/>
        </w:rPr>
        <w:t>Lease terms continue to offer attractive income security</w:t>
      </w:r>
      <w:r>
        <w:t>. The level of incentives agreed for new leases (excluding those on developments completed in the period) represented 6.3 per cent of the headline rent (2020: 6.8 per cent). The portfolio’s weighted average lease length was maintained with 7.2 years to first break and 8.5 years to expiry (31 December 2020: 7.5 years to first break, 8.8 years to expiry). Lease terms are longer in the UK (8.2 years to break) than in Continental Europe (5.9 years to break), reflecting the market convention of shorter leases in countries such as France and Poland.</w:t>
      </w:r>
    </w:p>
    <w:p w14:paraId="1479E8E2" w14:textId="5BEB910A" w:rsidR="009E598C" w:rsidRDefault="009E598C" w:rsidP="009E598C">
      <w:pPr>
        <w:pStyle w:val="Heading3"/>
      </w:pPr>
      <w:r>
        <w:lastRenderedPageBreak/>
        <w:t xml:space="preserve">A reduction in our operational carbon emissions and increased visibility of the energy usage of our customers </w:t>
      </w:r>
    </w:p>
    <w:p w14:paraId="6FB0BD95" w14:textId="16BB6647" w:rsidR="009E598C" w:rsidRDefault="009E598C" w:rsidP="009E598C">
      <w:pPr>
        <w:pStyle w:val="Normal1"/>
      </w:pPr>
      <w:r>
        <w:t xml:space="preserve">Alongside the day-to-day management of our portfolio our teams also worked hard during 2021 on our Responsible SEGRO commitment to Champion low-carbon growth and be a net zero-carbon business by 2030. Within the asset management of our existing portfolio, the greatest contribution that we can make towards this is by reducing the operational carbon emissions from our warehouses (including those made by the activities of our customers operating within them). Our new targets, approved by the Science Based Targets Initiative (SBTi), include the aim to reduce the absolute operating carbon </w:t>
      </w:r>
      <w:r w:rsidR="00EF0794">
        <w:t xml:space="preserve">emissions from </w:t>
      </w:r>
      <w:r>
        <w:t xml:space="preserve">our portfolio by 42 per cent by 2030 (compared to a 2020 baseline), in line with the 1.5 degree scenario. This includes all </w:t>
      </w:r>
      <w:r w:rsidR="00EF0794">
        <w:t>customer</w:t>
      </w:r>
      <w:r>
        <w:t xml:space="preserve"> emissions and captures the organic growth of the business.</w:t>
      </w:r>
    </w:p>
    <w:p w14:paraId="63E253B2" w14:textId="01E2B330" w:rsidR="009E598C" w:rsidRDefault="009E598C" w:rsidP="009E598C">
      <w:pPr>
        <w:pStyle w:val="Normal1"/>
      </w:pPr>
      <w:r>
        <w:t>One of the most meaningful changes that we can make is to procure energy for our own operations, and for those markets where we procure energy on behalf of our customers, in a way which reduces the operational emissions. We have been moving our controlled portfolio on to renewable energy tariffs over the past years and in 2021 we moved the last major contracts, in Poland and Czech</w:t>
      </w:r>
      <w:r w:rsidR="00FD7AD9">
        <w:t xml:space="preserve"> Republic</w:t>
      </w:r>
      <w:r>
        <w:t>, on to Green tariffs, which means that all SEGRO controlled electricity is now zero-carbon. This was one of the main drivers of the 10 per cent reduction in operating carbon emissions during 2021, equating to 31,500 tonnes of CO</w:t>
      </w:r>
      <w:r w:rsidRPr="00BA4E4C">
        <w:rPr>
          <w:vertAlign w:val="superscript"/>
        </w:rPr>
        <w:t>2</w:t>
      </w:r>
      <w:r>
        <w:t>e</w:t>
      </w:r>
      <w:r w:rsidR="00EF0794">
        <w:t xml:space="preserve"> saved</w:t>
      </w:r>
      <w:r>
        <w:t xml:space="preserve">. </w:t>
      </w:r>
    </w:p>
    <w:p w14:paraId="4C678557" w14:textId="77777777" w:rsidR="009E598C" w:rsidRDefault="009E598C" w:rsidP="009E598C">
      <w:pPr>
        <w:pStyle w:val="Normal1"/>
      </w:pPr>
      <w:r>
        <w:t xml:space="preserve">This certified renewable energy helps SEGRO and our customers reduce their operating carbon footprint. Transitioning away from fossil fuels for warehouse heating on to electricity, particularly generated on site, or alternative sources of energy is an important next step in this strategy. </w:t>
      </w:r>
    </w:p>
    <w:p w14:paraId="3CBE3C90" w14:textId="2E4F77DA" w:rsidR="009E598C" w:rsidRDefault="009E598C" w:rsidP="009E598C">
      <w:pPr>
        <w:pStyle w:val="Normal1"/>
      </w:pPr>
      <w:r>
        <w:t xml:space="preserve">Our net zero-carbon goal includes Scope 3 emissions from our customers. Due to the nature of typical lease </w:t>
      </w:r>
      <w:r w:rsidR="00EF0794">
        <w:t xml:space="preserve">terms </w:t>
      </w:r>
      <w:r>
        <w:t>we do not have operational control over the majority of our buildings and therefore have limited visibility of how much energy is used and how it is procured. Where this is the case we are engaging with our customers and trying to positively influence them but an important first step is to get a full picture of their energy usage. During 2021 we have improved our visibility and we have collected data on 54 per cent of our total property footprint by area (up from 41 per cent during 2020).</w:t>
      </w:r>
      <w:r w:rsidR="00CA70CE">
        <w:t xml:space="preserve"> </w:t>
      </w:r>
      <w:r>
        <w:t xml:space="preserve">Improving visibility allows us to better identify opportunities to help our customers operate their buildings more efficiently, saving them both carbon emissions and money. We are also increasingly requiring customers to use renewable energy within the terms of their leases (a “Green lease”) to ensure that our portfolio carbon footprint improves. </w:t>
      </w:r>
    </w:p>
    <w:p w14:paraId="7B04B6AA" w14:textId="0D59D216" w:rsidR="009E598C" w:rsidRDefault="009E598C" w:rsidP="009E598C">
      <w:pPr>
        <w:pStyle w:val="Normal1"/>
      </w:pPr>
      <w:r>
        <w:t xml:space="preserve">On the Slough Trading Estate, for example, we </w:t>
      </w:r>
      <w:r w:rsidRPr="00367570">
        <w:t xml:space="preserve">have </w:t>
      </w:r>
      <w:r w:rsidRPr="009A7454">
        <w:t>33</w:t>
      </w:r>
      <w:r w:rsidRPr="00367570">
        <w:t xml:space="preserve"> data</w:t>
      </w:r>
      <w:r>
        <w:t xml:space="preserve"> centres</w:t>
      </w:r>
      <w:r w:rsidR="00367570">
        <w:t xml:space="preserve"> (including </w:t>
      </w:r>
      <w:r w:rsidR="003C6ED9">
        <w:t>two</w:t>
      </w:r>
      <w:r w:rsidR="00367570">
        <w:t xml:space="preserve"> under construction)</w:t>
      </w:r>
      <w:r>
        <w:t xml:space="preserve"> which are significant consumers of power. Our data centre customers source their own electricity to power their buildings and most have stated publicly that they source through renewable energy contracts. They, along with several other major </w:t>
      </w:r>
      <w:r w:rsidR="00FD7AD9">
        <w:t>d</w:t>
      </w:r>
      <w:r>
        <w:t xml:space="preserve">ata </w:t>
      </w:r>
      <w:r w:rsidR="00FD7AD9">
        <w:t>c</w:t>
      </w:r>
      <w:r>
        <w:t xml:space="preserve">entre operators formed the Climate Neutral Data Centre Pact in 2020 and SEGRO fully supports the leadership shown in this self-regulated initiative. During 2021 we signed our first </w:t>
      </w:r>
      <w:r w:rsidR="00EF0794">
        <w:t xml:space="preserve">data centre </w:t>
      </w:r>
      <w:r>
        <w:t xml:space="preserve">Green lease, requiring the operator to commit to sourcing their energy on a renewable tariff. </w:t>
      </w:r>
    </w:p>
    <w:p w14:paraId="5CE5282D" w14:textId="49DD4E7D" w:rsidR="009E598C" w:rsidRDefault="009E598C" w:rsidP="009E598C">
      <w:pPr>
        <w:pStyle w:val="Normal1"/>
      </w:pPr>
      <w:r>
        <w:t>We are also making improvements to the carbon footprint of our portfolio through the ongoing maintenance and refurbishment of our warehouses. Due to our active asset recycling and new development the majority of our portfolio is modern and built to the highest sustainability standards but there are still some older assets where we can make improvements. When the opportunity arises, normally due to a lease expiry, we refurbish our assets and upgrade their sustainability credentials before letting them to a new customer. This not only helps with our progress towards our net zero-carbon targets but also makes the space more attractive to a potential customer and we are starting to see it make a difference to rental levels achieved</w:t>
      </w:r>
      <w:r w:rsidR="00175306">
        <w:t>.</w:t>
      </w:r>
    </w:p>
    <w:p w14:paraId="79D1E7D3" w14:textId="77777777" w:rsidR="00CA70CE" w:rsidRDefault="009E598C" w:rsidP="00CA70CE">
      <w:pPr>
        <w:pStyle w:val="Normal1"/>
      </w:pPr>
      <w:r>
        <w:t>Changes that we make include installing LED lighting, solar panels, air source heat pumps and smart metering. We aim to have the entire portfolio at least an Energy Performance Certificate (EPC) of a B rating or equivalent. At the end of 2021, 55 per cent of the portfolio now has an EPC rating of B or better and we expect that proportion to increase.</w:t>
      </w:r>
    </w:p>
    <w:p w14:paraId="5B91C236" w14:textId="794226A8" w:rsidR="00AA028D" w:rsidRPr="00CA70CE" w:rsidRDefault="00AA028D" w:rsidP="00CA70CE">
      <w:pPr>
        <w:pStyle w:val="Normal1"/>
        <w:rPr>
          <w:b/>
          <w:bCs/>
        </w:rPr>
      </w:pPr>
      <w:r w:rsidRPr="00CA70CE">
        <w:rPr>
          <w:b/>
          <w:bCs/>
        </w:rPr>
        <w:t>Asset Management: What to expect in 202</w:t>
      </w:r>
      <w:r w:rsidR="0070191C" w:rsidRPr="00CA70CE">
        <w:rPr>
          <w:b/>
          <w:bCs/>
        </w:rPr>
        <w:t>2</w:t>
      </w:r>
    </w:p>
    <w:p w14:paraId="445799E9" w14:textId="38C68AC5" w:rsidR="0070191C" w:rsidRDefault="0070191C" w:rsidP="00AA028D">
      <w:pPr>
        <w:pStyle w:val="Normal1"/>
        <w:rPr>
          <w:color w:val="FF0000"/>
        </w:rPr>
      </w:pPr>
      <w:r>
        <w:t>All of the indicators point to continued strong demand from occupiers in 2022 and with market vacancy rates at record low levels and new supply constrained by the availability of land, particularly in urban markets</w:t>
      </w:r>
      <w:r w:rsidR="00EF0794">
        <w:t xml:space="preserve"> w</w:t>
      </w:r>
      <w:r>
        <w:t>e expect rental growth to continue.</w:t>
      </w:r>
    </w:p>
    <w:p w14:paraId="2B61DEDA" w14:textId="33C66888" w:rsidR="00AA028D" w:rsidRPr="002841E6" w:rsidRDefault="00AA028D" w:rsidP="00AA028D">
      <w:pPr>
        <w:pStyle w:val="Heading3"/>
      </w:pPr>
      <w:r w:rsidRPr="002841E6">
        <w:lastRenderedPageBreak/>
        <w:t>DEVELOPMENT UPDATE</w:t>
      </w:r>
      <w:r w:rsidR="006801BB">
        <w:t xml:space="preserve"> - </w:t>
      </w:r>
      <w:r w:rsidR="006801BB" w:rsidRPr="002841E6">
        <w:t>GROWING THROUGH DEVELOPMENT</w:t>
      </w:r>
    </w:p>
    <w:p w14:paraId="2CA61973" w14:textId="0FAC51CF" w:rsidR="00AA028D" w:rsidRPr="002841E6" w:rsidRDefault="00AA028D" w:rsidP="00AA028D">
      <w:pPr>
        <w:pStyle w:val="Heading3"/>
      </w:pPr>
      <w:r w:rsidRPr="002841E6">
        <w:t xml:space="preserve">Development Activity </w:t>
      </w:r>
    </w:p>
    <w:p w14:paraId="387E4540" w14:textId="77777777" w:rsidR="002841E6" w:rsidRDefault="002841E6" w:rsidP="00AA028D">
      <w:pPr>
        <w:pStyle w:val="Normal1"/>
      </w:pPr>
      <w:r>
        <w:t>During 2021, we invested £975 million in our development pipeline which comprised £649 million (2020: £531 million) in development spend, of which £99 million was for infrastructure, and a further £326 million to replenish our land bank to secure future development-led growth opportunities.</w:t>
      </w:r>
    </w:p>
    <w:p w14:paraId="5AACC1E8" w14:textId="4C84514C" w:rsidR="00AA028D" w:rsidRPr="002841E6" w:rsidRDefault="00AA028D" w:rsidP="00AA028D">
      <w:pPr>
        <w:pStyle w:val="Heading3"/>
      </w:pPr>
      <w:r w:rsidRPr="002841E6">
        <w:t xml:space="preserve">Development Projects Completed </w:t>
      </w:r>
    </w:p>
    <w:p w14:paraId="5F3D0A4E" w14:textId="77777777" w:rsidR="002841E6" w:rsidRDefault="002841E6" w:rsidP="00AA028D">
      <w:pPr>
        <w:pStyle w:val="Normal1"/>
      </w:pPr>
      <w:r>
        <w:t xml:space="preserve">We completed 839,200 sq m of new space during the year, with the majority of our projects completing on time despite wider market issues with the supply of construction materials and labour. These projects were 82 per cent pre-let prior to the start of construction and were 93 per cent let as at 31 December 2021, generating £48 million of headline rent, with a potential further £4 million to come when the remainder of the space is let. This translates into a yield on total development cost (including land, construction and finance costs) of 6.8 per cent when fully let. </w:t>
      </w:r>
    </w:p>
    <w:p w14:paraId="6632BBB9" w14:textId="2FE6FF50" w:rsidR="002841E6" w:rsidRDefault="002841E6" w:rsidP="00AA028D">
      <w:pPr>
        <w:pStyle w:val="Normal1"/>
      </w:pPr>
      <w:r>
        <w:t>We completed 677,800 sq m of big box warehouse space, including four units at</w:t>
      </w:r>
      <w:r w:rsidR="005A3E9A">
        <w:t xml:space="preserve"> </w:t>
      </w:r>
      <w:r w:rsidR="00525BF5">
        <w:t>SLP-EMG</w:t>
      </w:r>
      <w:r>
        <w:t xml:space="preserve">. Also within this was 560,800 sq m of big box warehouses across all of our major European markets, let to </w:t>
      </w:r>
      <w:r w:rsidR="00DD7C1F">
        <w:t>t</w:t>
      </w:r>
      <w:r>
        <w:t>hird party logistics operators, online retailers, food retailers and manufacturers</w:t>
      </w:r>
      <w:r w:rsidR="00DD7C1F">
        <w:t xml:space="preserve"> among others. </w:t>
      </w:r>
      <w:r>
        <w:t xml:space="preserve"> </w:t>
      </w:r>
    </w:p>
    <w:p w14:paraId="56CA75C0" w14:textId="4BDD7E19" w:rsidR="002841E6" w:rsidRDefault="002841E6" w:rsidP="00AA028D">
      <w:pPr>
        <w:pStyle w:val="Normal1"/>
      </w:pPr>
      <w:r>
        <w:t>We completed 161,400 sq m of urban warehouses, the majority built on a speculative basis</w:t>
      </w:r>
      <w:r w:rsidR="00EF0794">
        <w:t xml:space="preserve">, </w:t>
      </w:r>
      <w:r>
        <w:t xml:space="preserve">of which over three quarters is already let. In the UK this included the second phase of SEGRO Park Rainham, new units at SEGRO Park Fairway Drive and two new data centres on the Slough Trading Estate. On the Continent we completed further phases of urban warehouse parks in the key markets of Berlin, Cologne, Madrid, Warsaw and Paris, including the first of our developments </w:t>
      </w:r>
      <w:r w:rsidR="000F00BE">
        <w:t xml:space="preserve">on the land that we acquired as part of the Sofibus Patrimoine acquisition at the start of 2021. </w:t>
      </w:r>
    </w:p>
    <w:p w14:paraId="2CF47D8E" w14:textId="0B3B5D5A" w:rsidR="008168A8" w:rsidRPr="002E04BD" w:rsidRDefault="008168A8" w:rsidP="002E04BD">
      <w:pPr>
        <w:pStyle w:val="Normal1"/>
      </w:pPr>
      <w:r w:rsidRPr="002E04BD">
        <w:t xml:space="preserve">Supply chain issues made development more challenging during 2021 but we proactively worked with our contractors to secure materials ahead of schedule and were therefore able to avoid any major delays. We also avoided any significant increases in construction costs as the majority of our development projects are on fixed price contracts and development completions were therefore unaffected. </w:t>
      </w:r>
    </w:p>
    <w:p w14:paraId="7E5EFF18" w14:textId="74496075" w:rsidR="00AA028D" w:rsidRPr="002841E6" w:rsidRDefault="00AA028D" w:rsidP="00AA028D">
      <w:pPr>
        <w:pStyle w:val="Heading3"/>
      </w:pPr>
      <w:r w:rsidRPr="002841E6">
        <w:t xml:space="preserve">Current Development Pipeline </w:t>
      </w:r>
    </w:p>
    <w:p w14:paraId="79D7CC01" w14:textId="196CB437" w:rsidR="002841E6" w:rsidRDefault="002841E6" w:rsidP="00AA028D">
      <w:pPr>
        <w:pStyle w:val="Normal1"/>
      </w:pPr>
      <w:r>
        <w:t xml:space="preserve">At 31 December 2021, we had development projects approved, contracted or under construction totalling 801,400 sq m, representing £380 million of future capital expenditure to complete </w:t>
      </w:r>
      <w:r w:rsidRPr="00175306">
        <w:t>and £62</w:t>
      </w:r>
      <w:r>
        <w:t xml:space="preserve"> million of annualised gross rental income when fully let. 60 per cent of this rent has already been secured and these projects should yield 7.0 per cent on total development cost when fully occupied.</w:t>
      </w:r>
    </w:p>
    <w:p w14:paraId="12CCDE0E" w14:textId="4AEA432E" w:rsidR="002841E6" w:rsidRDefault="002841E6" w:rsidP="002841E6">
      <w:pPr>
        <w:pStyle w:val="Normal1"/>
        <w:numPr>
          <w:ilvl w:val="0"/>
          <w:numId w:val="35"/>
        </w:numPr>
      </w:pPr>
      <w:r>
        <w:t>In the UK, we have 195,200 sq m of space approved or under construction. Within this are urban schemes in West and North London, two new data centres on the Slough Trading Estate, a pre-let for a global online retailer in the Thames Valley and big box warehouses in SLP-EMG and our new development</w:t>
      </w:r>
      <w:r w:rsidR="00DD7C1F">
        <w:t>,</w:t>
      </w:r>
      <w:r>
        <w:t xml:space="preserve"> SmartParc Derby. </w:t>
      </w:r>
    </w:p>
    <w:p w14:paraId="0B651447" w14:textId="7F78F81E" w:rsidR="002841E6" w:rsidRDefault="002841E6" w:rsidP="00AA028D">
      <w:pPr>
        <w:pStyle w:val="Normal1"/>
        <w:numPr>
          <w:ilvl w:val="0"/>
          <w:numId w:val="35"/>
        </w:numPr>
      </w:pPr>
      <w:r>
        <w:t>In Continental Europe, we have 521,100 sq m of space approved or under construction. This includes pre-let big box warehouses for a variety of different occupiers, from retailers to manufacturers, across all of our European markets. We are also developing further phases of our successful urban warehouse parks in Berlin and Paris and a new scheme in Ingolstadt</w:t>
      </w:r>
      <w:r w:rsidR="005A3E9A">
        <w:t xml:space="preserve">, close to Munich. </w:t>
      </w:r>
    </w:p>
    <w:p w14:paraId="685A2F33" w14:textId="77777777" w:rsidR="002841E6" w:rsidRDefault="002841E6" w:rsidP="00AA028D">
      <w:pPr>
        <w:pStyle w:val="Normal1"/>
        <w:numPr>
          <w:ilvl w:val="0"/>
          <w:numId w:val="35"/>
        </w:numPr>
      </w:pPr>
      <w:r>
        <w:t xml:space="preserve">In addition to the above projects that we are developing ourselves, we also have 85,100 sq m of space under construction as part forward-funded agreements with local developers. This is proving to be a very effective way to get access to opportunities in competitive markets where accessing land is more difficult. </w:t>
      </w:r>
    </w:p>
    <w:p w14:paraId="6709ADD2" w14:textId="36C70B1A" w:rsidR="002841E6" w:rsidRDefault="002841E6" w:rsidP="002841E6">
      <w:pPr>
        <w:pStyle w:val="Normal1"/>
      </w:pPr>
      <w:r>
        <w:t xml:space="preserve">We continue to focus our speculative developments primarily on urban warehouse projects, particularly in the UK, France and Germany, where modern space is in short supply and occupier demand is strong. In the UK, our speculative projects are focused in London and on the Slough Trading Estate. In Continental Europe, we continue to build scale in Germany and Paris. </w:t>
      </w:r>
    </w:p>
    <w:p w14:paraId="0D01C75B" w14:textId="77777777" w:rsidR="00817509" w:rsidRDefault="00817509" w:rsidP="002841E6">
      <w:pPr>
        <w:pStyle w:val="Normal1"/>
      </w:pPr>
    </w:p>
    <w:p w14:paraId="2E6CAE5B" w14:textId="116113CF" w:rsidR="002841E6" w:rsidRDefault="002841E6">
      <w:pPr>
        <w:pStyle w:val="Normal1"/>
      </w:pPr>
      <w:r>
        <w:lastRenderedPageBreak/>
        <w:t xml:space="preserve">Within our Continental European development programme, </w:t>
      </w:r>
      <w:r w:rsidRPr="00D315F7">
        <w:t xml:space="preserve">approximately </w:t>
      </w:r>
      <w:r w:rsidRPr="002E04BD">
        <w:t>£8</w:t>
      </w:r>
      <w:r w:rsidRPr="00D315F7">
        <w:t xml:space="preserve"> million of potential gross rental income is associated with big box warehouses developed outside our SELP joint</w:t>
      </w:r>
      <w:r>
        <w:t xml:space="preserve"> venture. Under the terms of the joint venture, SELP has the option, but not the obligation, to acquire these assets shortly after completion. Assuming SELP exercises its option, we would retain a 50 per cent share of the rent after disposal. In 2021, SEGRO sold £231 million of completed assets to SELP, representing a net disposal of £116 million. </w:t>
      </w:r>
    </w:p>
    <w:p w14:paraId="5E725E0B" w14:textId="0E5D6F2A" w:rsidR="008168A8" w:rsidRPr="002E04BD" w:rsidRDefault="008168A8" w:rsidP="002E04BD">
      <w:pPr>
        <w:suppressAutoHyphens/>
        <w:autoSpaceDE w:val="0"/>
        <w:autoSpaceDN w:val="0"/>
        <w:adjustRightInd w:val="0"/>
        <w:spacing w:after="120" w:line="276" w:lineRule="auto"/>
        <w:textAlignment w:val="center"/>
      </w:pPr>
      <w:r w:rsidRPr="002E04BD">
        <w:t>We have factored increased construction costs into the development returns for our current and future development projects</w:t>
      </w:r>
      <w:r w:rsidR="00EF0794">
        <w:t xml:space="preserve">. However, </w:t>
      </w:r>
      <w:r w:rsidRPr="002E04BD">
        <w:t>increased rent</w:t>
      </w:r>
      <w:r w:rsidR="00EF0794">
        <w:t xml:space="preserve">al values </w:t>
      </w:r>
      <w:r w:rsidRPr="002E04BD">
        <w:t>are more than offsetting any additional costs and our development</w:t>
      </w:r>
      <w:r w:rsidR="00EF0794">
        <w:t xml:space="preserve"> returns </w:t>
      </w:r>
      <w:r w:rsidRPr="002E04BD">
        <w:t xml:space="preserve">therefore remain highly </w:t>
      </w:r>
      <w:r w:rsidR="00EF0794">
        <w:t>attractive</w:t>
      </w:r>
      <w:r w:rsidRPr="002E04BD">
        <w:t>.</w:t>
      </w:r>
    </w:p>
    <w:p w14:paraId="256D902A" w14:textId="7740619D" w:rsidR="00AA028D" w:rsidRPr="00025FF1" w:rsidRDefault="00AA028D" w:rsidP="00AA028D">
      <w:pPr>
        <w:pStyle w:val="Heading3"/>
      </w:pPr>
      <w:r w:rsidRPr="00025FF1">
        <w:t>FUTURE DEVELOPMENT PIPELINE</w:t>
      </w:r>
    </w:p>
    <w:p w14:paraId="69076714" w14:textId="72AE1C7A" w:rsidR="00AA028D" w:rsidRPr="00025FF1" w:rsidRDefault="00AA028D" w:rsidP="00AA028D">
      <w:pPr>
        <w:pStyle w:val="Heading3"/>
      </w:pPr>
      <w:r w:rsidRPr="00025FF1">
        <w:t xml:space="preserve">Near-Term Development Pipeline </w:t>
      </w:r>
    </w:p>
    <w:p w14:paraId="1AAE50C5" w14:textId="78A8E7CA" w:rsidR="008168A8" w:rsidRDefault="00025FF1" w:rsidP="00AA028D">
      <w:pPr>
        <w:pStyle w:val="Normal1"/>
      </w:pPr>
      <w:r>
        <w:t xml:space="preserve">Within the future development pipeline are a number of pre-let projects which are close to being approved, awaiting either final conditions to be met or planning approval to be granted. We expect to commence these projects within the next six to 12 months. </w:t>
      </w:r>
    </w:p>
    <w:p w14:paraId="705AA84F" w14:textId="289C8424" w:rsidR="00025FF1" w:rsidRDefault="00025FF1" w:rsidP="002E04BD">
      <w:pPr>
        <w:pStyle w:val="Normal1"/>
      </w:pPr>
      <w:r>
        <w:t xml:space="preserve">These projects total </w:t>
      </w:r>
      <w:r w:rsidR="00534093">
        <w:t>334,100</w:t>
      </w:r>
      <w:r>
        <w:t xml:space="preserve"> sq m of space, equating to approximately £</w:t>
      </w:r>
      <w:r w:rsidR="00F303C8">
        <w:t>271</w:t>
      </w:r>
      <w:r>
        <w:t xml:space="preserve"> million of additional capital expenditure and £2</w:t>
      </w:r>
      <w:r w:rsidR="00F303C8">
        <w:t>0</w:t>
      </w:r>
      <w:r>
        <w:t xml:space="preserve"> million of additional rent.</w:t>
      </w:r>
    </w:p>
    <w:p w14:paraId="6B591549" w14:textId="023CC4E8" w:rsidR="003221CC" w:rsidRPr="00025FF1" w:rsidRDefault="003221CC" w:rsidP="003221CC">
      <w:pPr>
        <w:pStyle w:val="Heading3"/>
      </w:pPr>
      <w:r w:rsidRPr="00025FF1">
        <w:t xml:space="preserve">Land Bank </w:t>
      </w:r>
    </w:p>
    <w:p w14:paraId="4F82F989" w14:textId="17863445" w:rsidR="00025FF1" w:rsidRDefault="00025FF1" w:rsidP="003221CC">
      <w:pPr>
        <w:pStyle w:val="Normal1"/>
      </w:pPr>
      <w:r>
        <w:t xml:space="preserve">Our land bank identified for future development (including the near-term projects detailed above) totalled </w:t>
      </w:r>
      <w:r w:rsidRPr="009C68AC">
        <w:t>68</w:t>
      </w:r>
      <w:r w:rsidR="009C68AC" w:rsidRPr="002E04BD">
        <w:t>3</w:t>
      </w:r>
      <w:r>
        <w:t xml:space="preserve"> hectares at 31 December 2021, valued at £783 million, roughly 4 per cent of our total portfolio value. </w:t>
      </w:r>
    </w:p>
    <w:p w14:paraId="52EFFDD9" w14:textId="317E5D80" w:rsidR="00025FF1" w:rsidRDefault="00025FF1" w:rsidP="003221CC">
      <w:pPr>
        <w:pStyle w:val="Normal1"/>
      </w:pPr>
      <w:r>
        <w:t xml:space="preserve">This land bank includes £326 million of land acquired during 2021, including land associated with developments already underway or expected to start in the short term. </w:t>
      </w:r>
      <w:r w:rsidR="005A3E9A">
        <w:t xml:space="preserve">Over </w:t>
      </w:r>
      <w:r>
        <w:t>£9</w:t>
      </w:r>
      <w:r w:rsidR="005A3E9A">
        <w:t>0</w:t>
      </w:r>
      <w:r>
        <w:t xml:space="preserve"> million was spent on sites in the supply constrained London market and we also acquired plots suitable for urban development in Paris, Lyon, Milan, Madrid, Cologne and Warsaw. The remainder of the land was for big box projects in Italy, Poland, Spain and the UK. </w:t>
      </w:r>
    </w:p>
    <w:p w14:paraId="1CEAB24E" w14:textId="6EABE152" w:rsidR="00025FF1" w:rsidRDefault="00025FF1" w:rsidP="003221CC">
      <w:pPr>
        <w:pStyle w:val="Normal1"/>
        <w:rPr>
          <w:color w:val="FF0000"/>
        </w:rPr>
      </w:pPr>
      <w:r>
        <w:t>We estimate that our land bank can support 3.1 million sq m of development over the next five years. The prospective capital expenditure associated with the future pipeline is approximately £1.9 billion. It could generate £169 million of gross rental income, representing a yield on total development cost (including land and notional finance costs) of around 6-7 per cent. These figures are indicative based on our current expectations and are dependent on our ability to secure pre-let agreements, planning permissions, construction contracts and on our outlook for occupier conditions in local markets.</w:t>
      </w:r>
    </w:p>
    <w:p w14:paraId="6A6A98E1" w14:textId="6722F2C1" w:rsidR="003221CC" w:rsidRPr="00025FF1" w:rsidRDefault="003221CC" w:rsidP="003221CC">
      <w:pPr>
        <w:pStyle w:val="Heading3"/>
      </w:pPr>
      <w:r w:rsidRPr="00025FF1">
        <w:t xml:space="preserve">Conditional </w:t>
      </w:r>
      <w:r w:rsidR="00EF0794">
        <w:t>l</w:t>
      </w:r>
      <w:r w:rsidRPr="00025FF1">
        <w:t xml:space="preserve">and </w:t>
      </w:r>
      <w:r w:rsidR="00EF0794">
        <w:t>a</w:t>
      </w:r>
      <w:r w:rsidRPr="00025FF1">
        <w:t xml:space="preserve">cquisitions and </w:t>
      </w:r>
      <w:r w:rsidR="00EF0794">
        <w:t>l</w:t>
      </w:r>
      <w:r w:rsidRPr="00025FF1">
        <w:t xml:space="preserve">and </w:t>
      </w:r>
      <w:r w:rsidR="00EF0794">
        <w:t>h</w:t>
      </w:r>
      <w:r w:rsidRPr="00025FF1">
        <w:t xml:space="preserve">eld </w:t>
      </w:r>
      <w:r w:rsidR="00EF0794">
        <w:t>u</w:t>
      </w:r>
      <w:r w:rsidRPr="00025FF1">
        <w:t xml:space="preserve">nder </w:t>
      </w:r>
      <w:r w:rsidR="00EF0794">
        <w:t>o</w:t>
      </w:r>
      <w:r w:rsidRPr="00025FF1">
        <w:t xml:space="preserve">ption </w:t>
      </w:r>
      <w:r w:rsidR="00EF0794">
        <w:t>a</w:t>
      </w:r>
      <w:r w:rsidRPr="00025FF1">
        <w:t xml:space="preserve">greements </w:t>
      </w:r>
    </w:p>
    <w:p w14:paraId="79E07819" w14:textId="77777777" w:rsidR="00025FF1" w:rsidRDefault="00025FF1" w:rsidP="003221CC">
      <w:pPr>
        <w:pStyle w:val="Normal1"/>
      </w:pPr>
      <w:r>
        <w:t xml:space="preserve">Land acquisitions (contracted but subject to further conditions) and land held under option agreements are not included in the figures above but together represent significant further development opportunities. These include sites for big box warehouses in the UK Midlands as well as in Germany, Italy and Poland. They also include urban warehouse sites in East and West London. </w:t>
      </w:r>
    </w:p>
    <w:p w14:paraId="45ABDF2A" w14:textId="42C7B9EB" w:rsidR="00EF0794" w:rsidRDefault="00025FF1" w:rsidP="003221CC">
      <w:pPr>
        <w:pStyle w:val="Normal1"/>
      </w:pPr>
      <w:r>
        <w:t>The options are held on the balance sheet at a value of £24 million (including joint ventures at share). Those we expect to exercise over the next two to three years are for land capable of supporting almost 1.6 million sq m of space and generating almost £160 million of headline rent for a blended yield of approximately 6 per cent.</w:t>
      </w:r>
    </w:p>
    <w:p w14:paraId="3E02F9E6" w14:textId="6AFF5459" w:rsidR="00025FF1" w:rsidRDefault="00025FF1" w:rsidP="00025FF1">
      <w:pPr>
        <w:pStyle w:val="Heading3"/>
      </w:pPr>
      <w:r>
        <w:t xml:space="preserve">Focusing on </w:t>
      </w:r>
      <w:r w:rsidR="00EF0794">
        <w:t>r</w:t>
      </w:r>
      <w:r>
        <w:t xml:space="preserve">educing </w:t>
      </w:r>
      <w:r w:rsidR="00EF0794">
        <w:t>e</w:t>
      </w:r>
      <w:r>
        <w:t xml:space="preserve">mbodied </w:t>
      </w:r>
      <w:r w:rsidR="00EF0794">
        <w:t>c</w:t>
      </w:r>
      <w:r>
        <w:t xml:space="preserve">arbon in our </w:t>
      </w:r>
      <w:r w:rsidR="00EF0794">
        <w:t>d</w:t>
      </w:r>
      <w:r>
        <w:t xml:space="preserve">evelopment </w:t>
      </w:r>
      <w:r w:rsidR="00EF0794">
        <w:t>p</w:t>
      </w:r>
      <w:r>
        <w:t xml:space="preserve">rogramme to help us achieve </w:t>
      </w:r>
      <w:r w:rsidR="00EF0794">
        <w:t>n</w:t>
      </w:r>
      <w:r>
        <w:t xml:space="preserve">et </w:t>
      </w:r>
      <w:r w:rsidR="00EF0794">
        <w:t>z</w:t>
      </w:r>
      <w:r>
        <w:t xml:space="preserve">ero </w:t>
      </w:r>
      <w:r w:rsidR="00EF0794">
        <w:t>c</w:t>
      </w:r>
      <w:r>
        <w:t xml:space="preserve">arbon by 2030 </w:t>
      </w:r>
    </w:p>
    <w:p w14:paraId="55E16E06" w14:textId="6053D570" w:rsidR="00025FF1" w:rsidRDefault="00025FF1" w:rsidP="003221CC">
      <w:pPr>
        <w:pStyle w:val="Normal1"/>
      </w:pPr>
      <w:r>
        <w:t>We recognise that our planet is facing a climate emergency and that we need to play our part in helping to combat the challenge of climate change and natural resource depletion. As a result, we have joined many of our sector peers in signing a pledge to be Net Zero carbon by 2050, and last year announced that we will be going further and faster by reaching that aim by 2030. We have also joined to Race to Zero</w:t>
      </w:r>
      <w:r w:rsidR="00EF0794">
        <w:t xml:space="preserve">, </w:t>
      </w:r>
      <w:r>
        <w:t>signed the Climate Pledge</w:t>
      </w:r>
      <w:r w:rsidR="009C68AC">
        <w:t xml:space="preserve"> and took part in a Better Buildings Partnership panel at COP 26 titled ‘Commercial Buildings: A real asset in addressing Climate Change’.</w:t>
      </w:r>
      <w:r>
        <w:t xml:space="preserve"> </w:t>
      </w:r>
    </w:p>
    <w:p w14:paraId="69E3D6EA" w14:textId="77777777" w:rsidR="00025FF1" w:rsidRDefault="00025FF1" w:rsidP="003221CC">
      <w:pPr>
        <w:pStyle w:val="Normal1"/>
      </w:pPr>
      <w:r>
        <w:lastRenderedPageBreak/>
        <w:t xml:space="preserve">It is our responsibility, as a long-term investor, to use the latest technologies and construction techniques to ensure that our buildings are efficient to use and stand the test of time. </w:t>
      </w:r>
    </w:p>
    <w:p w14:paraId="1E85383A" w14:textId="77777777" w:rsidR="00025FF1" w:rsidRDefault="00025FF1" w:rsidP="003221CC">
      <w:pPr>
        <w:pStyle w:val="Normal1"/>
      </w:pPr>
      <w:r>
        <w:t xml:space="preserve">We continuously monitor and, where appropriate, adopt new approaches, technologies and techniques to reduce the environmental footprint of our existing properties and our developments. The Investment Committee considers the environmental impact of all capital investment decisions to ensure that they are consistent with our environmental targets and ambitions. </w:t>
      </w:r>
    </w:p>
    <w:p w14:paraId="4B0AFE35" w14:textId="0B301450" w:rsidR="00025FF1" w:rsidRDefault="00025FF1" w:rsidP="003221CC">
      <w:pPr>
        <w:pStyle w:val="Normal1"/>
      </w:pPr>
      <w:r>
        <w:t xml:space="preserve">We take a materiality-based approach to our environmental strategy, focusing on the areas where our footprint is greatest. One of the largest sources of carbon emissions from our own activities is the embodied carbon from our development programme. For our existing buildings, we can work to improve their efficiency in operational terms but it is in our development programme, where we can make the greatest impact. In many cases, once we hand a building over to a customer, they control all operational aspects so it is our responsibility to provide them with an efficient building and the tools to operate it efficiently. </w:t>
      </w:r>
    </w:p>
    <w:p w14:paraId="10D0EF73" w14:textId="4E8806BF" w:rsidR="00025FF1" w:rsidRDefault="00025FF1" w:rsidP="003221CC">
      <w:pPr>
        <w:pStyle w:val="Normal1"/>
      </w:pPr>
      <w:r>
        <w:t xml:space="preserve">Our targets, approved by the Science Based Target Initiative (SBTi), include a goal to reduce </w:t>
      </w:r>
      <w:r w:rsidR="00B31A9C">
        <w:t xml:space="preserve">the </w:t>
      </w:r>
      <w:r>
        <w:t>embodied carbon</w:t>
      </w:r>
      <w:r w:rsidR="00B31A9C">
        <w:t xml:space="preserve"> intensity of our development programme </w:t>
      </w:r>
      <w:r>
        <w:t xml:space="preserve">by 20 per cent by 2030, compared to a 2020 baseline. </w:t>
      </w:r>
    </w:p>
    <w:p w14:paraId="2BC10B5B" w14:textId="7537CB9F" w:rsidR="00025FF1" w:rsidRDefault="00025FF1" w:rsidP="00025FF1">
      <w:pPr>
        <w:pStyle w:val="Heading3"/>
      </w:pPr>
      <w:r>
        <w:t xml:space="preserve">Materials </w:t>
      </w:r>
    </w:p>
    <w:p w14:paraId="1E2758C1" w14:textId="258F9232" w:rsidR="00025FF1" w:rsidRDefault="00025FF1" w:rsidP="003221CC">
      <w:pPr>
        <w:pStyle w:val="Normal1"/>
      </w:pPr>
      <w:r>
        <w:t xml:space="preserve">Our sustainability strategy in development requires that we target the upfront carbon footprint of our developments, related to the construction materials and transportation emissions attributed to every new development. This is in line with the methodology used by the UK Green Buildings Council (UKBGC) in their Whole Life Carbon roadmap. </w:t>
      </w:r>
    </w:p>
    <w:p w14:paraId="0B16A6BC" w14:textId="77777777" w:rsidR="00025FF1" w:rsidRDefault="00025FF1" w:rsidP="003221CC">
      <w:pPr>
        <w:pStyle w:val="Normal1"/>
      </w:pPr>
      <w:r>
        <w:t xml:space="preserve">During 2021 we worked with two of our largest contractors to discuss how best to reduce embodied carbon in our buildings and are working towards a Sustainable Materials Brief for the UK and intend to adapt this for Continental Europe. </w:t>
      </w:r>
    </w:p>
    <w:p w14:paraId="5CE797BA" w14:textId="01A2E808" w:rsidR="00025FF1" w:rsidRDefault="00025FF1" w:rsidP="003221CC">
      <w:pPr>
        <w:pStyle w:val="Normal1"/>
      </w:pPr>
      <w:r>
        <w:t xml:space="preserve">We carry out </w:t>
      </w:r>
      <w:r w:rsidR="00B31A9C">
        <w:t>l</w:t>
      </w:r>
      <w:r>
        <w:t xml:space="preserve">ife </w:t>
      </w:r>
      <w:r w:rsidR="00B31A9C">
        <w:t>c</w:t>
      </w:r>
      <w:r>
        <w:t xml:space="preserve">ycle </w:t>
      </w:r>
      <w:r w:rsidR="00B31A9C">
        <w:t>a</w:t>
      </w:r>
      <w:r>
        <w:t>ssessments on our larger development projects to identify the potential to reduce a building’s carbon footprint over its full life cycle both by utilising alternative, more sustainable materials during construction and by considering the emissions related to the deconstruction at the end of the building’s useful life. We believe this holistic approach to embodied carbon is the most impactful. In 2021, we conducted life cycle assessments on over 44</w:t>
      </w:r>
      <w:r w:rsidR="005A3E9A">
        <w:t>0</w:t>
      </w:r>
      <w:r>
        <w:t xml:space="preserve">,000 sq m of new developments, covering over half of the development footprint by area in the year. Going forward, we aim to carry out life cycle assessments on all projects greater than 5,000 sq m (representing 98 per cent of complete floorspace in 2021) and apply lessons learned across the wider development programme as we progress against our target. </w:t>
      </w:r>
    </w:p>
    <w:p w14:paraId="1E76DABA" w14:textId="60D973F9" w:rsidR="00025FF1" w:rsidRDefault="00025FF1" w:rsidP="003221CC">
      <w:pPr>
        <w:pStyle w:val="Normal1"/>
      </w:pPr>
      <w:r>
        <w:t>We are increasingly using Building Information Management (BIM) in our development projects, a technology which facilitates three</w:t>
      </w:r>
      <w:r w:rsidR="00247179">
        <w:t>-</w:t>
      </w:r>
      <w:r>
        <w:t>dimensional modelling of the proposed building. It allows us to assess more accurately the amount of material needed for the construction (reducing waste) and the carbon emissions from the materials. It also allows us to model the building across its whole life, making it an important contributor to our target of reducing the level of whole life-cycle embodied carbon in our developments. In 2021 we were able to use BIM models to undertake the life cycle assessments, and this has led to more finishes and components being included in our assessments than before, giving us better visibility of the carbon within our buildings.</w:t>
      </w:r>
    </w:p>
    <w:p w14:paraId="27BE1A9D" w14:textId="2EA4B7DA" w:rsidR="00025FF1" w:rsidRDefault="00025FF1" w:rsidP="003221CC">
      <w:pPr>
        <w:pStyle w:val="Normal1"/>
      </w:pPr>
      <w:r>
        <w:t>The average embodied carbon intensity in 2021 was 391 kilograms CO2</w:t>
      </w:r>
      <w:r w:rsidR="00B31A9C">
        <w:t>e</w:t>
      </w:r>
      <w:r>
        <w:t xml:space="preserve"> per sq m of delivered floor space, representing a 2 per cent reduction from the recalculated 2020 baseline of 400 kg CO2</w:t>
      </w:r>
      <w:r w:rsidR="00B31A9C">
        <w:t>e</w:t>
      </w:r>
      <w:r>
        <w:t xml:space="preserve"> per sq m. </w:t>
      </w:r>
    </w:p>
    <w:p w14:paraId="501F984C" w14:textId="77777777" w:rsidR="00025FF1" w:rsidRDefault="00025FF1" w:rsidP="003221CC">
      <w:pPr>
        <w:pStyle w:val="Normal1"/>
      </w:pPr>
      <w:r>
        <w:t xml:space="preserve">We have trialled sustainable concrete specifications across multiple projects in 2021. This is the most effective way to impact the embodied carbon emissions, as concrete can comprise up to 50 per cent of the total embodied carbon in some projects. </w:t>
      </w:r>
    </w:p>
    <w:p w14:paraId="31EC1856" w14:textId="77777777" w:rsidR="00025FF1" w:rsidRDefault="00025FF1" w:rsidP="003221CC">
      <w:pPr>
        <w:pStyle w:val="Normal1"/>
      </w:pPr>
      <w:r>
        <w:t xml:space="preserve">We will continue to adopt the latest techniques to reduce embodied carbon within our developments, including low-carbon concrete and timber or recycled steel beams which we are already using in our current developments. The availability of such materials is not yet consistent across our markets and they are not always suited to the design or us of our buildings., but we are determined to continue to reduce the embodied carbon within our development pipeline to achieve our science-based target. </w:t>
      </w:r>
    </w:p>
    <w:p w14:paraId="2B5DF185" w14:textId="09FBD579" w:rsidR="00025FF1" w:rsidRDefault="00025FF1" w:rsidP="00025FF1">
      <w:pPr>
        <w:pStyle w:val="Heading3"/>
      </w:pPr>
      <w:r>
        <w:lastRenderedPageBreak/>
        <w:t xml:space="preserve">Waste </w:t>
      </w:r>
    </w:p>
    <w:p w14:paraId="39FACEB1" w14:textId="77777777" w:rsidR="00025FF1" w:rsidRDefault="00025FF1" w:rsidP="003221CC">
      <w:pPr>
        <w:pStyle w:val="Normal1"/>
      </w:pPr>
      <w:r>
        <w:t xml:space="preserve">While waste generated across our own offices (where we have control) is monitored, tracked and reported, the majority of our waste is created as a result of our construction and demolition projects. Our target is to send zero waste to landfill by 2025. </w:t>
      </w:r>
    </w:p>
    <w:p w14:paraId="30B08B20" w14:textId="77777777" w:rsidR="00025FF1" w:rsidRDefault="00025FF1" w:rsidP="003221CC">
      <w:pPr>
        <w:pStyle w:val="Normal1"/>
      </w:pPr>
      <w:r>
        <w:t xml:space="preserve">For demolition waste, which makes up the bulk of our total waste, we re-use as much as possible on-site to avoid the carbon emissions related to transportation of waste off-site and the import of new materials from elsewhere. </w:t>
      </w:r>
    </w:p>
    <w:p w14:paraId="71A82D63" w14:textId="2E22F15B" w:rsidR="00025FF1" w:rsidRPr="000F00BE" w:rsidRDefault="00025FF1" w:rsidP="003221CC">
      <w:pPr>
        <w:pStyle w:val="Normal1"/>
      </w:pPr>
      <w:r>
        <w:t>We undertake pre-demolition audits to identify waste materials taking into consideration the quantity and quality of waste to be re-used on site as aggregate. We also re-use on site where materials are non-hazardous and will not have a detrimental effect on the environment. Hazardous waste is treated differently and is not included within these figures. Hazardous waste is dealt with in the appropriate manner, fully in line with relevant regulation. In 2021</w:t>
      </w:r>
      <w:r w:rsidRPr="000F00BE">
        <w:t xml:space="preserve">, </w:t>
      </w:r>
      <w:r w:rsidRPr="009A7454">
        <w:t>97 per cent</w:t>
      </w:r>
      <w:r w:rsidRPr="000F00BE">
        <w:t xml:space="preserve"> of construction, demolition and operational waste controlled by SEGRO was diverted from landfill. </w:t>
      </w:r>
    </w:p>
    <w:p w14:paraId="0D1BEEAF" w14:textId="3D1E4336" w:rsidR="00025FF1" w:rsidRPr="000F00BE" w:rsidRDefault="00025FF1" w:rsidP="00025FF1">
      <w:pPr>
        <w:pStyle w:val="Heading3"/>
      </w:pPr>
      <w:r w:rsidRPr="000F00BE">
        <w:t xml:space="preserve">Biodiversity </w:t>
      </w:r>
    </w:p>
    <w:p w14:paraId="5E26E8C5" w14:textId="77777777" w:rsidR="00025FF1" w:rsidRPr="000F00BE" w:rsidRDefault="00025FF1" w:rsidP="003221CC">
      <w:pPr>
        <w:pStyle w:val="Normal1"/>
      </w:pPr>
      <w:r w:rsidRPr="000F00BE">
        <w:t xml:space="preserve">We think carefully about the spaces outside our existing and new buildings to ensure that they are pleasant environments for people to work in, meet the needs of our local communities and have a positive impact on local biodiversity. </w:t>
      </w:r>
    </w:p>
    <w:p w14:paraId="041E138C" w14:textId="2715E7C5" w:rsidR="00025FF1" w:rsidRPr="000F00BE" w:rsidRDefault="00025FF1" w:rsidP="003221CC">
      <w:pPr>
        <w:pStyle w:val="Normal1"/>
      </w:pPr>
      <w:r w:rsidRPr="000F00BE">
        <w:t xml:space="preserve">Where possible we create green spaces within our estates, including woodland areas with public walking trails around our big box parks or small ‘pocket parks’ and green walls in our urban estates. We plant indigenous trees and have even renatured stream beds. </w:t>
      </w:r>
      <w:r w:rsidR="000F00BE" w:rsidRPr="000F00BE">
        <w:t>On</w:t>
      </w:r>
      <w:r w:rsidRPr="000F00BE">
        <w:t xml:space="preserve"> many of our estates we have introduced </w:t>
      </w:r>
      <w:r w:rsidR="007778E3" w:rsidRPr="000F00BE">
        <w:t>beehives</w:t>
      </w:r>
      <w:r w:rsidRPr="000F00BE">
        <w:t xml:space="preserve"> and now have </w:t>
      </w:r>
      <w:r w:rsidRPr="002E04BD">
        <w:t>335</w:t>
      </w:r>
      <w:r w:rsidRPr="000F00BE">
        <w:t xml:space="preserve"> of them across our portfolio encouraging pollination of local plants and crops. We have also added bird boxes, bat boxes and other locally-appropriate biodiversity features that help contribute to a healthy ecosystem. </w:t>
      </w:r>
    </w:p>
    <w:p w14:paraId="149CA118" w14:textId="77777777" w:rsidR="00025FF1" w:rsidRPr="000F00BE" w:rsidRDefault="00025FF1" w:rsidP="003221CC">
      <w:pPr>
        <w:pStyle w:val="Normal1"/>
      </w:pPr>
      <w:r w:rsidRPr="000F00BE">
        <w:t xml:space="preserve">On land that is awaiting development in Italy we pay local farmers to manage the plots and graze livestock which have yielded risotto rice, buffalo mozzarella and wool whilst also keeping the grass well maintained. </w:t>
      </w:r>
    </w:p>
    <w:p w14:paraId="501BC6ED" w14:textId="304DB815" w:rsidR="00025FF1" w:rsidRPr="000F00BE" w:rsidRDefault="00025FF1" w:rsidP="00025FF1">
      <w:pPr>
        <w:pStyle w:val="Heading3"/>
      </w:pPr>
      <w:bookmarkStart w:id="1" w:name="_Hlk96011285"/>
      <w:r w:rsidRPr="000F00BE">
        <w:t xml:space="preserve">Building Certifications </w:t>
      </w:r>
    </w:p>
    <w:p w14:paraId="12D4CEDD" w14:textId="676B9140" w:rsidR="00025FF1" w:rsidRDefault="00025FF1" w:rsidP="003221CC">
      <w:pPr>
        <w:pStyle w:val="Normal1"/>
      </w:pPr>
      <w:r w:rsidRPr="000F00BE">
        <w:t xml:space="preserve">The sustainability credentials of a building are increasingly important for potential customers making a decision on where to locate their businesses. We target BREEAM ‘Very Good’ (or equivalent) certification for developments and in 2021 </w:t>
      </w:r>
      <w:r w:rsidRPr="009A7454">
        <w:t>98</w:t>
      </w:r>
      <w:r w:rsidRPr="000F00BE">
        <w:t xml:space="preserve"> per cent of our development completions have either been, or in the process of being, accredited at</w:t>
      </w:r>
      <w:r>
        <w:t xml:space="preserve"> that level. From 2022 </w:t>
      </w:r>
      <w:r w:rsidRPr="00B12B43">
        <w:t>onwards we have raised the minimum standard</w:t>
      </w:r>
      <w:r>
        <w:t xml:space="preserve"> to ‘Excellent’ unless local circumstances (such as supply chains) prevent it. </w:t>
      </w:r>
    </w:p>
    <w:bookmarkEnd w:id="1"/>
    <w:p w14:paraId="60C40135" w14:textId="76170A3D" w:rsidR="00025FF1" w:rsidRDefault="00025FF1" w:rsidP="00025FF1">
      <w:pPr>
        <w:pStyle w:val="Heading3"/>
      </w:pPr>
      <w:r>
        <w:t xml:space="preserve">Renewable Energy Capacity </w:t>
      </w:r>
    </w:p>
    <w:p w14:paraId="4B104EBF" w14:textId="235D680F" w:rsidR="00025FF1" w:rsidRDefault="00025FF1" w:rsidP="003221CC">
      <w:pPr>
        <w:pStyle w:val="Normal1"/>
      </w:pPr>
      <w:r>
        <w:t xml:space="preserve">Our development and refurbishment activity also allows us to increase our on-site renewable energy capacity. During 2021 we increased this </w:t>
      </w:r>
      <w:r w:rsidRPr="0033103B">
        <w:t xml:space="preserve">capacity by over 30 per cent bringing it to </w:t>
      </w:r>
      <w:r w:rsidR="0033103B" w:rsidRPr="0033103B">
        <w:t>35.4</w:t>
      </w:r>
      <w:r w:rsidRPr="0033103B">
        <w:t xml:space="preserve"> MW, and generating enough energy to power over 2,100 homes for a year</w:t>
      </w:r>
    </w:p>
    <w:p w14:paraId="10C8E529" w14:textId="48AAE055" w:rsidR="003221CC" w:rsidRPr="00025FF1" w:rsidRDefault="003221CC" w:rsidP="003221CC">
      <w:pPr>
        <w:pStyle w:val="Normal1"/>
        <w:rPr>
          <w:b/>
          <w:bCs/>
        </w:rPr>
      </w:pPr>
      <w:r w:rsidRPr="00025FF1">
        <w:rPr>
          <w:b/>
          <w:bCs/>
        </w:rPr>
        <w:t>Development: What to expect in 202</w:t>
      </w:r>
      <w:r w:rsidR="00025FF1" w:rsidRPr="00025FF1">
        <w:rPr>
          <w:b/>
          <w:bCs/>
        </w:rPr>
        <w:t>2</w:t>
      </w:r>
    </w:p>
    <w:p w14:paraId="207D5258" w14:textId="61AC3307" w:rsidR="00025FF1" w:rsidRDefault="00025FF1" w:rsidP="003221CC">
      <w:pPr>
        <w:pStyle w:val="Normal1"/>
      </w:pPr>
      <w:r>
        <w:t>We have 801,400 sq m of development projects under way capable of generating £62 million of new headline rent, of which 60 per cent has been secured. We expect t</w:t>
      </w:r>
      <w:r w:rsidRPr="000F00BE">
        <w:t xml:space="preserve">o invest </w:t>
      </w:r>
      <w:r w:rsidR="000F00BE" w:rsidRPr="000F00BE">
        <w:t>£</w:t>
      </w:r>
      <w:r w:rsidR="00C63CA4">
        <w:t>700</w:t>
      </w:r>
      <w:r w:rsidRPr="009A7454">
        <w:t xml:space="preserve"> million</w:t>
      </w:r>
      <w:r w:rsidRPr="000F00BE">
        <w:t xml:space="preserve"> in development capex including approximately </w:t>
      </w:r>
      <w:r w:rsidRPr="002E04BD">
        <w:t>£</w:t>
      </w:r>
      <w:r w:rsidR="000F00BE" w:rsidRPr="002E04BD">
        <w:t>1</w:t>
      </w:r>
      <w:r w:rsidR="00C63CA4">
        <w:t>5</w:t>
      </w:r>
      <w:r w:rsidR="000F00BE" w:rsidRPr="002E04BD">
        <w:t>0</w:t>
      </w:r>
      <w:r w:rsidRPr="002E04BD">
        <w:t xml:space="preserve"> million</w:t>
      </w:r>
      <w:r w:rsidRPr="000F00BE">
        <w:t xml:space="preserve"> of infrastructure expenditure.</w:t>
      </w:r>
    </w:p>
    <w:p w14:paraId="4A65A83B" w14:textId="41DE00D8" w:rsidR="006801BB" w:rsidRDefault="006801BB" w:rsidP="00ED73AA">
      <w:pPr>
        <w:pStyle w:val="Heading3"/>
      </w:pPr>
    </w:p>
    <w:p w14:paraId="7CD33502" w14:textId="4DA58610" w:rsidR="006801BB" w:rsidRDefault="006801BB" w:rsidP="006801BB"/>
    <w:p w14:paraId="6214E2DC" w14:textId="565003F6" w:rsidR="006801BB" w:rsidRDefault="006801BB" w:rsidP="006801BB"/>
    <w:p w14:paraId="56B4DFBD" w14:textId="73F83AA9" w:rsidR="006801BB" w:rsidRDefault="006801BB" w:rsidP="006801BB"/>
    <w:p w14:paraId="14EF5FE8" w14:textId="77777777" w:rsidR="006801BB" w:rsidRPr="00023CF3" w:rsidRDefault="006801BB" w:rsidP="00BA4E4C"/>
    <w:p w14:paraId="03FF3B64" w14:textId="554A175D" w:rsidR="00457914" w:rsidRPr="00ED73AA" w:rsidRDefault="006801BB" w:rsidP="00ED73AA">
      <w:pPr>
        <w:pStyle w:val="Heading3"/>
      </w:pPr>
      <w:r>
        <w:lastRenderedPageBreak/>
        <w:t xml:space="preserve">INVESTMENT </w:t>
      </w:r>
      <w:r w:rsidR="00457914" w:rsidRPr="00ED73AA">
        <w:t>UPDATE</w:t>
      </w:r>
      <w:r>
        <w:t xml:space="preserve"> - </w:t>
      </w:r>
      <w:r w:rsidRPr="00ED73AA">
        <w:t>£1.</w:t>
      </w:r>
      <w:r>
        <w:t>5</w:t>
      </w:r>
      <w:r w:rsidRPr="00ED73AA">
        <w:t xml:space="preserve"> </w:t>
      </w:r>
      <w:r>
        <w:t xml:space="preserve">BILLION OF NET INVESTMENT FOR GROWTH </w:t>
      </w:r>
    </w:p>
    <w:p w14:paraId="29FDB1ED" w14:textId="1B52049F" w:rsidR="00ED73AA" w:rsidRDefault="00ED73AA" w:rsidP="003221CC">
      <w:pPr>
        <w:pStyle w:val="Normal1"/>
        <w:rPr>
          <w:color w:val="FF0000"/>
        </w:rPr>
      </w:pPr>
      <w:r>
        <w:t>We invested almost £2 billion in our portfolio during 2021: development capital expenditure of £649 million, £997 million of assets and £326 million of land. This was partly offset by £515 million of disposals.</w:t>
      </w:r>
    </w:p>
    <w:p w14:paraId="3497D075" w14:textId="28F02B64" w:rsidR="00457914" w:rsidRPr="00ED73AA" w:rsidRDefault="00457914" w:rsidP="00457914">
      <w:pPr>
        <w:pStyle w:val="Heading3"/>
      </w:pPr>
      <w:r w:rsidRPr="00ED73AA">
        <w:t xml:space="preserve">Acquisitions </w:t>
      </w:r>
      <w:r w:rsidR="00B31A9C">
        <w:t>f</w:t>
      </w:r>
      <w:r w:rsidRPr="00ED73AA">
        <w:t xml:space="preserve">ocused on </w:t>
      </w:r>
      <w:r w:rsidR="00B31A9C">
        <w:t>b</w:t>
      </w:r>
      <w:r w:rsidRPr="00ED73AA">
        <w:t xml:space="preserve">uilding </w:t>
      </w:r>
      <w:r w:rsidR="00B31A9C">
        <w:t>s</w:t>
      </w:r>
      <w:r w:rsidRPr="00ED73AA">
        <w:t xml:space="preserve">cale in </w:t>
      </w:r>
      <w:r w:rsidR="00B31A9C">
        <w:t>u</w:t>
      </w:r>
      <w:r w:rsidRPr="00ED73AA">
        <w:t xml:space="preserve">rban </w:t>
      </w:r>
      <w:r w:rsidR="00B31A9C">
        <w:t>w</w:t>
      </w:r>
      <w:r w:rsidRPr="00ED73AA">
        <w:t xml:space="preserve">arehousing </w:t>
      </w:r>
    </w:p>
    <w:p w14:paraId="59460583" w14:textId="1C1748E5" w:rsidR="00ED73AA" w:rsidRDefault="00ED73AA" w:rsidP="003221CC">
      <w:pPr>
        <w:pStyle w:val="Normal1"/>
      </w:pPr>
      <w:r>
        <w:t xml:space="preserve">Despite extremely competitive investment markets we have been able to leverage our market position, reputation, relationships and expertise to </w:t>
      </w:r>
      <w:r w:rsidR="00B31A9C">
        <w:t>complete</w:t>
      </w:r>
      <w:r>
        <w:t xml:space="preserve"> some unique acquisition</w:t>
      </w:r>
      <w:r w:rsidR="00B31A9C">
        <w:t>s</w:t>
      </w:r>
      <w:r>
        <w:t xml:space="preserve"> in 2021. </w:t>
      </w:r>
    </w:p>
    <w:p w14:paraId="45E1E6AB" w14:textId="77777777" w:rsidR="00ED73AA" w:rsidRDefault="00ED73AA" w:rsidP="003221CC">
      <w:pPr>
        <w:pStyle w:val="Normal1"/>
      </w:pPr>
      <w:r>
        <w:t xml:space="preserve">We acquired assets totalling £997 million, reflecting a blended topped-up initial yield of 3.8 per cent. This included: </w:t>
      </w:r>
    </w:p>
    <w:p w14:paraId="2DE8A11B" w14:textId="04372E62" w:rsidR="00ED73AA" w:rsidRDefault="00ED73AA" w:rsidP="00ED73AA">
      <w:pPr>
        <w:pStyle w:val="Normal1"/>
        <w:numPr>
          <w:ilvl w:val="0"/>
          <w:numId w:val="36"/>
        </w:numPr>
      </w:pPr>
      <w:r>
        <w:t xml:space="preserve">the acquisition of </w:t>
      </w:r>
      <w:r w:rsidR="00B31A9C">
        <w:t>an</w:t>
      </w:r>
      <w:r>
        <w:t xml:space="preserve"> </w:t>
      </w:r>
      <w:r w:rsidR="000509BA">
        <w:t>o</w:t>
      </w:r>
      <w:r>
        <w:t>ffice portfolio</w:t>
      </w:r>
      <w:r w:rsidR="00B31A9C">
        <w:t xml:space="preserve"> in Slough</w:t>
      </w:r>
      <w:r>
        <w:t xml:space="preserve">, providing us with additional space for redevelopment on the Slough Trading Estate; </w:t>
      </w:r>
    </w:p>
    <w:p w14:paraId="29221434" w14:textId="624122B5" w:rsidR="00ED73AA" w:rsidRDefault="00ED73AA" w:rsidP="00ED73AA">
      <w:pPr>
        <w:pStyle w:val="Normal1"/>
        <w:numPr>
          <w:ilvl w:val="0"/>
          <w:numId w:val="36"/>
        </w:numPr>
      </w:pPr>
      <w:r>
        <w:t xml:space="preserve">an off-market UK asset swap that resulted in us acquiring a significant urban warehouse park in West London (Matrix Park) that perfectly complements our existing portfolio in Park Royal and also has a medium-term redevelopment opportunity; </w:t>
      </w:r>
    </w:p>
    <w:p w14:paraId="5989785F" w14:textId="53FB0B4A" w:rsidR="00ED73AA" w:rsidRDefault="00ED73AA" w:rsidP="00ED73AA">
      <w:pPr>
        <w:pStyle w:val="Normal1"/>
        <w:numPr>
          <w:ilvl w:val="0"/>
          <w:numId w:val="36"/>
        </w:numPr>
      </w:pPr>
      <w:r>
        <w:t xml:space="preserve">urban assets in North, East and South London with redevelopment potential, helping us to increase our presence in these key strategic </w:t>
      </w:r>
      <w:r w:rsidR="00B31A9C">
        <w:t>markets</w:t>
      </w:r>
      <w:r>
        <w:t xml:space="preserve">; </w:t>
      </w:r>
    </w:p>
    <w:p w14:paraId="27A5D494" w14:textId="3328692A" w:rsidR="00ED73AA" w:rsidRDefault="00ED73AA" w:rsidP="00ED73AA">
      <w:pPr>
        <w:pStyle w:val="Normal1"/>
        <w:numPr>
          <w:ilvl w:val="0"/>
          <w:numId w:val="36"/>
        </w:numPr>
      </w:pPr>
      <w:r>
        <w:t xml:space="preserve">a former car dealership </w:t>
      </w:r>
      <w:r w:rsidR="000509BA">
        <w:t xml:space="preserve">and car servicing centre </w:t>
      </w:r>
      <w:r>
        <w:t xml:space="preserve">with existing underground access over multiple levels in a unique </w:t>
      </w:r>
      <w:r w:rsidR="007778E3">
        <w:t>inner-city</w:t>
      </w:r>
      <w:r>
        <w:t xml:space="preserve"> Paris location; </w:t>
      </w:r>
    </w:p>
    <w:p w14:paraId="4D214E54" w14:textId="60ECFDBB" w:rsidR="00ED73AA" w:rsidRDefault="00ED73AA" w:rsidP="00ED73AA">
      <w:pPr>
        <w:pStyle w:val="Normal1"/>
        <w:numPr>
          <w:ilvl w:val="0"/>
          <w:numId w:val="36"/>
        </w:numPr>
      </w:pPr>
      <w:r>
        <w:t>an older urban industrial estate in Madrid with short-term income that helps us to unlock a larger redevelopment opportunity</w:t>
      </w:r>
      <w:r w:rsidR="00B31A9C">
        <w:t>.</w:t>
      </w:r>
      <w:r>
        <w:t xml:space="preserve"> </w:t>
      </w:r>
    </w:p>
    <w:p w14:paraId="66C49D21" w14:textId="280DDDBD" w:rsidR="00ED73AA" w:rsidRDefault="00ED73AA" w:rsidP="00ED73AA">
      <w:pPr>
        <w:pStyle w:val="Normal1"/>
      </w:pPr>
      <w:r>
        <w:t xml:space="preserve">In addition to the asset </w:t>
      </w:r>
      <w:r w:rsidR="007778E3">
        <w:t>acquisitions,</w:t>
      </w:r>
      <w:r>
        <w:t xml:space="preserve"> we also acquired £326 million of land to create future development </w:t>
      </w:r>
      <w:r w:rsidRPr="00C63CA4">
        <w:t xml:space="preserve">opportunities (see page </w:t>
      </w:r>
      <w:r w:rsidR="00C63CA4" w:rsidRPr="00C63CA4">
        <w:t>15</w:t>
      </w:r>
      <w:r w:rsidRPr="00C63CA4">
        <w:t xml:space="preserve"> for further</w:t>
      </w:r>
      <w:r>
        <w:t xml:space="preserve"> information). </w:t>
      </w:r>
    </w:p>
    <w:p w14:paraId="2790617A" w14:textId="1954C5BD" w:rsidR="00ED73AA" w:rsidRDefault="00ED73AA" w:rsidP="00ED73AA">
      <w:pPr>
        <w:pStyle w:val="Heading3"/>
      </w:pPr>
      <w:r>
        <w:t xml:space="preserve">Asset </w:t>
      </w:r>
      <w:r w:rsidR="00B31A9C">
        <w:t>r</w:t>
      </w:r>
      <w:r>
        <w:t xml:space="preserve">ecycling to </w:t>
      </w:r>
      <w:r w:rsidR="00B31A9C">
        <w:t>i</w:t>
      </w:r>
      <w:r>
        <w:t xml:space="preserve">mprove </w:t>
      </w:r>
      <w:r w:rsidR="00B31A9C">
        <w:t>p</w:t>
      </w:r>
      <w:r>
        <w:t xml:space="preserve">ortfolio </w:t>
      </w:r>
      <w:r w:rsidR="00B31A9C">
        <w:t>f</w:t>
      </w:r>
      <w:r>
        <w:t xml:space="preserve">ocus </w:t>
      </w:r>
    </w:p>
    <w:p w14:paraId="19F78A1F" w14:textId="77777777" w:rsidR="00ED73AA" w:rsidRDefault="00ED73AA" w:rsidP="00ED73AA">
      <w:pPr>
        <w:pStyle w:val="Normal1"/>
      </w:pPr>
      <w:r>
        <w:t xml:space="preserve">During 2021, we sold £515 million of land and assets, taking advantage of strong investor demand to realise profits and release capital to reinvest in our business. </w:t>
      </w:r>
    </w:p>
    <w:p w14:paraId="6281BCDD" w14:textId="77777777" w:rsidR="00ED73AA" w:rsidRDefault="00ED73AA" w:rsidP="00ED73AA">
      <w:pPr>
        <w:pStyle w:val="Normal1"/>
      </w:pPr>
      <w:r>
        <w:t>The asset disposals totalled £474 million, reflecting a blended topped-up initial yield of 4.0 per cent, and were significantly ahead of 31 December 2020 book values. They included:</w:t>
      </w:r>
    </w:p>
    <w:p w14:paraId="40B8C440" w14:textId="77777777" w:rsidR="00ED73AA" w:rsidRDefault="00ED73AA" w:rsidP="00ED73AA">
      <w:pPr>
        <w:pStyle w:val="Normal1"/>
        <w:numPr>
          <w:ilvl w:val="0"/>
          <w:numId w:val="37"/>
        </w:numPr>
      </w:pPr>
      <w:r>
        <w:t>the portfolio of UK assets that we swapped for Matrix Park. All of these were older, mostly stand-alone assets that had been identified for medium term disposal through our annual asset recycling process;</w:t>
      </w:r>
    </w:p>
    <w:p w14:paraId="76C4676E" w14:textId="77777777" w:rsidR="00ED73AA" w:rsidRDefault="00ED73AA" w:rsidP="00ED73AA">
      <w:pPr>
        <w:pStyle w:val="Normal1"/>
        <w:numPr>
          <w:ilvl w:val="0"/>
          <w:numId w:val="37"/>
        </w:numPr>
      </w:pPr>
      <w:r>
        <w:t xml:space="preserve">a portfolio of urban warehouses in Italy, in locations that we regard as non-core, that we had developed for a leading online global retailer to assist them with their expansion plans; </w:t>
      </w:r>
    </w:p>
    <w:p w14:paraId="5C229B2F" w14:textId="527D56D8" w:rsidR="00ED73AA" w:rsidRDefault="00ED73AA" w:rsidP="00ED73AA">
      <w:pPr>
        <w:pStyle w:val="Normal1"/>
        <w:numPr>
          <w:ilvl w:val="0"/>
          <w:numId w:val="37"/>
        </w:numPr>
      </w:pPr>
      <w:r>
        <w:t xml:space="preserve">a car showroom </w:t>
      </w:r>
      <w:r w:rsidR="002B15EA">
        <w:t>in Reading</w:t>
      </w:r>
      <w:r>
        <w:t xml:space="preserve">; </w:t>
      </w:r>
    </w:p>
    <w:p w14:paraId="7068EC52" w14:textId="77777777" w:rsidR="00ED73AA" w:rsidRDefault="00ED73AA" w:rsidP="00ED73AA">
      <w:pPr>
        <w:pStyle w:val="Normal1"/>
        <w:numPr>
          <w:ilvl w:val="0"/>
          <w:numId w:val="37"/>
        </w:numPr>
      </w:pPr>
      <w:r>
        <w:t xml:space="preserve">stand-alone big box warehouses in Italy and Spain. </w:t>
      </w:r>
    </w:p>
    <w:p w14:paraId="59CAC31B" w14:textId="77777777" w:rsidR="00ED73AA" w:rsidRDefault="00ED73AA" w:rsidP="00ED73AA">
      <w:pPr>
        <w:pStyle w:val="Normal1"/>
      </w:pPr>
      <w:r>
        <w:t>As in previous years, we sold a portfolio of Continental European big box warehouses developed by SEGRO to SELP for which we received £116 million net proceeds from an effective sale of a 50 per cent interest.</w:t>
      </w:r>
    </w:p>
    <w:p w14:paraId="07F71C4B" w14:textId="2A126B79" w:rsidR="00ED73AA" w:rsidRDefault="00ED73AA" w:rsidP="00ED73AA">
      <w:pPr>
        <w:pStyle w:val="Normal1"/>
      </w:pPr>
      <w:r>
        <w:t>Additionally, we disposed of £41 million of land, primarily comprising plots in non-core markets</w:t>
      </w:r>
      <w:r w:rsidR="00DD7C1F">
        <w:t xml:space="preserve">. </w:t>
      </w:r>
      <w:r>
        <w:t xml:space="preserve"> </w:t>
      </w:r>
    </w:p>
    <w:p w14:paraId="6BB94558" w14:textId="64329EC7" w:rsidR="00ED73AA" w:rsidRDefault="000F00BE" w:rsidP="00ED73AA">
      <w:pPr>
        <w:pStyle w:val="Heading3"/>
      </w:pPr>
      <w:r>
        <w:t>Investment</w:t>
      </w:r>
      <w:r w:rsidR="00ED73AA">
        <w:t xml:space="preserve">: What to expect </w:t>
      </w:r>
      <w:r w:rsidR="00B31A9C">
        <w:t>i</w:t>
      </w:r>
      <w:r w:rsidR="00ED73AA">
        <w:t xml:space="preserve">n 2022 </w:t>
      </w:r>
    </w:p>
    <w:p w14:paraId="6028B0FA" w14:textId="05022C91" w:rsidR="000F00BE" w:rsidRPr="002E04BD" w:rsidRDefault="000F00BE" w:rsidP="002E04BD">
      <w:pPr>
        <w:pStyle w:val="Normal1"/>
      </w:pPr>
      <w:r w:rsidRPr="002E04BD">
        <w:t>We will continue our disciplined approach to capital allocation, focusing the majority of our investment</w:t>
      </w:r>
      <w:r w:rsidR="00B31A9C">
        <w:t xml:space="preserve"> on</w:t>
      </w:r>
      <w:r w:rsidRPr="002E04BD">
        <w:t xml:space="preserve"> the development pipeline </w:t>
      </w:r>
      <w:r w:rsidR="005013E6">
        <w:t xml:space="preserve">(through development capex, land acquisitions and acquiring assets with future redevelopment potential) </w:t>
      </w:r>
      <w:r w:rsidRPr="002E04BD">
        <w:t xml:space="preserve">but making strategic asset acquisitions when the opportunity arises. </w:t>
      </w:r>
    </w:p>
    <w:p w14:paraId="2D20CAA5" w14:textId="6153A0FE" w:rsidR="000D399E" w:rsidRDefault="000F00BE" w:rsidP="009E644F">
      <w:pPr>
        <w:pStyle w:val="Normal1"/>
        <w:rPr>
          <w:color w:val="FF0000"/>
        </w:rPr>
      </w:pPr>
      <w:r w:rsidRPr="002E04BD">
        <w:t xml:space="preserve">While investor demand for industrial properties remains strong, we expect to continue to recycle assets where we believe we can generate better returns from deploying our capital in other opportunities. We typically expect to recycle 1-2 per cent of </w:t>
      </w:r>
      <w:r w:rsidR="00C63CA4">
        <w:t>the portfolio</w:t>
      </w:r>
      <w:r w:rsidRPr="002E04BD">
        <w:t xml:space="preserve"> per year. </w:t>
      </w:r>
    </w:p>
    <w:p w14:paraId="637B82BC" w14:textId="5989A095" w:rsidR="000D399E" w:rsidRDefault="000D399E" w:rsidP="009E644F">
      <w:pPr>
        <w:pStyle w:val="Normal1"/>
        <w:rPr>
          <w:color w:val="FF0000"/>
        </w:rPr>
      </w:pPr>
    </w:p>
    <w:p w14:paraId="7BC257EF" w14:textId="3F746E6C" w:rsidR="002D05EC" w:rsidRDefault="002D05EC">
      <w:pPr>
        <w:spacing w:after="0" w:line="240" w:lineRule="auto"/>
        <w:rPr>
          <w:color w:val="FF0000"/>
        </w:rPr>
      </w:pPr>
    </w:p>
    <w:p w14:paraId="23A6CC85" w14:textId="36D6E543" w:rsidR="00567D63" w:rsidRPr="00097A4B" w:rsidRDefault="005E793C" w:rsidP="005E793C">
      <w:pPr>
        <w:pStyle w:val="Heading1"/>
      </w:pPr>
      <w:r w:rsidRPr="00097A4B">
        <w:t xml:space="preserve">finance review: </w:t>
      </w:r>
      <w:r w:rsidR="00567D63" w:rsidRPr="00097A4B">
        <w:t xml:space="preserve">AN ACTIVE YEAR OF FINANCING AND STRONG FINANCIAL RESULTS </w:t>
      </w:r>
    </w:p>
    <w:p w14:paraId="2FB9A684" w14:textId="77777777" w:rsidR="005E793C" w:rsidRPr="00017986" w:rsidRDefault="005E793C" w:rsidP="005E793C">
      <w:pPr>
        <w:pStyle w:val="Normal1"/>
        <w:rPr>
          <w:u w:val="single"/>
        </w:rPr>
      </w:pPr>
      <w:r w:rsidRPr="00017986">
        <w:rPr>
          <w:u w:val="single"/>
        </w:rPr>
        <w:t>Financial highlights</w:t>
      </w:r>
    </w:p>
    <w:tbl>
      <w:tblPr>
        <w:tblStyle w:val="TableGrid"/>
        <w:tblW w:w="5000" w:type="pct"/>
        <w:tblLook w:val="04A0" w:firstRow="1" w:lastRow="0" w:firstColumn="1" w:lastColumn="0" w:noHBand="0" w:noVBand="1"/>
      </w:tblPr>
      <w:tblGrid>
        <w:gridCol w:w="6425"/>
        <w:gridCol w:w="1348"/>
        <w:gridCol w:w="1348"/>
        <w:gridCol w:w="1346"/>
      </w:tblGrid>
      <w:tr w:rsidR="00017986" w:rsidRPr="00017986" w14:paraId="2B74E7AC" w14:textId="77777777" w:rsidTr="00E30618">
        <w:trPr>
          <w:trHeight w:val="20"/>
        </w:trPr>
        <w:tc>
          <w:tcPr>
            <w:tcW w:w="3069" w:type="pct"/>
            <w:tcBorders>
              <w:bottom w:val="single" w:sz="8" w:space="0" w:color="000000"/>
            </w:tcBorders>
          </w:tcPr>
          <w:p w14:paraId="0035DDBD" w14:textId="77777777" w:rsidR="005E793C" w:rsidRPr="00017986" w:rsidRDefault="005E793C" w:rsidP="00E30618">
            <w:pPr>
              <w:pStyle w:val="TableColHeadsBold0"/>
              <w:rPr>
                <w:vertAlign w:val="superscript"/>
              </w:rPr>
            </w:pPr>
          </w:p>
        </w:tc>
        <w:tc>
          <w:tcPr>
            <w:tcW w:w="644" w:type="pct"/>
            <w:tcBorders>
              <w:bottom w:val="single" w:sz="8" w:space="0" w:color="000000"/>
            </w:tcBorders>
          </w:tcPr>
          <w:p w14:paraId="2D884F96" w14:textId="77777777" w:rsidR="005E793C" w:rsidRPr="00017986" w:rsidRDefault="005E793C" w:rsidP="00E30618">
            <w:pPr>
              <w:pStyle w:val="TableColHeadsBold0"/>
            </w:pPr>
          </w:p>
        </w:tc>
        <w:tc>
          <w:tcPr>
            <w:tcW w:w="644" w:type="pct"/>
            <w:tcBorders>
              <w:bottom w:val="single" w:sz="8" w:space="0" w:color="000000"/>
            </w:tcBorders>
          </w:tcPr>
          <w:p w14:paraId="6162029C" w14:textId="0D293493" w:rsidR="005E793C" w:rsidRPr="00017986" w:rsidRDefault="005E793C" w:rsidP="00E30618">
            <w:pPr>
              <w:pStyle w:val="TableColHeadsBold0"/>
            </w:pPr>
            <w:r w:rsidRPr="00017986">
              <w:t>31 December 20</w:t>
            </w:r>
            <w:r w:rsidR="00515879" w:rsidRPr="00017986">
              <w:t>2</w:t>
            </w:r>
            <w:r w:rsidR="00017986" w:rsidRPr="00017986">
              <w:t>1</w:t>
            </w:r>
          </w:p>
        </w:tc>
        <w:tc>
          <w:tcPr>
            <w:tcW w:w="643" w:type="pct"/>
            <w:tcBorders>
              <w:bottom w:val="single" w:sz="8" w:space="0" w:color="000000"/>
            </w:tcBorders>
          </w:tcPr>
          <w:p w14:paraId="080B1017" w14:textId="762F81D8" w:rsidR="005E793C" w:rsidRPr="00017986" w:rsidRDefault="005E793C" w:rsidP="00E30618">
            <w:pPr>
              <w:pStyle w:val="TableColHeadsBold0"/>
            </w:pPr>
            <w:r w:rsidRPr="00017986">
              <w:t>31 December 20</w:t>
            </w:r>
            <w:r w:rsidR="00017986" w:rsidRPr="00017986">
              <w:t>20</w:t>
            </w:r>
          </w:p>
        </w:tc>
      </w:tr>
      <w:tr w:rsidR="00017986" w:rsidRPr="00017986" w14:paraId="357571C0" w14:textId="77777777" w:rsidTr="00E30618">
        <w:trPr>
          <w:trHeight w:val="20"/>
        </w:trPr>
        <w:tc>
          <w:tcPr>
            <w:tcW w:w="3069" w:type="pct"/>
            <w:tcBorders>
              <w:top w:val="single" w:sz="8" w:space="0" w:color="000000"/>
            </w:tcBorders>
          </w:tcPr>
          <w:p w14:paraId="3EE8767E" w14:textId="24782206" w:rsidR="00515879" w:rsidRPr="00017986" w:rsidRDefault="00515879" w:rsidP="00515879">
            <w:pPr>
              <w:pStyle w:val="Tabletext"/>
            </w:pPr>
            <w:r w:rsidRPr="00017986">
              <w:t>IFRS</w:t>
            </w:r>
            <w:r w:rsidRPr="00017986">
              <w:rPr>
                <w:vertAlign w:val="superscript"/>
              </w:rPr>
              <w:t xml:space="preserve">1 </w:t>
            </w:r>
            <w:r w:rsidRPr="00017986">
              <w:t>net asset value (NAV) per share (diluted) (p)</w:t>
            </w:r>
          </w:p>
        </w:tc>
        <w:tc>
          <w:tcPr>
            <w:tcW w:w="644" w:type="pct"/>
            <w:tcBorders>
              <w:top w:val="single" w:sz="8" w:space="0" w:color="000000"/>
            </w:tcBorders>
          </w:tcPr>
          <w:p w14:paraId="7716A4C6" w14:textId="77777777" w:rsidR="00515879" w:rsidRPr="00017986" w:rsidRDefault="00515879" w:rsidP="00515879">
            <w:pPr>
              <w:pStyle w:val="TableFiguresBold0"/>
            </w:pPr>
          </w:p>
        </w:tc>
        <w:tc>
          <w:tcPr>
            <w:tcW w:w="644" w:type="pct"/>
            <w:tcBorders>
              <w:top w:val="single" w:sz="8" w:space="0" w:color="000000"/>
            </w:tcBorders>
          </w:tcPr>
          <w:p w14:paraId="3ABC3A70" w14:textId="68D4168A" w:rsidR="00515879" w:rsidRPr="00017986" w:rsidRDefault="00017986" w:rsidP="00515879">
            <w:pPr>
              <w:pStyle w:val="TableFigures"/>
              <w:rPr>
                <w:b/>
              </w:rPr>
            </w:pPr>
            <w:r w:rsidRPr="00017986">
              <w:rPr>
                <w:b/>
              </w:rPr>
              <w:t>1,115</w:t>
            </w:r>
          </w:p>
        </w:tc>
        <w:tc>
          <w:tcPr>
            <w:tcW w:w="643" w:type="pct"/>
            <w:tcBorders>
              <w:top w:val="single" w:sz="8" w:space="0" w:color="000000"/>
            </w:tcBorders>
          </w:tcPr>
          <w:p w14:paraId="621AB3ED" w14:textId="134D1AFF" w:rsidR="00515879" w:rsidRPr="00017986" w:rsidRDefault="00017986" w:rsidP="00515879">
            <w:pPr>
              <w:pStyle w:val="TableFigures"/>
            </w:pPr>
            <w:r w:rsidRPr="00017986">
              <w:t>809</w:t>
            </w:r>
          </w:p>
        </w:tc>
      </w:tr>
      <w:tr w:rsidR="00017986" w:rsidRPr="00017986" w14:paraId="78995831" w14:textId="77777777" w:rsidTr="00E30618">
        <w:trPr>
          <w:trHeight w:val="20"/>
        </w:trPr>
        <w:tc>
          <w:tcPr>
            <w:tcW w:w="3069" w:type="pct"/>
          </w:tcPr>
          <w:p w14:paraId="7599A6BE" w14:textId="56BABC61" w:rsidR="00515879" w:rsidRPr="00017986" w:rsidRDefault="00D964CC" w:rsidP="00515879">
            <w:pPr>
              <w:pStyle w:val="Tabletext"/>
            </w:pPr>
            <w:r w:rsidRPr="00017986">
              <w:t>Adjusted</w:t>
            </w:r>
            <w:r w:rsidR="00515879" w:rsidRPr="00017986">
              <w:rPr>
                <w:vertAlign w:val="superscript"/>
              </w:rPr>
              <w:t xml:space="preserve">1 </w:t>
            </w:r>
            <w:r w:rsidR="00515879" w:rsidRPr="00017986">
              <w:t>NAV per share (diluted) (p)</w:t>
            </w:r>
          </w:p>
        </w:tc>
        <w:tc>
          <w:tcPr>
            <w:tcW w:w="644" w:type="pct"/>
          </w:tcPr>
          <w:p w14:paraId="229EB89E" w14:textId="77777777" w:rsidR="00515879" w:rsidRPr="00017986" w:rsidRDefault="00515879" w:rsidP="00515879">
            <w:pPr>
              <w:pStyle w:val="TableFiguresBold0"/>
            </w:pPr>
          </w:p>
        </w:tc>
        <w:tc>
          <w:tcPr>
            <w:tcW w:w="644" w:type="pct"/>
          </w:tcPr>
          <w:p w14:paraId="3E1D46F6" w14:textId="3CB29B47" w:rsidR="00515879" w:rsidRPr="00017986" w:rsidRDefault="00890632" w:rsidP="00515879">
            <w:pPr>
              <w:pStyle w:val="TableFigures"/>
              <w:rPr>
                <w:b/>
              </w:rPr>
            </w:pPr>
            <w:r>
              <w:rPr>
                <w:b/>
              </w:rPr>
              <w:t>1,137</w:t>
            </w:r>
          </w:p>
        </w:tc>
        <w:tc>
          <w:tcPr>
            <w:tcW w:w="643" w:type="pct"/>
          </w:tcPr>
          <w:p w14:paraId="043822BD" w14:textId="17F8C138" w:rsidR="00515879" w:rsidRPr="00017986" w:rsidRDefault="00017986" w:rsidP="00515879">
            <w:pPr>
              <w:pStyle w:val="TableFigures"/>
            </w:pPr>
            <w:r w:rsidRPr="00017986">
              <w:t>814</w:t>
            </w:r>
          </w:p>
        </w:tc>
      </w:tr>
      <w:tr w:rsidR="00017986" w:rsidRPr="00017986" w14:paraId="66660C51" w14:textId="77777777" w:rsidTr="00E30618">
        <w:trPr>
          <w:trHeight w:val="20"/>
        </w:trPr>
        <w:tc>
          <w:tcPr>
            <w:tcW w:w="3069" w:type="pct"/>
          </w:tcPr>
          <w:p w14:paraId="2DD93E19" w14:textId="77777777" w:rsidR="00515879" w:rsidRPr="00017986" w:rsidRDefault="00515879" w:rsidP="00515879">
            <w:pPr>
              <w:pStyle w:val="Tabletext"/>
              <w:rPr>
                <w:rFonts w:cs="Arial"/>
              </w:rPr>
            </w:pPr>
            <w:r w:rsidRPr="00017986">
              <w:t>IFRS profit before tax (£m)</w:t>
            </w:r>
          </w:p>
        </w:tc>
        <w:tc>
          <w:tcPr>
            <w:tcW w:w="644" w:type="pct"/>
          </w:tcPr>
          <w:p w14:paraId="023006F3" w14:textId="77777777" w:rsidR="00515879" w:rsidRPr="00017986" w:rsidRDefault="00515879" w:rsidP="00515879">
            <w:pPr>
              <w:pStyle w:val="TableFiguresBold0"/>
            </w:pPr>
          </w:p>
        </w:tc>
        <w:tc>
          <w:tcPr>
            <w:tcW w:w="644" w:type="pct"/>
          </w:tcPr>
          <w:p w14:paraId="07873ECB" w14:textId="2A3BB854" w:rsidR="00515879" w:rsidRPr="00017986" w:rsidRDefault="00017986" w:rsidP="00515879">
            <w:pPr>
              <w:pStyle w:val="TableFigures"/>
              <w:rPr>
                <w:b/>
              </w:rPr>
            </w:pPr>
            <w:r w:rsidRPr="00017986">
              <w:rPr>
                <w:b/>
              </w:rPr>
              <w:t>4,355</w:t>
            </w:r>
          </w:p>
        </w:tc>
        <w:tc>
          <w:tcPr>
            <w:tcW w:w="643" w:type="pct"/>
          </w:tcPr>
          <w:p w14:paraId="6A80B329" w14:textId="729F9F86" w:rsidR="00515879" w:rsidRPr="00017986" w:rsidRDefault="00017986" w:rsidP="00515879">
            <w:pPr>
              <w:pStyle w:val="TableFigures"/>
            </w:pPr>
            <w:r w:rsidRPr="00017986">
              <w:t>1,464</w:t>
            </w:r>
          </w:p>
        </w:tc>
      </w:tr>
      <w:tr w:rsidR="00017986" w:rsidRPr="00017986" w14:paraId="3DB1A495" w14:textId="77777777" w:rsidTr="00E30618">
        <w:trPr>
          <w:trHeight w:val="20"/>
        </w:trPr>
        <w:tc>
          <w:tcPr>
            <w:tcW w:w="3069" w:type="pct"/>
          </w:tcPr>
          <w:p w14:paraId="73F36793" w14:textId="77777777" w:rsidR="00515879" w:rsidRPr="00017986" w:rsidRDefault="00515879" w:rsidP="00515879">
            <w:pPr>
              <w:pStyle w:val="Tabletext"/>
              <w:rPr>
                <w:rFonts w:cs="Arial"/>
              </w:rPr>
            </w:pPr>
            <w:r w:rsidRPr="00017986">
              <w:t>Adjusted</w:t>
            </w:r>
            <w:r w:rsidRPr="00017986">
              <w:rPr>
                <w:vertAlign w:val="superscript"/>
              </w:rPr>
              <w:t>2</w:t>
            </w:r>
            <w:r w:rsidRPr="00017986">
              <w:t xml:space="preserve"> profit before tax (£m)</w:t>
            </w:r>
          </w:p>
        </w:tc>
        <w:tc>
          <w:tcPr>
            <w:tcW w:w="644" w:type="pct"/>
          </w:tcPr>
          <w:p w14:paraId="5BD95EAC" w14:textId="77777777" w:rsidR="00515879" w:rsidRPr="00017986" w:rsidRDefault="00515879" w:rsidP="00515879">
            <w:pPr>
              <w:pStyle w:val="TableFiguresBold0"/>
            </w:pPr>
          </w:p>
        </w:tc>
        <w:tc>
          <w:tcPr>
            <w:tcW w:w="644" w:type="pct"/>
          </w:tcPr>
          <w:p w14:paraId="3D11D875" w14:textId="17127020" w:rsidR="00515879" w:rsidRPr="00017986" w:rsidRDefault="00017986" w:rsidP="00515879">
            <w:pPr>
              <w:pStyle w:val="TableFigures"/>
              <w:rPr>
                <w:b/>
              </w:rPr>
            </w:pPr>
            <w:r w:rsidRPr="00017986">
              <w:rPr>
                <w:b/>
              </w:rPr>
              <w:t>356</w:t>
            </w:r>
          </w:p>
        </w:tc>
        <w:tc>
          <w:tcPr>
            <w:tcW w:w="643" w:type="pct"/>
          </w:tcPr>
          <w:p w14:paraId="70A9D086" w14:textId="56BAAFD8" w:rsidR="00515879" w:rsidRPr="00017986" w:rsidRDefault="00017986" w:rsidP="00515879">
            <w:pPr>
              <w:pStyle w:val="TableFigures"/>
            </w:pPr>
            <w:r w:rsidRPr="00017986">
              <w:t>296</w:t>
            </w:r>
          </w:p>
        </w:tc>
      </w:tr>
      <w:tr w:rsidR="00017986" w:rsidRPr="00017986" w14:paraId="488B5DF9" w14:textId="77777777" w:rsidTr="00E30618">
        <w:trPr>
          <w:trHeight w:val="20"/>
        </w:trPr>
        <w:tc>
          <w:tcPr>
            <w:tcW w:w="3069" w:type="pct"/>
          </w:tcPr>
          <w:p w14:paraId="6303C45D" w14:textId="77777777" w:rsidR="00515879" w:rsidRPr="00017986" w:rsidRDefault="00515879" w:rsidP="00515879">
            <w:pPr>
              <w:pStyle w:val="Tabletext"/>
              <w:rPr>
                <w:rFonts w:cs="Arial"/>
                <w:vertAlign w:val="superscript"/>
              </w:rPr>
            </w:pPr>
            <w:r w:rsidRPr="00017986">
              <w:t>IFRS earnings per share (EPS) (p)</w:t>
            </w:r>
          </w:p>
        </w:tc>
        <w:tc>
          <w:tcPr>
            <w:tcW w:w="644" w:type="pct"/>
          </w:tcPr>
          <w:p w14:paraId="229114A1" w14:textId="77777777" w:rsidR="00515879" w:rsidRPr="00017986" w:rsidRDefault="00515879" w:rsidP="00515879">
            <w:pPr>
              <w:pStyle w:val="TableFiguresBold0"/>
            </w:pPr>
          </w:p>
        </w:tc>
        <w:tc>
          <w:tcPr>
            <w:tcW w:w="644" w:type="pct"/>
          </w:tcPr>
          <w:p w14:paraId="32D12D18" w14:textId="5831AB29" w:rsidR="00515879" w:rsidRPr="00017986" w:rsidRDefault="00017986" w:rsidP="00515879">
            <w:pPr>
              <w:pStyle w:val="TableFigures"/>
              <w:rPr>
                <w:b/>
              </w:rPr>
            </w:pPr>
            <w:r w:rsidRPr="00017986">
              <w:rPr>
                <w:b/>
              </w:rPr>
              <w:t>339.0</w:t>
            </w:r>
          </w:p>
        </w:tc>
        <w:tc>
          <w:tcPr>
            <w:tcW w:w="643" w:type="pct"/>
          </w:tcPr>
          <w:p w14:paraId="1DBBCBEF" w14:textId="7ECEC5FA" w:rsidR="00515879" w:rsidRPr="00017986" w:rsidRDefault="00017986" w:rsidP="00515879">
            <w:pPr>
              <w:pStyle w:val="TableFigures"/>
            </w:pPr>
            <w:r w:rsidRPr="00017986">
              <w:t>124.1</w:t>
            </w:r>
          </w:p>
        </w:tc>
      </w:tr>
      <w:tr w:rsidR="00515879" w:rsidRPr="00017986" w14:paraId="4540D9FC" w14:textId="77777777" w:rsidTr="00E30618">
        <w:trPr>
          <w:trHeight w:val="20"/>
        </w:trPr>
        <w:tc>
          <w:tcPr>
            <w:tcW w:w="3069" w:type="pct"/>
            <w:tcBorders>
              <w:bottom w:val="single" w:sz="8" w:space="0" w:color="000000"/>
            </w:tcBorders>
            <w:vAlign w:val="top"/>
          </w:tcPr>
          <w:p w14:paraId="25A1049B" w14:textId="77777777" w:rsidR="00515879" w:rsidRPr="00017986" w:rsidRDefault="00515879" w:rsidP="00515879">
            <w:pPr>
              <w:pStyle w:val="Tabletext"/>
              <w:rPr>
                <w:rFonts w:cs="Arial"/>
              </w:rPr>
            </w:pPr>
            <w:r w:rsidRPr="00017986">
              <w:t>Adjusted</w:t>
            </w:r>
            <w:r w:rsidRPr="00017986">
              <w:rPr>
                <w:vertAlign w:val="superscript"/>
              </w:rPr>
              <w:t>2</w:t>
            </w:r>
            <w:r w:rsidRPr="00017986">
              <w:t xml:space="preserve"> EPS (p)</w:t>
            </w:r>
          </w:p>
        </w:tc>
        <w:tc>
          <w:tcPr>
            <w:tcW w:w="644" w:type="pct"/>
            <w:tcBorders>
              <w:bottom w:val="single" w:sz="8" w:space="0" w:color="000000"/>
            </w:tcBorders>
            <w:vAlign w:val="top"/>
          </w:tcPr>
          <w:p w14:paraId="2D3A7E69" w14:textId="77777777" w:rsidR="00515879" w:rsidRPr="00017986" w:rsidRDefault="00515879" w:rsidP="00515879">
            <w:pPr>
              <w:pStyle w:val="TableFiguresBold0"/>
            </w:pPr>
          </w:p>
        </w:tc>
        <w:tc>
          <w:tcPr>
            <w:tcW w:w="644" w:type="pct"/>
            <w:tcBorders>
              <w:bottom w:val="single" w:sz="8" w:space="0" w:color="000000"/>
            </w:tcBorders>
            <w:vAlign w:val="top"/>
          </w:tcPr>
          <w:p w14:paraId="38103C4A" w14:textId="04004EAD" w:rsidR="00515879" w:rsidRPr="00017986" w:rsidRDefault="00017986" w:rsidP="00515879">
            <w:pPr>
              <w:pStyle w:val="TableFigures"/>
              <w:rPr>
                <w:b/>
              </w:rPr>
            </w:pPr>
            <w:r w:rsidRPr="00017986">
              <w:rPr>
                <w:b/>
              </w:rPr>
              <w:t>29.1</w:t>
            </w:r>
          </w:p>
        </w:tc>
        <w:tc>
          <w:tcPr>
            <w:tcW w:w="643" w:type="pct"/>
            <w:tcBorders>
              <w:bottom w:val="single" w:sz="8" w:space="0" w:color="000000"/>
            </w:tcBorders>
            <w:vAlign w:val="top"/>
          </w:tcPr>
          <w:p w14:paraId="61E5BAEC" w14:textId="65923AE4" w:rsidR="00515879" w:rsidRPr="00017986" w:rsidRDefault="00017986" w:rsidP="00515879">
            <w:pPr>
              <w:pStyle w:val="TableFigures"/>
            </w:pPr>
            <w:r w:rsidRPr="00017986">
              <w:t>25.4</w:t>
            </w:r>
          </w:p>
        </w:tc>
      </w:tr>
    </w:tbl>
    <w:p w14:paraId="63F761C0" w14:textId="77777777" w:rsidR="005E793C" w:rsidRPr="00017986" w:rsidRDefault="005E793C" w:rsidP="005E793C">
      <w:pPr>
        <w:pStyle w:val="FootnotesNoSpace"/>
        <w:rPr>
          <w:rFonts w:eastAsia="Times"/>
          <w:i w:val="0"/>
        </w:rPr>
      </w:pPr>
    </w:p>
    <w:p w14:paraId="246DEE59" w14:textId="3F0179B9" w:rsidR="005E793C" w:rsidRPr="00017986" w:rsidRDefault="005E793C" w:rsidP="005E793C">
      <w:pPr>
        <w:pStyle w:val="FootnotesNoSpace"/>
        <w:rPr>
          <w:i w:val="0"/>
        </w:rPr>
      </w:pPr>
      <w:r w:rsidRPr="00017986">
        <w:rPr>
          <w:rFonts w:eastAsia="Times"/>
          <w:i w:val="0"/>
        </w:rPr>
        <w:t xml:space="preserve">1 A reconciliation between IFRS NAV and its </w:t>
      </w:r>
      <w:r w:rsidR="00D964CC" w:rsidRPr="00017986">
        <w:rPr>
          <w:rFonts w:eastAsia="Times"/>
          <w:i w:val="0"/>
        </w:rPr>
        <w:t>Adjusted NAV</w:t>
      </w:r>
      <w:r w:rsidRPr="00017986">
        <w:rPr>
          <w:rFonts w:eastAsia="Times"/>
          <w:i w:val="0"/>
        </w:rPr>
        <w:t xml:space="preserve"> equivalent is shown in Note 11. </w:t>
      </w:r>
    </w:p>
    <w:p w14:paraId="285D9FE1" w14:textId="77777777" w:rsidR="005E793C" w:rsidRPr="00017986" w:rsidRDefault="005E793C" w:rsidP="005E793C">
      <w:pPr>
        <w:pStyle w:val="FootnotesNoSpace"/>
        <w:rPr>
          <w:rFonts w:eastAsia="Times"/>
          <w:i w:val="0"/>
        </w:rPr>
      </w:pPr>
      <w:r w:rsidRPr="00017986">
        <w:rPr>
          <w:rFonts w:eastAsia="Times"/>
          <w:i w:val="0"/>
        </w:rPr>
        <w:t>2 A reconciliation between IFRS profit before tax and Adjusted profit before tax is shown in Note 2 and between IFRS EPS and Adjusted EPS is shown in Note 11.</w:t>
      </w:r>
    </w:p>
    <w:p w14:paraId="2ACB4285" w14:textId="77777777" w:rsidR="005E793C" w:rsidRPr="00097A4B" w:rsidRDefault="005E793C" w:rsidP="005E793C">
      <w:pPr>
        <w:pStyle w:val="Heading3"/>
      </w:pPr>
      <w:r w:rsidRPr="00097A4B">
        <w:t>Presentation of financial information</w:t>
      </w:r>
    </w:p>
    <w:p w14:paraId="3D27602F" w14:textId="77777777" w:rsidR="00097A4B" w:rsidRDefault="00097A4B" w:rsidP="005E793C">
      <w:pPr>
        <w:pStyle w:val="Normal1"/>
      </w:pPr>
      <w:r>
        <w:t xml:space="preserve">The Group Financial Statements are prepared under IFRS where the Group’s interests in joint ventures are shown as a single line item on the income statement and balance sheet and subsidiaries are consolidated at 100 per cent. </w:t>
      </w:r>
    </w:p>
    <w:p w14:paraId="1C6DBDC7" w14:textId="4BF314D0" w:rsidR="00097A4B" w:rsidRDefault="00097A4B" w:rsidP="005E793C">
      <w:pPr>
        <w:pStyle w:val="Normal1"/>
      </w:pPr>
      <w:r>
        <w:t xml:space="preserve">The Adjusted profit measure reflects the underlying financial performance of the Group’s property rental business, which is our core operating activity. It is based on EPRA earnings as set out </w:t>
      </w:r>
      <w:r w:rsidR="00A06708">
        <w:t xml:space="preserve">in </w:t>
      </w:r>
      <w:r>
        <w:t xml:space="preserve">the Best Practices Recommendations Guidelines of the European Public Real Estate Association (EPRA) which are widely used alternate metrics to their IFRS equivalents within the European real estate sector (further details can be found at www.epra.com). In calculating Adjusted profit, the Directors may also exclude additional items considered to be non-recurring, unusual, or significant by virtue of size and nature. In the current and prior periods there have been no such adjustments and therefore Adjusted profit and EPRA earnings are the same. </w:t>
      </w:r>
    </w:p>
    <w:p w14:paraId="2626698C" w14:textId="70BD0477" w:rsidR="00097A4B" w:rsidRDefault="00097A4B" w:rsidP="005E793C">
      <w:pPr>
        <w:pStyle w:val="Normal1"/>
      </w:pPr>
      <w:r>
        <w:t xml:space="preserve">A detailed reconciliation between Adjusted profit after tax and IFRS profit after tax is provided in </w:t>
      </w:r>
      <w:r w:rsidRPr="002E04BD">
        <w:t>Note 2</w:t>
      </w:r>
      <w:r>
        <w:t xml:space="preserve"> to the </w:t>
      </w:r>
      <w:r w:rsidR="00A47D38">
        <w:t>condensed f</w:t>
      </w:r>
      <w:r>
        <w:t xml:space="preserve">inancial </w:t>
      </w:r>
      <w:r w:rsidR="00A47D38">
        <w:t>s</w:t>
      </w:r>
      <w:r>
        <w:t>tatements. This is not on a proportionall</w:t>
      </w:r>
      <w:r w:rsidR="00BF526A">
        <w:t xml:space="preserve">y </w:t>
      </w:r>
      <w:r>
        <w:t xml:space="preserve">consolidated basis. </w:t>
      </w:r>
    </w:p>
    <w:p w14:paraId="1ECB856A" w14:textId="162A726B" w:rsidR="00097A4B" w:rsidRDefault="00097A4B" w:rsidP="005E793C">
      <w:pPr>
        <w:pStyle w:val="Normal1"/>
      </w:pPr>
      <w:r>
        <w:t xml:space="preserve">Reconciliations between SEGRO Adjusted metrics and EPRA metrics are provided in the Supplementary Notes to the </w:t>
      </w:r>
      <w:r w:rsidR="00A47D38">
        <w:t>condensed f</w:t>
      </w:r>
      <w:r>
        <w:t xml:space="preserve">inancial </w:t>
      </w:r>
      <w:r w:rsidR="00A47D38">
        <w:t>s</w:t>
      </w:r>
      <w:r>
        <w:t xml:space="preserve">tatements, which also include EPRA metrics as well as SEGRO’s Adjusted income statement and balance sheet presented on a proportionally consolidated basis. </w:t>
      </w:r>
    </w:p>
    <w:p w14:paraId="03352802" w14:textId="2AABE060" w:rsidR="00097A4B" w:rsidRDefault="00097A4B" w:rsidP="005E793C">
      <w:pPr>
        <w:pStyle w:val="Normal1"/>
        <w:rPr>
          <w:color w:val="FF0000"/>
        </w:rPr>
      </w:pPr>
      <w:r>
        <w:t>SEGRO monitors these alternative metrics, as well as the EPRA metrics for vacancy rate, net asset value, capital expenditure and total cost ratio, as they provide a transparent and consistent basis to enable comparison between European property companies.</w:t>
      </w:r>
    </w:p>
    <w:p w14:paraId="5E712799" w14:textId="77777777" w:rsidR="005E793C" w:rsidRPr="00097A4B" w:rsidRDefault="005E793C" w:rsidP="005E793C">
      <w:pPr>
        <w:pStyle w:val="Heading1"/>
      </w:pPr>
      <w:r w:rsidRPr="00097A4B">
        <w:t>Adjusted profit</w:t>
      </w:r>
    </w:p>
    <w:p w14:paraId="3608F592" w14:textId="77777777" w:rsidR="005E793C" w:rsidRPr="00097A4B" w:rsidRDefault="005E793C" w:rsidP="005E793C">
      <w:pPr>
        <w:rPr>
          <w:u w:val="single"/>
        </w:rPr>
      </w:pPr>
      <w:r w:rsidRPr="00097A4B">
        <w:rPr>
          <w:u w:val="single"/>
        </w:rPr>
        <w:t>Adjusted profit</w:t>
      </w:r>
    </w:p>
    <w:tbl>
      <w:tblPr>
        <w:tblW w:w="4968" w:type="pct"/>
        <w:tblLayout w:type="fixed"/>
        <w:tblCellMar>
          <w:left w:w="0" w:type="dxa"/>
          <w:right w:w="0" w:type="dxa"/>
        </w:tblCellMar>
        <w:tblLook w:val="01E0" w:firstRow="1" w:lastRow="1" w:firstColumn="1" w:lastColumn="1" w:noHBand="0" w:noVBand="0"/>
      </w:tblPr>
      <w:tblGrid>
        <w:gridCol w:w="7030"/>
        <w:gridCol w:w="1760"/>
        <w:gridCol w:w="1610"/>
      </w:tblGrid>
      <w:tr w:rsidR="005F6D8A" w:rsidRPr="00716C7E" w14:paraId="110F0285" w14:textId="77777777" w:rsidTr="00E30618">
        <w:trPr>
          <w:trHeight w:hRule="exact" w:val="659"/>
        </w:trPr>
        <w:tc>
          <w:tcPr>
            <w:tcW w:w="3380" w:type="pct"/>
            <w:tcBorders>
              <w:bottom w:val="single" w:sz="4" w:space="0" w:color="999999"/>
            </w:tcBorders>
            <w:shd w:val="clear" w:color="auto" w:fill="auto"/>
            <w:vAlign w:val="bottom"/>
          </w:tcPr>
          <w:p w14:paraId="10C1A57A" w14:textId="77777777" w:rsidR="005E793C" w:rsidRPr="00716C7E" w:rsidRDefault="005E793C" w:rsidP="00E30618">
            <w:pPr>
              <w:spacing w:before="10" w:after="10" w:line="160" w:lineRule="atLeast"/>
              <w:ind w:right="57"/>
              <w:jc w:val="right"/>
              <w:rPr>
                <w:sz w:val="18"/>
                <w:szCs w:val="18"/>
              </w:rPr>
            </w:pPr>
          </w:p>
        </w:tc>
        <w:tc>
          <w:tcPr>
            <w:tcW w:w="846" w:type="pct"/>
            <w:tcBorders>
              <w:bottom w:val="single" w:sz="4" w:space="0" w:color="999999"/>
            </w:tcBorders>
            <w:shd w:val="clear" w:color="auto" w:fill="auto"/>
            <w:vAlign w:val="bottom"/>
          </w:tcPr>
          <w:p w14:paraId="6FF5FF13" w14:textId="7A87CF56" w:rsidR="005E793C" w:rsidRPr="00716C7E" w:rsidRDefault="005E793C" w:rsidP="00E30618">
            <w:pPr>
              <w:pStyle w:val="TableColHeadsBold0"/>
            </w:pPr>
            <w:r w:rsidRPr="00716C7E">
              <w:t>20</w:t>
            </w:r>
            <w:r w:rsidR="00515879" w:rsidRPr="00716C7E">
              <w:t>2</w:t>
            </w:r>
            <w:r w:rsidR="00716C7E" w:rsidRPr="00716C7E">
              <w:t>1</w:t>
            </w:r>
            <w:r w:rsidRPr="00716C7E">
              <w:br/>
              <w:t>£m</w:t>
            </w:r>
          </w:p>
        </w:tc>
        <w:tc>
          <w:tcPr>
            <w:tcW w:w="774" w:type="pct"/>
            <w:tcBorders>
              <w:bottom w:val="single" w:sz="4" w:space="0" w:color="999999"/>
            </w:tcBorders>
            <w:shd w:val="clear" w:color="auto" w:fill="auto"/>
            <w:vAlign w:val="bottom"/>
          </w:tcPr>
          <w:p w14:paraId="4B47803A" w14:textId="118869B4" w:rsidR="005E793C" w:rsidRPr="00716C7E" w:rsidRDefault="005E793C" w:rsidP="00E30618">
            <w:pPr>
              <w:pStyle w:val="TableColHeads"/>
              <w:spacing w:line="160" w:lineRule="atLeast"/>
              <w:rPr>
                <w:szCs w:val="18"/>
              </w:rPr>
            </w:pPr>
            <w:r w:rsidRPr="00716C7E">
              <w:rPr>
                <w:szCs w:val="18"/>
              </w:rPr>
              <w:t>20</w:t>
            </w:r>
            <w:r w:rsidR="00716C7E" w:rsidRPr="00716C7E">
              <w:rPr>
                <w:szCs w:val="18"/>
              </w:rPr>
              <w:t>20</w:t>
            </w:r>
            <w:r w:rsidRPr="00716C7E">
              <w:rPr>
                <w:szCs w:val="18"/>
              </w:rPr>
              <w:br/>
              <w:t>£m</w:t>
            </w:r>
          </w:p>
        </w:tc>
      </w:tr>
      <w:tr w:rsidR="005F6D8A" w:rsidRPr="00716C7E" w14:paraId="5E41BC97" w14:textId="77777777" w:rsidTr="00E30618">
        <w:tc>
          <w:tcPr>
            <w:tcW w:w="3380" w:type="pct"/>
            <w:tcBorders>
              <w:top w:val="single" w:sz="4" w:space="0" w:color="999999"/>
            </w:tcBorders>
            <w:shd w:val="clear" w:color="auto" w:fill="auto"/>
            <w:vAlign w:val="bottom"/>
          </w:tcPr>
          <w:p w14:paraId="07E06CCE" w14:textId="77777777" w:rsidR="00515879" w:rsidRPr="00716C7E" w:rsidRDefault="00515879" w:rsidP="00515879">
            <w:pPr>
              <w:pStyle w:val="Tabletext"/>
            </w:pPr>
            <w:r w:rsidRPr="00716C7E">
              <w:t>Gross rental income</w:t>
            </w:r>
          </w:p>
        </w:tc>
        <w:tc>
          <w:tcPr>
            <w:tcW w:w="846" w:type="pct"/>
            <w:tcBorders>
              <w:top w:val="single" w:sz="4" w:space="0" w:color="999999"/>
            </w:tcBorders>
            <w:shd w:val="clear" w:color="auto" w:fill="auto"/>
            <w:vAlign w:val="bottom"/>
          </w:tcPr>
          <w:p w14:paraId="47BACF10" w14:textId="594601AC" w:rsidR="00515879" w:rsidRPr="00716C7E" w:rsidRDefault="00716C7E" w:rsidP="00515879">
            <w:pPr>
              <w:pStyle w:val="TableFiguresBold0"/>
            </w:pPr>
            <w:r w:rsidRPr="00716C7E">
              <w:t>447</w:t>
            </w:r>
          </w:p>
        </w:tc>
        <w:tc>
          <w:tcPr>
            <w:tcW w:w="774" w:type="pct"/>
            <w:tcBorders>
              <w:top w:val="single" w:sz="4" w:space="0" w:color="999999"/>
            </w:tcBorders>
            <w:shd w:val="clear" w:color="auto" w:fill="auto"/>
            <w:vAlign w:val="bottom"/>
          </w:tcPr>
          <w:p w14:paraId="64A66370" w14:textId="151D9ACC" w:rsidR="00515879" w:rsidRPr="00716C7E" w:rsidRDefault="00716C7E" w:rsidP="00515879">
            <w:pPr>
              <w:pStyle w:val="TableFigures"/>
            </w:pPr>
            <w:r w:rsidRPr="00716C7E">
              <w:t>393</w:t>
            </w:r>
          </w:p>
        </w:tc>
      </w:tr>
      <w:tr w:rsidR="005F6D8A" w:rsidRPr="00716C7E" w14:paraId="3311AF9B" w14:textId="77777777" w:rsidTr="00E30618">
        <w:tc>
          <w:tcPr>
            <w:tcW w:w="3380" w:type="pct"/>
            <w:tcBorders>
              <w:bottom w:val="single" w:sz="4" w:space="0" w:color="999999"/>
            </w:tcBorders>
            <w:shd w:val="clear" w:color="auto" w:fill="auto"/>
            <w:vAlign w:val="bottom"/>
          </w:tcPr>
          <w:p w14:paraId="1AECE531" w14:textId="77777777" w:rsidR="00515879" w:rsidRPr="00716C7E" w:rsidRDefault="00515879" w:rsidP="00515879">
            <w:pPr>
              <w:pStyle w:val="Tabletext"/>
            </w:pPr>
            <w:r w:rsidRPr="00716C7E">
              <w:t>Property operating expenses</w:t>
            </w:r>
          </w:p>
        </w:tc>
        <w:tc>
          <w:tcPr>
            <w:tcW w:w="846" w:type="pct"/>
            <w:tcBorders>
              <w:bottom w:val="single" w:sz="4" w:space="0" w:color="999999"/>
            </w:tcBorders>
            <w:shd w:val="clear" w:color="auto" w:fill="auto"/>
            <w:vAlign w:val="bottom"/>
          </w:tcPr>
          <w:p w14:paraId="0D2157B4" w14:textId="4A1D8D2D" w:rsidR="00515879" w:rsidRPr="00716C7E" w:rsidRDefault="00716C7E" w:rsidP="00515879">
            <w:pPr>
              <w:pStyle w:val="TableFiguresBracketsBold"/>
            </w:pPr>
            <w:r w:rsidRPr="00716C7E">
              <w:t>(100)</w:t>
            </w:r>
          </w:p>
        </w:tc>
        <w:tc>
          <w:tcPr>
            <w:tcW w:w="774" w:type="pct"/>
            <w:tcBorders>
              <w:bottom w:val="single" w:sz="4" w:space="0" w:color="999999"/>
            </w:tcBorders>
            <w:shd w:val="clear" w:color="auto" w:fill="auto"/>
            <w:vAlign w:val="bottom"/>
          </w:tcPr>
          <w:p w14:paraId="532E5221" w14:textId="0E5B7B15" w:rsidR="00515879" w:rsidRPr="00716C7E" w:rsidRDefault="00716C7E" w:rsidP="00515879">
            <w:pPr>
              <w:pStyle w:val="TableFiguresBrackets"/>
            </w:pPr>
            <w:r w:rsidRPr="00716C7E">
              <w:t>(88)</w:t>
            </w:r>
          </w:p>
        </w:tc>
      </w:tr>
      <w:tr w:rsidR="005F6D8A" w:rsidRPr="00716C7E" w14:paraId="519953B6" w14:textId="77777777" w:rsidTr="00E30618">
        <w:tc>
          <w:tcPr>
            <w:tcW w:w="3380" w:type="pct"/>
            <w:tcBorders>
              <w:top w:val="single" w:sz="4" w:space="0" w:color="999999"/>
            </w:tcBorders>
            <w:shd w:val="clear" w:color="auto" w:fill="auto"/>
            <w:vAlign w:val="bottom"/>
          </w:tcPr>
          <w:p w14:paraId="488A8B33" w14:textId="77777777" w:rsidR="00515879" w:rsidRPr="00716C7E" w:rsidRDefault="00515879" w:rsidP="00515879">
            <w:pPr>
              <w:pStyle w:val="TabletextBold"/>
            </w:pPr>
            <w:r w:rsidRPr="00716C7E">
              <w:t>Net rental income</w:t>
            </w:r>
          </w:p>
        </w:tc>
        <w:tc>
          <w:tcPr>
            <w:tcW w:w="846" w:type="pct"/>
            <w:tcBorders>
              <w:top w:val="single" w:sz="4" w:space="0" w:color="999999"/>
            </w:tcBorders>
            <w:shd w:val="clear" w:color="auto" w:fill="auto"/>
            <w:vAlign w:val="bottom"/>
          </w:tcPr>
          <w:p w14:paraId="060AFEB8" w14:textId="2A834855" w:rsidR="00515879" w:rsidRPr="00716C7E" w:rsidRDefault="00716C7E" w:rsidP="00515879">
            <w:pPr>
              <w:pStyle w:val="TableFiguresBold0"/>
            </w:pPr>
            <w:r w:rsidRPr="00716C7E">
              <w:t>347</w:t>
            </w:r>
          </w:p>
        </w:tc>
        <w:tc>
          <w:tcPr>
            <w:tcW w:w="774" w:type="pct"/>
            <w:tcBorders>
              <w:top w:val="single" w:sz="4" w:space="0" w:color="999999"/>
            </w:tcBorders>
            <w:shd w:val="clear" w:color="auto" w:fill="auto"/>
            <w:vAlign w:val="bottom"/>
          </w:tcPr>
          <w:p w14:paraId="6EDA8E7D" w14:textId="3C65EDDC" w:rsidR="00515879" w:rsidRPr="00716C7E" w:rsidRDefault="00716C7E" w:rsidP="00515879">
            <w:pPr>
              <w:pStyle w:val="TableFigures"/>
            </w:pPr>
            <w:r w:rsidRPr="00716C7E">
              <w:t>305</w:t>
            </w:r>
          </w:p>
        </w:tc>
      </w:tr>
      <w:tr w:rsidR="005F6D8A" w:rsidRPr="00716C7E" w14:paraId="655A1069" w14:textId="77777777" w:rsidTr="00E30618">
        <w:tc>
          <w:tcPr>
            <w:tcW w:w="3380" w:type="pct"/>
            <w:shd w:val="clear" w:color="auto" w:fill="auto"/>
            <w:vAlign w:val="bottom"/>
          </w:tcPr>
          <w:p w14:paraId="022D422A" w14:textId="77777777" w:rsidR="00515879" w:rsidRPr="00716C7E" w:rsidRDefault="00515879" w:rsidP="00515879">
            <w:pPr>
              <w:pStyle w:val="Tabletext"/>
            </w:pPr>
            <w:r w:rsidRPr="00716C7E">
              <w:t>Joint venture fee income</w:t>
            </w:r>
          </w:p>
        </w:tc>
        <w:tc>
          <w:tcPr>
            <w:tcW w:w="846" w:type="pct"/>
            <w:shd w:val="clear" w:color="auto" w:fill="auto"/>
            <w:vAlign w:val="bottom"/>
          </w:tcPr>
          <w:p w14:paraId="1D4FFEF4" w14:textId="43A38A40" w:rsidR="00515879" w:rsidRPr="00716C7E" w:rsidRDefault="00716C7E" w:rsidP="00515879">
            <w:pPr>
              <w:pStyle w:val="TableFiguresBold0"/>
            </w:pPr>
            <w:r w:rsidRPr="00716C7E">
              <w:t>52</w:t>
            </w:r>
          </w:p>
        </w:tc>
        <w:tc>
          <w:tcPr>
            <w:tcW w:w="774" w:type="pct"/>
            <w:shd w:val="clear" w:color="auto" w:fill="auto"/>
            <w:vAlign w:val="bottom"/>
          </w:tcPr>
          <w:p w14:paraId="20F4AB3D" w14:textId="37A1C05E" w:rsidR="00515879" w:rsidRPr="00716C7E" w:rsidRDefault="00716C7E" w:rsidP="00515879">
            <w:pPr>
              <w:pStyle w:val="TableFigures"/>
            </w:pPr>
            <w:r w:rsidRPr="00716C7E">
              <w:t>22</w:t>
            </w:r>
          </w:p>
        </w:tc>
      </w:tr>
      <w:tr w:rsidR="005F6D8A" w:rsidRPr="00716C7E" w14:paraId="6703A5B4" w14:textId="77777777" w:rsidTr="00E30618">
        <w:tc>
          <w:tcPr>
            <w:tcW w:w="3380" w:type="pct"/>
            <w:shd w:val="clear" w:color="auto" w:fill="auto"/>
            <w:vAlign w:val="bottom"/>
          </w:tcPr>
          <w:p w14:paraId="4B347066" w14:textId="77777777" w:rsidR="00515879" w:rsidRPr="00716C7E" w:rsidRDefault="00515879" w:rsidP="00515879">
            <w:pPr>
              <w:pStyle w:val="Tabletext"/>
            </w:pPr>
            <w:r w:rsidRPr="00716C7E">
              <w:t>Administration expenses</w:t>
            </w:r>
          </w:p>
        </w:tc>
        <w:tc>
          <w:tcPr>
            <w:tcW w:w="846" w:type="pct"/>
            <w:shd w:val="clear" w:color="auto" w:fill="auto"/>
            <w:vAlign w:val="bottom"/>
          </w:tcPr>
          <w:p w14:paraId="35C8D43E" w14:textId="4DCBC26D" w:rsidR="00515879" w:rsidRPr="00716C7E" w:rsidRDefault="00716C7E" w:rsidP="00515879">
            <w:pPr>
              <w:pStyle w:val="TableFiguresBracketsBold"/>
            </w:pPr>
            <w:r w:rsidRPr="00716C7E">
              <w:t>(59)</w:t>
            </w:r>
          </w:p>
        </w:tc>
        <w:tc>
          <w:tcPr>
            <w:tcW w:w="774" w:type="pct"/>
            <w:shd w:val="clear" w:color="auto" w:fill="auto"/>
            <w:vAlign w:val="bottom"/>
          </w:tcPr>
          <w:p w14:paraId="74832A88" w14:textId="3E59A270" w:rsidR="00515879" w:rsidRPr="00716C7E" w:rsidRDefault="00716C7E" w:rsidP="00515879">
            <w:pPr>
              <w:pStyle w:val="TableFiguresBrackets"/>
            </w:pPr>
            <w:r w:rsidRPr="00716C7E">
              <w:t>(52)</w:t>
            </w:r>
          </w:p>
        </w:tc>
      </w:tr>
      <w:tr w:rsidR="005F6D8A" w:rsidRPr="00716C7E" w14:paraId="4F848397" w14:textId="77777777" w:rsidTr="00E30618">
        <w:tc>
          <w:tcPr>
            <w:tcW w:w="3380" w:type="pct"/>
            <w:tcBorders>
              <w:bottom w:val="single" w:sz="4" w:space="0" w:color="999999"/>
            </w:tcBorders>
            <w:shd w:val="clear" w:color="auto" w:fill="auto"/>
            <w:vAlign w:val="bottom"/>
          </w:tcPr>
          <w:p w14:paraId="11F8E5CD" w14:textId="77777777" w:rsidR="00515879" w:rsidRPr="00716C7E" w:rsidRDefault="00515879" w:rsidP="00515879">
            <w:pPr>
              <w:pStyle w:val="Tabletext"/>
            </w:pPr>
            <w:r w:rsidRPr="00716C7E">
              <w:t>Share of joint ventures’ Adjusted profit</w:t>
            </w:r>
            <w:r w:rsidRPr="00716C7E">
              <w:rPr>
                <w:vertAlign w:val="superscript"/>
              </w:rPr>
              <w:t>1</w:t>
            </w:r>
          </w:p>
        </w:tc>
        <w:tc>
          <w:tcPr>
            <w:tcW w:w="846" w:type="pct"/>
            <w:tcBorders>
              <w:bottom w:val="single" w:sz="4" w:space="0" w:color="999999"/>
            </w:tcBorders>
            <w:shd w:val="clear" w:color="auto" w:fill="auto"/>
            <w:vAlign w:val="bottom"/>
          </w:tcPr>
          <w:p w14:paraId="1494A32C" w14:textId="65E24F48" w:rsidR="00515879" w:rsidRPr="00716C7E" w:rsidRDefault="00716C7E" w:rsidP="00515879">
            <w:pPr>
              <w:pStyle w:val="TableFiguresBold0"/>
            </w:pPr>
            <w:r w:rsidRPr="00716C7E">
              <w:t>56</w:t>
            </w:r>
          </w:p>
        </w:tc>
        <w:tc>
          <w:tcPr>
            <w:tcW w:w="774" w:type="pct"/>
            <w:tcBorders>
              <w:bottom w:val="single" w:sz="4" w:space="0" w:color="999999"/>
            </w:tcBorders>
            <w:shd w:val="clear" w:color="auto" w:fill="auto"/>
            <w:vAlign w:val="bottom"/>
          </w:tcPr>
          <w:p w14:paraId="25447D38" w14:textId="2231D015" w:rsidR="00515879" w:rsidRPr="00716C7E" w:rsidRDefault="00716C7E" w:rsidP="00515879">
            <w:pPr>
              <w:pStyle w:val="TableFigures"/>
            </w:pPr>
            <w:r w:rsidRPr="00716C7E">
              <w:t>61</w:t>
            </w:r>
          </w:p>
        </w:tc>
      </w:tr>
      <w:tr w:rsidR="005F6D8A" w:rsidRPr="00716C7E" w14:paraId="03D518CD" w14:textId="77777777" w:rsidTr="00E30618">
        <w:tc>
          <w:tcPr>
            <w:tcW w:w="3380" w:type="pct"/>
            <w:tcBorders>
              <w:top w:val="single" w:sz="4" w:space="0" w:color="999999"/>
            </w:tcBorders>
            <w:shd w:val="clear" w:color="auto" w:fill="auto"/>
            <w:vAlign w:val="bottom"/>
          </w:tcPr>
          <w:p w14:paraId="29B9252D" w14:textId="77777777" w:rsidR="00515879" w:rsidRPr="00716C7E" w:rsidRDefault="00515879" w:rsidP="00515879">
            <w:pPr>
              <w:pStyle w:val="TabletextBold"/>
              <w:rPr>
                <w:szCs w:val="18"/>
              </w:rPr>
            </w:pPr>
            <w:r w:rsidRPr="00716C7E">
              <w:rPr>
                <w:szCs w:val="18"/>
              </w:rPr>
              <w:t>Adjusted operating profit before interest and tax</w:t>
            </w:r>
          </w:p>
        </w:tc>
        <w:tc>
          <w:tcPr>
            <w:tcW w:w="846" w:type="pct"/>
            <w:tcBorders>
              <w:top w:val="single" w:sz="4" w:space="0" w:color="999999"/>
            </w:tcBorders>
            <w:shd w:val="clear" w:color="auto" w:fill="auto"/>
            <w:vAlign w:val="bottom"/>
          </w:tcPr>
          <w:p w14:paraId="3ED409B6" w14:textId="1BA8D328" w:rsidR="00515879" w:rsidRPr="00716C7E" w:rsidRDefault="00716C7E" w:rsidP="00515879">
            <w:pPr>
              <w:pStyle w:val="TableFiguresBold0"/>
            </w:pPr>
            <w:r w:rsidRPr="00716C7E">
              <w:t>396</w:t>
            </w:r>
          </w:p>
        </w:tc>
        <w:tc>
          <w:tcPr>
            <w:tcW w:w="774" w:type="pct"/>
            <w:tcBorders>
              <w:top w:val="single" w:sz="4" w:space="0" w:color="999999"/>
            </w:tcBorders>
            <w:shd w:val="clear" w:color="auto" w:fill="auto"/>
            <w:vAlign w:val="bottom"/>
          </w:tcPr>
          <w:p w14:paraId="67856734" w14:textId="778C2C5C" w:rsidR="00515879" w:rsidRPr="00716C7E" w:rsidRDefault="00716C7E" w:rsidP="00515879">
            <w:pPr>
              <w:pStyle w:val="TableFigures"/>
            </w:pPr>
            <w:r w:rsidRPr="00716C7E">
              <w:t>336</w:t>
            </w:r>
          </w:p>
        </w:tc>
      </w:tr>
      <w:tr w:rsidR="005F6D8A" w:rsidRPr="00716C7E" w14:paraId="79802F03" w14:textId="77777777" w:rsidTr="00E30618">
        <w:tc>
          <w:tcPr>
            <w:tcW w:w="3380" w:type="pct"/>
            <w:tcBorders>
              <w:bottom w:val="single" w:sz="4" w:space="0" w:color="999999"/>
            </w:tcBorders>
            <w:shd w:val="clear" w:color="auto" w:fill="auto"/>
            <w:vAlign w:val="bottom"/>
          </w:tcPr>
          <w:p w14:paraId="21251AF6" w14:textId="359C44A4" w:rsidR="00515879" w:rsidRPr="00716C7E" w:rsidRDefault="00515879" w:rsidP="00515879">
            <w:pPr>
              <w:pStyle w:val="Tabletext"/>
              <w:rPr>
                <w:szCs w:val="18"/>
              </w:rPr>
            </w:pPr>
            <w:r w:rsidRPr="00716C7E">
              <w:rPr>
                <w:szCs w:val="18"/>
              </w:rPr>
              <w:t>Net finance costs</w:t>
            </w:r>
            <w:r w:rsidR="00343D25" w:rsidRPr="00716C7E">
              <w:rPr>
                <w:szCs w:val="18"/>
              </w:rPr>
              <w:t xml:space="preserve"> (including adjustments)</w:t>
            </w:r>
          </w:p>
        </w:tc>
        <w:tc>
          <w:tcPr>
            <w:tcW w:w="846" w:type="pct"/>
            <w:tcBorders>
              <w:bottom w:val="single" w:sz="4" w:space="0" w:color="999999"/>
            </w:tcBorders>
            <w:shd w:val="clear" w:color="auto" w:fill="auto"/>
            <w:vAlign w:val="bottom"/>
          </w:tcPr>
          <w:p w14:paraId="27880278" w14:textId="45293E19" w:rsidR="00515879" w:rsidRPr="00716C7E" w:rsidRDefault="00716C7E" w:rsidP="00515879">
            <w:pPr>
              <w:pStyle w:val="TableFiguresBracketsBold"/>
            </w:pPr>
            <w:r w:rsidRPr="00716C7E">
              <w:t>(40)</w:t>
            </w:r>
          </w:p>
        </w:tc>
        <w:tc>
          <w:tcPr>
            <w:tcW w:w="774" w:type="pct"/>
            <w:tcBorders>
              <w:bottom w:val="single" w:sz="4" w:space="0" w:color="999999"/>
            </w:tcBorders>
            <w:shd w:val="clear" w:color="auto" w:fill="auto"/>
            <w:vAlign w:val="bottom"/>
          </w:tcPr>
          <w:p w14:paraId="27D38ACA" w14:textId="497ECCD3" w:rsidR="00515879" w:rsidRPr="00716C7E" w:rsidRDefault="00716C7E" w:rsidP="00515879">
            <w:pPr>
              <w:pStyle w:val="TableFiguresBrackets"/>
            </w:pPr>
            <w:r w:rsidRPr="00716C7E">
              <w:t>(40)</w:t>
            </w:r>
          </w:p>
        </w:tc>
      </w:tr>
      <w:tr w:rsidR="005F6D8A" w:rsidRPr="00716C7E" w14:paraId="2B817876" w14:textId="77777777" w:rsidTr="00E30618">
        <w:tc>
          <w:tcPr>
            <w:tcW w:w="3380" w:type="pct"/>
            <w:tcBorders>
              <w:top w:val="single" w:sz="4" w:space="0" w:color="999999"/>
            </w:tcBorders>
            <w:shd w:val="clear" w:color="auto" w:fill="auto"/>
            <w:vAlign w:val="bottom"/>
          </w:tcPr>
          <w:p w14:paraId="459878CE" w14:textId="77777777" w:rsidR="00515879" w:rsidRPr="00716C7E" w:rsidRDefault="00515879" w:rsidP="00515879">
            <w:pPr>
              <w:pStyle w:val="TabletextBold"/>
              <w:rPr>
                <w:szCs w:val="18"/>
              </w:rPr>
            </w:pPr>
            <w:r w:rsidRPr="00716C7E">
              <w:rPr>
                <w:szCs w:val="18"/>
              </w:rPr>
              <w:t xml:space="preserve">Adjusted profit before tax </w:t>
            </w:r>
          </w:p>
        </w:tc>
        <w:tc>
          <w:tcPr>
            <w:tcW w:w="846" w:type="pct"/>
            <w:tcBorders>
              <w:top w:val="single" w:sz="4" w:space="0" w:color="999999"/>
            </w:tcBorders>
            <w:shd w:val="clear" w:color="auto" w:fill="auto"/>
            <w:vAlign w:val="bottom"/>
          </w:tcPr>
          <w:p w14:paraId="055F5447" w14:textId="3EDE4859" w:rsidR="00515879" w:rsidRPr="00716C7E" w:rsidRDefault="00716C7E" w:rsidP="00515879">
            <w:pPr>
              <w:pStyle w:val="TableFiguresBold0"/>
            </w:pPr>
            <w:r w:rsidRPr="00716C7E">
              <w:t>356</w:t>
            </w:r>
          </w:p>
        </w:tc>
        <w:tc>
          <w:tcPr>
            <w:tcW w:w="774" w:type="pct"/>
            <w:tcBorders>
              <w:top w:val="single" w:sz="4" w:space="0" w:color="999999"/>
            </w:tcBorders>
            <w:shd w:val="clear" w:color="auto" w:fill="auto"/>
            <w:vAlign w:val="bottom"/>
          </w:tcPr>
          <w:p w14:paraId="3530C850" w14:textId="728C0E3A" w:rsidR="00515879" w:rsidRPr="00716C7E" w:rsidRDefault="00716C7E" w:rsidP="00515879">
            <w:pPr>
              <w:pStyle w:val="TableFigures"/>
            </w:pPr>
            <w:r w:rsidRPr="00716C7E">
              <w:t>296</w:t>
            </w:r>
          </w:p>
        </w:tc>
      </w:tr>
      <w:tr w:rsidR="005F6D8A" w:rsidRPr="00716C7E" w14:paraId="7D73808D" w14:textId="77777777" w:rsidTr="00E30618">
        <w:tc>
          <w:tcPr>
            <w:tcW w:w="3380" w:type="pct"/>
            <w:shd w:val="clear" w:color="auto" w:fill="auto"/>
            <w:vAlign w:val="bottom"/>
          </w:tcPr>
          <w:p w14:paraId="20F700B7" w14:textId="77777777" w:rsidR="00515879" w:rsidRPr="00716C7E" w:rsidRDefault="00515879" w:rsidP="00515879">
            <w:pPr>
              <w:pStyle w:val="Tabletext"/>
              <w:rPr>
                <w:szCs w:val="18"/>
              </w:rPr>
            </w:pPr>
            <w:r w:rsidRPr="00716C7E">
              <w:rPr>
                <w:szCs w:val="18"/>
              </w:rPr>
              <w:t>Tax on Adjusted profit</w:t>
            </w:r>
          </w:p>
        </w:tc>
        <w:tc>
          <w:tcPr>
            <w:tcW w:w="846" w:type="pct"/>
            <w:shd w:val="clear" w:color="auto" w:fill="auto"/>
            <w:vAlign w:val="bottom"/>
          </w:tcPr>
          <w:p w14:paraId="3EE328A6" w14:textId="4736E069" w:rsidR="00515879" w:rsidRPr="00716C7E" w:rsidRDefault="00716C7E" w:rsidP="00515879">
            <w:pPr>
              <w:pStyle w:val="TableFiguresBracketsBold"/>
            </w:pPr>
            <w:r w:rsidRPr="00716C7E">
              <w:t>(8)</w:t>
            </w:r>
          </w:p>
        </w:tc>
        <w:tc>
          <w:tcPr>
            <w:tcW w:w="774" w:type="pct"/>
            <w:shd w:val="clear" w:color="auto" w:fill="auto"/>
            <w:vAlign w:val="bottom"/>
          </w:tcPr>
          <w:p w14:paraId="2B9B3CAD" w14:textId="454B0910" w:rsidR="00515879" w:rsidRPr="00716C7E" w:rsidRDefault="00716C7E" w:rsidP="00515879">
            <w:pPr>
              <w:pStyle w:val="TableFiguresBrackets"/>
            </w:pPr>
            <w:r w:rsidRPr="00716C7E">
              <w:t>(4)</w:t>
            </w:r>
          </w:p>
        </w:tc>
      </w:tr>
      <w:tr w:rsidR="00515879" w:rsidRPr="00716C7E" w14:paraId="1EDD4A31" w14:textId="77777777" w:rsidTr="00E30618">
        <w:tc>
          <w:tcPr>
            <w:tcW w:w="3380" w:type="pct"/>
            <w:tcBorders>
              <w:top w:val="single" w:sz="4" w:space="0" w:color="999999"/>
              <w:bottom w:val="single" w:sz="8" w:space="0" w:color="999999"/>
            </w:tcBorders>
            <w:shd w:val="clear" w:color="auto" w:fill="auto"/>
            <w:vAlign w:val="bottom"/>
          </w:tcPr>
          <w:p w14:paraId="5408C295" w14:textId="77777777" w:rsidR="00515879" w:rsidRPr="00716C7E" w:rsidRDefault="00515879" w:rsidP="00515879">
            <w:pPr>
              <w:pStyle w:val="TabletextBold"/>
              <w:rPr>
                <w:szCs w:val="18"/>
              </w:rPr>
            </w:pPr>
            <w:r w:rsidRPr="00716C7E">
              <w:rPr>
                <w:szCs w:val="18"/>
              </w:rPr>
              <w:t>Adjusted profit after tax</w:t>
            </w:r>
          </w:p>
        </w:tc>
        <w:tc>
          <w:tcPr>
            <w:tcW w:w="846" w:type="pct"/>
            <w:tcBorders>
              <w:top w:val="single" w:sz="4" w:space="0" w:color="999999"/>
              <w:bottom w:val="single" w:sz="8" w:space="0" w:color="999999"/>
            </w:tcBorders>
            <w:shd w:val="clear" w:color="auto" w:fill="auto"/>
            <w:vAlign w:val="bottom"/>
          </w:tcPr>
          <w:p w14:paraId="6F1DB60D" w14:textId="72C456DE" w:rsidR="00515879" w:rsidRPr="00716C7E" w:rsidRDefault="00716C7E" w:rsidP="00515879">
            <w:pPr>
              <w:pStyle w:val="TableFiguresBold0"/>
            </w:pPr>
            <w:r w:rsidRPr="00716C7E">
              <w:t>348</w:t>
            </w:r>
          </w:p>
        </w:tc>
        <w:tc>
          <w:tcPr>
            <w:tcW w:w="774" w:type="pct"/>
            <w:tcBorders>
              <w:top w:val="single" w:sz="4" w:space="0" w:color="999999"/>
              <w:bottom w:val="single" w:sz="8" w:space="0" w:color="999999"/>
            </w:tcBorders>
            <w:shd w:val="clear" w:color="auto" w:fill="auto"/>
            <w:vAlign w:val="bottom"/>
          </w:tcPr>
          <w:p w14:paraId="61DE0E73" w14:textId="7FF87F15" w:rsidR="00515879" w:rsidRPr="00716C7E" w:rsidRDefault="00716C7E" w:rsidP="00515879">
            <w:pPr>
              <w:pStyle w:val="TableFigures"/>
            </w:pPr>
            <w:r w:rsidRPr="00716C7E">
              <w:t>292</w:t>
            </w:r>
          </w:p>
        </w:tc>
      </w:tr>
    </w:tbl>
    <w:p w14:paraId="2A73E94F" w14:textId="77777777" w:rsidR="005E793C" w:rsidRPr="00716C7E" w:rsidRDefault="005E793C" w:rsidP="005E793C">
      <w:pPr>
        <w:pStyle w:val="StyleFootnotesSpaceBefore7ptBefore0ptAfter0ptCo"/>
      </w:pPr>
    </w:p>
    <w:p w14:paraId="3BCA3552" w14:textId="77777777" w:rsidR="005E793C" w:rsidRPr="00716C7E" w:rsidRDefault="005E793C" w:rsidP="009D4B2B">
      <w:pPr>
        <w:pStyle w:val="StyleFootnotesSpaceBefore7ptBefore0ptAfter0ptCo"/>
        <w:numPr>
          <w:ilvl w:val="0"/>
          <w:numId w:val="16"/>
        </w:numPr>
        <w:ind w:left="426"/>
      </w:pPr>
      <w:r w:rsidRPr="00716C7E">
        <w:t xml:space="preserve">Comprises net property rental income less administration expenses, net interest expenses and taxation. </w:t>
      </w:r>
    </w:p>
    <w:p w14:paraId="576C586A" w14:textId="1F7FE995" w:rsidR="005E793C" w:rsidRPr="005F6D8A" w:rsidRDefault="005E793C" w:rsidP="005E793C">
      <w:pPr>
        <w:pStyle w:val="Normal1"/>
        <w:rPr>
          <w:color w:val="FF0000"/>
        </w:rPr>
      </w:pPr>
    </w:p>
    <w:p w14:paraId="48D045BC" w14:textId="483DDE52" w:rsidR="00097A4B" w:rsidRDefault="00097A4B" w:rsidP="005E793C">
      <w:pPr>
        <w:pStyle w:val="Normal1"/>
      </w:pPr>
      <w:r>
        <w:lastRenderedPageBreak/>
        <w:t>Adjusted profit before tax increased by 20.3 per cent to £356 million (2020: £296 million) during 2021 as a result of the movements</w:t>
      </w:r>
      <w:r w:rsidR="00A47D38">
        <w:t xml:space="preserve"> described below</w:t>
      </w:r>
      <w:r w:rsidR="00A06708">
        <w:t>, primarily growth in rental income and recognition of a performance fee from the SELP joint venture (£26 million income) offset by the performance fee expense recognised in the share of joint ventures profits (£13 million cost) which has a £13 million net impact on profit</w:t>
      </w:r>
      <w:r w:rsidR="00A47D38">
        <w:t xml:space="preserve">. </w:t>
      </w:r>
      <w:r>
        <w:t xml:space="preserve">Adjusted profit is detailed further in </w:t>
      </w:r>
      <w:r w:rsidRPr="002E04BD">
        <w:t>Note 2</w:t>
      </w:r>
      <w:r w:rsidRPr="00017986">
        <w:t>.</w:t>
      </w:r>
    </w:p>
    <w:p w14:paraId="608BDBBC" w14:textId="77777777" w:rsidR="005E793C" w:rsidRPr="00097A4B" w:rsidRDefault="005E793C" w:rsidP="005E793C">
      <w:pPr>
        <w:pStyle w:val="Heading3"/>
      </w:pPr>
      <w:r w:rsidRPr="00097A4B">
        <w:t>Net rental income</w:t>
      </w:r>
    </w:p>
    <w:p w14:paraId="2E7E9E3D" w14:textId="77777777" w:rsidR="00097A4B" w:rsidRDefault="00097A4B" w:rsidP="005E793C">
      <w:pPr>
        <w:pStyle w:val="Normal1"/>
      </w:pPr>
      <w:r>
        <w:t xml:space="preserve">Net rental income increased by £42 million to £347 million (or by £38 million to £423 million including joint ventures at share), reflecting the positive net impact of like-for-like rental growth, development completions and investment activity during the period, offset by the impact of disposals. </w:t>
      </w:r>
    </w:p>
    <w:p w14:paraId="0F561926" w14:textId="6513AE2D" w:rsidR="00097A4B" w:rsidRDefault="00097A4B" w:rsidP="005E793C">
      <w:pPr>
        <w:pStyle w:val="Normal1"/>
      </w:pPr>
      <w:r>
        <w:t>On a like-for-like basis, before other items (primarily corporate centre and other costs not specifically allocated to a geographic Business Unit), net rental income increased by £17 million, or 4.9 per cent, compared to 2020.</w:t>
      </w:r>
    </w:p>
    <w:p w14:paraId="1189DB05" w14:textId="750F7063" w:rsidR="00097A4B" w:rsidRDefault="00097A4B" w:rsidP="005E793C">
      <w:pPr>
        <w:pStyle w:val="Normal1"/>
        <w:rPr>
          <w:color w:val="FF0000"/>
        </w:rPr>
      </w:pPr>
      <w:r>
        <w:t>This is due to strong rental performance across our portfolio. UK: 5.6 per cent increase, in particular in Greater London; and Continental Europe: 3.6 per cent increase, in particular in Northern Europe.</w:t>
      </w:r>
    </w:p>
    <w:tbl>
      <w:tblPr>
        <w:tblW w:w="10755" w:type="dxa"/>
        <w:tblLayout w:type="fixed"/>
        <w:tblCellMar>
          <w:left w:w="0" w:type="dxa"/>
          <w:right w:w="0" w:type="dxa"/>
        </w:tblCellMar>
        <w:tblLook w:val="01E0" w:firstRow="1" w:lastRow="1" w:firstColumn="1" w:lastColumn="1" w:noHBand="0" w:noVBand="0"/>
      </w:tblPr>
      <w:tblGrid>
        <w:gridCol w:w="5942"/>
        <w:gridCol w:w="1288"/>
        <w:gridCol w:w="1288"/>
        <w:gridCol w:w="1275"/>
        <w:gridCol w:w="962"/>
      </w:tblGrid>
      <w:tr w:rsidR="00017986" w:rsidRPr="00017986" w14:paraId="33E9DA5B" w14:textId="77777777" w:rsidTr="00F83915">
        <w:trPr>
          <w:trHeight w:val="560"/>
        </w:trPr>
        <w:tc>
          <w:tcPr>
            <w:tcW w:w="5942" w:type="dxa"/>
            <w:shd w:val="clear" w:color="auto" w:fill="auto"/>
            <w:vAlign w:val="bottom"/>
          </w:tcPr>
          <w:p w14:paraId="06A56B7F" w14:textId="77777777" w:rsidR="00F83915" w:rsidRPr="00017986" w:rsidRDefault="00F83915" w:rsidP="00F83915">
            <w:pPr>
              <w:pStyle w:val="TabletextBold"/>
              <w:rPr>
                <w:rFonts w:eastAsia="Times"/>
              </w:rPr>
            </w:pPr>
            <w:r w:rsidRPr="00017986">
              <w:rPr>
                <w:rFonts w:eastAsia="Times"/>
              </w:rPr>
              <w:t xml:space="preserve">Like-for-like net rental income </w:t>
            </w:r>
            <w:r w:rsidRPr="00017986">
              <w:rPr>
                <w:rStyle w:val="TabletextChar"/>
                <w:rFonts w:eastAsia="Times"/>
                <w:b w:val="0"/>
              </w:rPr>
              <w:t>(including JVs at share)</w:t>
            </w:r>
          </w:p>
        </w:tc>
        <w:tc>
          <w:tcPr>
            <w:tcW w:w="1288" w:type="dxa"/>
          </w:tcPr>
          <w:p w14:paraId="1319AE66" w14:textId="77777777" w:rsidR="00F83915" w:rsidRPr="00017986" w:rsidRDefault="00F83915" w:rsidP="00F83915">
            <w:pPr>
              <w:pStyle w:val="TableColHeadsBold0"/>
              <w:rPr>
                <w:rFonts w:eastAsia="Times"/>
              </w:rPr>
            </w:pPr>
          </w:p>
        </w:tc>
        <w:tc>
          <w:tcPr>
            <w:tcW w:w="1288" w:type="dxa"/>
            <w:tcBorders>
              <w:bottom w:val="single" w:sz="4" w:space="0" w:color="999999"/>
            </w:tcBorders>
            <w:shd w:val="clear" w:color="auto" w:fill="auto"/>
            <w:vAlign w:val="bottom"/>
          </w:tcPr>
          <w:p w14:paraId="5B442890" w14:textId="3F0DEDBB" w:rsidR="00F83915" w:rsidRPr="00017986" w:rsidRDefault="00F83915" w:rsidP="00F83915">
            <w:pPr>
              <w:pStyle w:val="TableColHeadsBold0"/>
              <w:rPr>
                <w:rFonts w:eastAsia="Times"/>
              </w:rPr>
            </w:pPr>
            <w:r w:rsidRPr="00017986">
              <w:rPr>
                <w:rFonts w:eastAsia="Times"/>
              </w:rPr>
              <w:t>202</w:t>
            </w:r>
            <w:r w:rsidR="00017986" w:rsidRPr="00017986">
              <w:rPr>
                <w:rFonts w:eastAsia="Times"/>
              </w:rPr>
              <w:t>1</w:t>
            </w:r>
            <w:r w:rsidRPr="00017986">
              <w:rPr>
                <w:rFonts w:eastAsia="Times"/>
              </w:rPr>
              <w:br/>
              <w:t>£m</w:t>
            </w:r>
          </w:p>
        </w:tc>
        <w:tc>
          <w:tcPr>
            <w:tcW w:w="1275" w:type="dxa"/>
            <w:tcBorders>
              <w:bottom w:val="single" w:sz="4" w:space="0" w:color="999999"/>
            </w:tcBorders>
            <w:vAlign w:val="bottom"/>
          </w:tcPr>
          <w:p w14:paraId="75B5B990" w14:textId="7A76136F" w:rsidR="00F83915" w:rsidRPr="00017986" w:rsidRDefault="00F83915" w:rsidP="00F83915">
            <w:pPr>
              <w:pStyle w:val="TableColHeadsBold0"/>
              <w:ind w:right="141"/>
              <w:rPr>
                <w:rFonts w:eastAsia="Times"/>
                <w:b w:val="0"/>
              </w:rPr>
            </w:pPr>
            <w:r w:rsidRPr="00017986">
              <w:rPr>
                <w:rFonts w:eastAsia="Times"/>
              </w:rPr>
              <w:t>20</w:t>
            </w:r>
            <w:r w:rsidR="00017986" w:rsidRPr="00017986">
              <w:rPr>
                <w:rFonts w:eastAsia="Times"/>
              </w:rPr>
              <w:t>20</w:t>
            </w:r>
            <w:r w:rsidRPr="00017986">
              <w:rPr>
                <w:rFonts w:eastAsia="Times"/>
              </w:rPr>
              <w:br/>
              <w:t>£m</w:t>
            </w:r>
          </w:p>
        </w:tc>
        <w:tc>
          <w:tcPr>
            <w:tcW w:w="962" w:type="dxa"/>
            <w:tcBorders>
              <w:bottom w:val="single" w:sz="4" w:space="0" w:color="999999"/>
            </w:tcBorders>
          </w:tcPr>
          <w:p w14:paraId="68919E32" w14:textId="77777777" w:rsidR="00F83915" w:rsidRPr="00017986" w:rsidRDefault="00F83915" w:rsidP="00F83915">
            <w:pPr>
              <w:pStyle w:val="TableColHeadsBold0"/>
              <w:rPr>
                <w:rFonts w:eastAsia="Times"/>
                <w:b w:val="0"/>
              </w:rPr>
            </w:pPr>
          </w:p>
          <w:p w14:paraId="356ECD4A" w14:textId="3CF5F891" w:rsidR="00F83915" w:rsidRPr="00017986" w:rsidRDefault="00F83915" w:rsidP="00F83915">
            <w:pPr>
              <w:pStyle w:val="TableColHeadsBold0"/>
              <w:rPr>
                <w:rFonts w:eastAsia="Times"/>
                <w:b w:val="0"/>
              </w:rPr>
            </w:pPr>
            <w:r w:rsidRPr="00017986">
              <w:rPr>
                <w:rFonts w:eastAsia="Times"/>
                <w:b w:val="0"/>
              </w:rPr>
              <w:t>Change</w:t>
            </w:r>
            <w:r w:rsidR="00A47D38" w:rsidRPr="002E04BD">
              <w:rPr>
                <w:rFonts w:eastAsia="Times"/>
                <w:b w:val="0"/>
                <w:vertAlign w:val="superscript"/>
              </w:rPr>
              <w:t>3</w:t>
            </w:r>
            <w:r w:rsidRPr="00017986">
              <w:rPr>
                <w:rFonts w:eastAsia="Times"/>
                <w:b w:val="0"/>
              </w:rPr>
              <w:t xml:space="preserve"> </w:t>
            </w:r>
          </w:p>
          <w:p w14:paraId="76C663A6" w14:textId="77777777" w:rsidR="00F83915" w:rsidRPr="00017986" w:rsidRDefault="00F83915" w:rsidP="00F83915">
            <w:pPr>
              <w:pStyle w:val="TableColHeadsBold0"/>
              <w:rPr>
                <w:rFonts w:eastAsia="Times"/>
                <w:b w:val="0"/>
              </w:rPr>
            </w:pPr>
            <w:r w:rsidRPr="00017986">
              <w:rPr>
                <w:rFonts w:eastAsia="Times"/>
                <w:b w:val="0"/>
              </w:rPr>
              <w:t>%</w:t>
            </w:r>
          </w:p>
        </w:tc>
      </w:tr>
      <w:tr w:rsidR="00017986" w:rsidRPr="00017986" w14:paraId="470DE6C2" w14:textId="77777777" w:rsidTr="00F83915">
        <w:tc>
          <w:tcPr>
            <w:tcW w:w="5942" w:type="dxa"/>
            <w:tcBorders>
              <w:top w:val="single" w:sz="4" w:space="0" w:color="999999"/>
            </w:tcBorders>
            <w:shd w:val="clear" w:color="auto" w:fill="auto"/>
            <w:vAlign w:val="bottom"/>
          </w:tcPr>
          <w:p w14:paraId="2D6AA30F" w14:textId="77777777" w:rsidR="00F83915" w:rsidRPr="00017986" w:rsidRDefault="00F83915" w:rsidP="00F83915">
            <w:pPr>
              <w:pStyle w:val="Tabletext"/>
              <w:rPr>
                <w:rFonts w:eastAsia="Times" w:cs="Arial"/>
                <w:szCs w:val="18"/>
              </w:rPr>
            </w:pPr>
            <w:r w:rsidRPr="00017986">
              <w:rPr>
                <w:rFonts w:eastAsia="Times" w:cs="Arial"/>
                <w:szCs w:val="18"/>
              </w:rPr>
              <w:t>UK</w:t>
            </w:r>
          </w:p>
        </w:tc>
        <w:tc>
          <w:tcPr>
            <w:tcW w:w="1288" w:type="dxa"/>
            <w:tcBorders>
              <w:top w:val="single" w:sz="4" w:space="0" w:color="999999"/>
            </w:tcBorders>
          </w:tcPr>
          <w:p w14:paraId="6EFE53A8" w14:textId="77777777" w:rsidR="00F83915" w:rsidRPr="00017986" w:rsidRDefault="00F83915" w:rsidP="00F83915">
            <w:pPr>
              <w:pStyle w:val="TableFiguresBold0"/>
              <w:rPr>
                <w:rFonts w:eastAsia="Times"/>
              </w:rPr>
            </w:pPr>
          </w:p>
        </w:tc>
        <w:tc>
          <w:tcPr>
            <w:tcW w:w="1288" w:type="dxa"/>
            <w:tcBorders>
              <w:top w:val="single" w:sz="4" w:space="0" w:color="999999"/>
            </w:tcBorders>
            <w:shd w:val="clear" w:color="auto" w:fill="auto"/>
            <w:vAlign w:val="bottom"/>
          </w:tcPr>
          <w:p w14:paraId="2DDC52BD" w14:textId="426C12C2" w:rsidR="00F83915" w:rsidRPr="00017986" w:rsidRDefault="00017986" w:rsidP="00F83915">
            <w:pPr>
              <w:pStyle w:val="TableFiguresBold0"/>
              <w:rPr>
                <w:rFonts w:eastAsia="Times"/>
              </w:rPr>
            </w:pPr>
            <w:r w:rsidRPr="00017986">
              <w:rPr>
                <w:rFonts w:eastAsia="Times"/>
              </w:rPr>
              <w:t>234</w:t>
            </w:r>
          </w:p>
        </w:tc>
        <w:tc>
          <w:tcPr>
            <w:tcW w:w="1275" w:type="dxa"/>
            <w:tcBorders>
              <w:top w:val="single" w:sz="4" w:space="0" w:color="999999"/>
            </w:tcBorders>
            <w:vAlign w:val="bottom"/>
          </w:tcPr>
          <w:p w14:paraId="36334FF5" w14:textId="6EC87FBC" w:rsidR="00F83915" w:rsidRPr="00017986" w:rsidRDefault="00017986" w:rsidP="00F83915">
            <w:pPr>
              <w:pStyle w:val="TableFigures"/>
              <w:rPr>
                <w:rFonts w:eastAsia="Times"/>
              </w:rPr>
            </w:pPr>
            <w:r w:rsidRPr="00017986">
              <w:rPr>
                <w:rFonts w:eastAsia="Times"/>
              </w:rPr>
              <w:t>222</w:t>
            </w:r>
          </w:p>
        </w:tc>
        <w:tc>
          <w:tcPr>
            <w:tcW w:w="962" w:type="dxa"/>
            <w:tcBorders>
              <w:top w:val="single" w:sz="4" w:space="0" w:color="999999"/>
            </w:tcBorders>
          </w:tcPr>
          <w:p w14:paraId="6949960A" w14:textId="3D773924" w:rsidR="00F83915" w:rsidRPr="00017986" w:rsidRDefault="00017986" w:rsidP="00F83915">
            <w:pPr>
              <w:pStyle w:val="TableFigures"/>
              <w:rPr>
                <w:rFonts w:eastAsia="Times"/>
              </w:rPr>
            </w:pPr>
            <w:r w:rsidRPr="00017986">
              <w:rPr>
                <w:rFonts w:eastAsia="Times"/>
              </w:rPr>
              <w:t>5.6</w:t>
            </w:r>
          </w:p>
        </w:tc>
      </w:tr>
      <w:tr w:rsidR="00017986" w:rsidRPr="00017986" w14:paraId="50F1D2C6" w14:textId="77777777" w:rsidTr="00F83915">
        <w:tc>
          <w:tcPr>
            <w:tcW w:w="5942" w:type="dxa"/>
            <w:tcBorders>
              <w:bottom w:val="single" w:sz="4" w:space="0" w:color="999999"/>
            </w:tcBorders>
            <w:shd w:val="clear" w:color="auto" w:fill="auto"/>
            <w:vAlign w:val="bottom"/>
          </w:tcPr>
          <w:p w14:paraId="7B5A743E" w14:textId="77777777" w:rsidR="00F83915" w:rsidRPr="00017986" w:rsidRDefault="00F83915" w:rsidP="00F83915">
            <w:pPr>
              <w:pStyle w:val="Tabletext"/>
              <w:rPr>
                <w:rFonts w:eastAsia="Times" w:cs="Arial"/>
                <w:szCs w:val="18"/>
              </w:rPr>
            </w:pPr>
            <w:r w:rsidRPr="00017986">
              <w:rPr>
                <w:rFonts w:eastAsia="Times" w:cs="Arial"/>
                <w:szCs w:val="18"/>
              </w:rPr>
              <w:t>Continental Europe</w:t>
            </w:r>
          </w:p>
        </w:tc>
        <w:tc>
          <w:tcPr>
            <w:tcW w:w="1288" w:type="dxa"/>
            <w:tcBorders>
              <w:bottom w:val="single" w:sz="4" w:space="0" w:color="999999"/>
            </w:tcBorders>
          </w:tcPr>
          <w:p w14:paraId="582A7192" w14:textId="77777777" w:rsidR="00F83915" w:rsidRPr="00017986" w:rsidRDefault="00F83915" w:rsidP="00F83915">
            <w:pPr>
              <w:pStyle w:val="TableFiguresBold0"/>
              <w:rPr>
                <w:rFonts w:eastAsia="Times"/>
              </w:rPr>
            </w:pPr>
          </w:p>
        </w:tc>
        <w:tc>
          <w:tcPr>
            <w:tcW w:w="1288" w:type="dxa"/>
            <w:tcBorders>
              <w:bottom w:val="single" w:sz="4" w:space="0" w:color="999999"/>
            </w:tcBorders>
            <w:shd w:val="clear" w:color="auto" w:fill="auto"/>
            <w:vAlign w:val="bottom"/>
          </w:tcPr>
          <w:p w14:paraId="6F53E266" w14:textId="652BBA1F" w:rsidR="00F83915" w:rsidRPr="00017986" w:rsidRDefault="00017986" w:rsidP="00F83915">
            <w:pPr>
              <w:pStyle w:val="TableFiguresBold0"/>
              <w:rPr>
                <w:rFonts w:eastAsia="Times"/>
              </w:rPr>
            </w:pPr>
            <w:r w:rsidRPr="00017986">
              <w:rPr>
                <w:rFonts w:eastAsia="Times"/>
              </w:rPr>
              <w:t>129</w:t>
            </w:r>
          </w:p>
        </w:tc>
        <w:tc>
          <w:tcPr>
            <w:tcW w:w="1275" w:type="dxa"/>
            <w:tcBorders>
              <w:bottom w:val="single" w:sz="4" w:space="0" w:color="999999"/>
            </w:tcBorders>
            <w:vAlign w:val="bottom"/>
          </w:tcPr>
          <w:p w14:paraId="37BA6C2F" w14:textId="0806C193" w:rsidR="00F83915" w:rsidRPr="00017986" w:rsidRDefault="00017986" w:rsidP="00F83915">
            <w:pPr>
              <w:pStyle w:val="TableFigures"/>
              <w:rPr>
                <w:rFonts w:eastAsia="Times"/>
              </w:rPr>
            </w:pPr>
            <w:r w:rsidRPr="00017986">
              <w:rPr>
                <w:rFonts w:eastAsia="Times"/>
              </w:rPr>
              <w:t>124</w:t>
            </w:r>
          </w:p>
        </w:tc>
        <w:tc>
          <w:tcPr>
            <w:tcW w:w="962" w:type="dxa"/>
            <w:tcBorders>
              <w:bottom w:val="single" w:sz="4" w:space="0" w:color="999999"/>
            </w:tcBorders>
          </w:tcPr>
          <w:p w14:paraId="1C6B06D5" w14:textId="72AB0B28" w:rsidR="00F83915" w:rsidRPr="00017986" w:rsidRDefault="00017986" w:rsidP="00F83915">
            <w:pPr>
              <w:pStyle w:val="TableFigures"/>
              <w:rPr>
                <w:rFonts w:eastAsia="Times"/>
              </w:rPr>
            </w:pPr>
            <w:r w:rsidRPr="00017986">
              <w:rPr>
                <w:rFonts w:eastAsia="Times"/>
              </w:rPr>
              <w:t>3.6</w:t>
            </w:r>
          </w:p>
        </w:tc>
      </w:tr>
      <w:tr w:rsidR="00017986" w:rsidRPr="00017986" w14:paraId="43C273DF" w14:textId="77777777" w:rsidTr="00F83915">
        <w:tc>
          <w:tcPr>
            <w:tcW w:w="5942" w:type="dxa"/>
            <w:tcBorders>
              <w:top w:val="single" w:sz="4" w:space="0" w:color="999999"/>
            </w:tcBorders>
            <w:shd w:val="clear" w:color="auto" w:fill="auto"/>
            <w:vAlign w:val="bottom"/>
          </w:tcPr>
          <w:p w14:paraId="682FE366" w14:textId="33977893" w:rsidR="00F83915" w:rsidRPr="00017986" w:rsidRDefault="00F83915" w:rsidP="00F83915">
            <w:pPr>
              <w:pStyle w:val="Tabletext"/>
              <w:rPr>
                <w:rFonts w:eastAsia="Times" w:cs="Arial"/>
                <w:b/>
                <w:szCs w:val="18"/>
              </w:rPr>
            </w:pPr>
            <w:r w:rsidRPr="00017986">
              <w:rPr>
                <w:rFonts w:eastAsia="Times" w:cs="Arial"/>
                <w:b/>
                <w:szCs w:val="18"/>
              </w:rPr>
              <w:t>Like-for-like net rental income before other items</w:t>
            </w:r>
            <w:r w:rsidRPr="00017986">
              <w:rPr>
                <w:rFonts w:eastAsia="Times" w:cs="Arial"/>
                <w:b/>
                <w:szCs w:val="18"/>
                <w:vertAlign w:val="superscript"/>
              </w:rPr>
              <w:t>1</w:t>
            </w:r>
          </w:p>
        </w:tc>
        <w:tc>
          <w:tcPr>
            <w:tcW w:w="1288" w:type="dxa"/>
            <w:tcBorders>
              <w:top w:val="single" w:sz="4" w:space="0" w:color="999999"/>
            </w:tcBorders>
          </w:tcPr>
          <w:p w14:paraId="1033A85C" w14:textId="77777777" w:rsidR="00F83915" w:rsidRPr="00017986" w:rsidRDefault="00F83915" w:rsidP="00F83915">
            <w:pPr>
              <w:pStyle w:val="TableFiguresBold0"/>
              <w:rPr>
                <w:rFonts w:eastAsia="Times"/>
              </w:rPr>
            </w:pPr>
          </w:p>
        </w:tc>
        <w:tc>
          <w:tcPr>
            <w:tcW w:w="1288" w:type="dxa"/>
            <w:tcBorders>
              <w:top w:val="single" w:sz="4" w:space="0" w:color="999999"/>
            </w:tcBorders>
            <w:shd w:val="clear" w:color="auto" w:fill="auto"/>
            <w:vAlign w:val="bottom"/>
          </w:tcPr>
          <w:p w14:paraId="28CE7EE8" w14:textId="0601FF08" w:rsidR="00F83915" w:rsidRPr="00017986" w:rsidRDefault="00017986" w:rsidP="00F83915">
            <w:pPr>
              <w:pStyle w:val="TableFiguresBold0"/>
              <w:rPr>
                <w:rFonts w:eastAsia="Times"/>
              </w:rPr>
            </w:pPr>
            <w:r w:rsidRPr="00017986">
              <w:rPr>
                <w:rFonts w:eastAsia="Times"/>
              </w:rPr>
              <w:t>363</w:t>
            </w:r>
          </w:p>
        </w:tc>
        <w:tc>
          <w:tcPr>
            <w:tcW w:w="1275" w:type="dxa"/>
            <w:tcBorders>
              <w:top w:val="single" w:sz="4" w:space="0" w:color="999999"/>
            </w:tcBorders>
            <w:vAlign w:val="bottom"/>
          </w:tcPr>
          <w:p w14:paraId="5D6216E9" w14:textId="2F81F84A" w:rsidR="00F83915" w:rsidRPr="00017986" w:rsidRDefault="00017986" w:rsidP="00F83915">
            <w:pPr>
              <w:pStyle w:val="TableFigures"/>
              <w:rPr>
                <w:rFonts w:eastAsia="Times"/>
              </w:rPr>
            </w:pPr>
            <w:r w:rsidRPr="00017986">
              <w:rPr>
                <w:rFonts w:eastAsia="Times"/>
              </w:rPr>
              <w:t>346</w:t>
            </w:r>
          </w:p>
        </w:tc>
        <w:tc>
          <w:tcPr>
            <w:tcW w:w="962" w:type="dxa"/>
            <w:tcBorders>
              <w:top w:val="single" w:sz="4" w:space="0" w:color="999999"/>
            </w:tcBorders>
          </w:tcPr>
          <w:p w14:paraId="07B19C36" w14:textId="629E5AE1" w:rsidR="00F83915" w:rsidRPr="00017986" w:rsidRDefault="00017986" w:rsidP="00F83915">
            <w:pPr>
              <w:pStyle w:val="TableFigures"/>
              <w:rPr>
                <w:rFonts w:eastAsia="Times"/>
              </w:rPr>
            </w:pPr>
            <w:r w:rsidRPr="00017986">
              <w:rPr>
                <w:rFonts w:eastAsia="Times"/>
              </w:rPr>
              <w:t>4.9</w:t>
            </w:r>
          </w:p>
        </w:tc>
      </w:tr>
      <w:tr w:rsidR="00017986" w:rsidRPr="00017986" w14:paraId="1D8FE2F3" w14:textId="77777777" w:rsidTr="00F83915">
        <w:tc>
          <w:tcPr>
            <w:tcW w:w="5942" w:type="dxa"/>
            <w:tcBorders>
              <w:bottom w:val="single" w:sz="4" w:space="0" w:color="AEAAAA"/>
            </w:tcBorders>
            <w:shd w:val="clear" w:color="auto" w:fill="auto"/>
            <w:vAlign w:val="bottom"/>
          </w:tcPr>
          <w:p w14:paraId="15E40AF4" w14:textId="03D31D49" w:rsidR="00F83915" w:rsidRPr="00017986" w:rsidRDefault="00F83915" w:rsidP="00F83915">
            <w:pPr>
              <w:pStyle w:val="Tabletext"/>
              <w:rPr>
                <w:rFonts w:eastAsia="Times" w:cs="Arial"/>
                <w:szCs w:val="18"/>
              </w:rPr>
            </w:pPr>
            <w:r w:rsidRPr="00017986">
              <w:rPr>
                <w:rFonts w:eastAsia="Times" w:cs="Arial"/>
                <w:szCs w:val="18"/>
              </w:rPr>
              <w:t>Other</w:t>
            </w:r>
            <w:r w:rsidRPr="00017986">
              <w:rPr>
                <w:rFonts w:eastAsia="Times" w:cs="Arial"/>
                <w:szCs w:val="18"/>
                <w:vertAlign w:val="superscript"/>
              </w:rPr>
              <w:t>2</w:t>
            </w:r>
          </w:p>
        </w:tc>
        <w:tc>
          <w:tcPr>
            <w:tcW w:w="1288" w:type="dxa"/>
            <w:tcBorders>
              <w:bottom w:val="single" w:sz="4" w:space="0" w:color="AEAAAA"/>
            </w:tcBorders>
          </w:tcPr>
          <w:p w14:paraId="6884FD6B" w14:textId="77777777" w:rsidR="00F83915" w:rsidRPr="00017986" w:rsidRDefault="00F83915" w:rsidP="00F83915">
            <w:pPr>
              <w:pStyle w:val="TableFiguresBracketsBold"/>
              <w:rPr>
                <w:rFonts w:eastAsia="Times"/>
              </w:rPr>
            </w:pPr>
          </w:p>
        </w:tc>
        <w:tc>
          <w:tcPr>
            <w:tcW w:w="1288" w:type="dxa"/>
            <w:tcBorders>
              <w:bottom w:val="single" w:sz="4" w:space="0" w:color="AEAAAA"/>
            </w:tcBorders>
            <w:shd w:val="clear" w:color="auto" w:fill="auto"/>
            <w:vAlign w:val="bottom"/>
          </w:tcPr>
          <w:p w14:paraId="50FAD659" w14:textId="660D385D" w:rsidR="00F83915" w:rsidRPr="00017986" w:rsidRDefault="00F83915" w:rsidP="00F83915">
            <w:pPr>
              <w:pStyle w:val="TableFiguresBracketsBold"/>
              <w:rPr>
                <w:rFonts w:eastAsia="Times"/>
              </w:rPr>
            </w:pPr>
            <w:r w:rsidRPr="00017986">
              <w:rPr>
                <w:rFonts w:eastAsia="Times"/>
              </w:rPr>
              <w:t>(</w:t>
            </w:r>
            <w:r w:rsidR="00017986" w:rsidRPr="00017986">
              <w:rPr>
                <w:rFonts w:eastAsia="Times"/>
              </w:rPr>
              <w:t>6</w:t>
            </w:r>
            <w:r w:rsidRPr="00017986">
              <w:rPr>
                <w:rFonts w:eastAsia="Times"/>
              </w:rPr>
              <w:t>)</w:t>
            </w:r>
          </w:p>
        </w:tc>
        <w:tc>
          <w:tcPr>
            <w:tcW w:w="1275" w:type="dxa"/>
            <w:tcBorders>
              <w:bottom w:val="single" w:sz="4" w:space="0" w:color="AEAAAA"/>
            </w:tcBorders>
            <w:vAlign w:val="bottom"/>
          </w:tcPr>
          <w:p w14:paraId="3A0C329F" w14:textId="786D3813" w:rsidR="00F83915" w:rsidRPr="00017986" w:rsidRDefault="00F83915" w:rsidP="00F83915">
            <w:pPr>
              <w:pStyle w:val="TableFiguresBrackets"/>
              <w:rPr>
                <w:rFonts w:eastAsia="Times"/>
              </w:rPr>
            </w:pPr>
            <w:r w:rsidRPr="00017986">
              <w:rPr>
                <w:rFonts w:eastAsia="Times"/>
              </w:rPr>
              <w:t>(</w:t>
            </w:r>
            <w:r w:rsidR="00017986" w:rsidRPr="00017986">
              <w:rPr>
                <w:rFonts w:eastAsia="Times"/>
              </w:rPr>
              <w:t>6</w:t>
            </w:r>
            <w:r w:rsidRPr="00017986">
              <w:rPr>
                <w:rFonts w:eastAsia="Times"/>
              </w:rPr>
              <w:t>)</w:t>
            </w:r>
          </w:p>
        </w:tc>
        <w:tc>
          <w:tcPr>
            <w:tcW w:w="962" w:type="dxa"/>
            <w:tcBorders>
              <w:bottom w:val="single" w:sz="4" w:space="0" w:color="AEAAAA"/>
            </w:tcBorders>
          </w:tcPr>
          <w:p w14:paraId="48FC993F" w14:textId="110D1BD4" w:rsidR="00F83915" w:rsidRPr="00017986" w:rsidRDefault="00017986" w:rsidP="00F83915">
            <w:pPr>
              <w:pStyle w:val="TableFigures"/>
              <w:rPr>
                <w:rFonts w:eastAsia="Times"/>
              </w:rPr>
            </w:pPr>
            <w:r w:rsidRPr="00017986">
              <w:rPr>
                <w:rFonts w:eastAsia="Times"/>
              </w:rPr>
              <w:t>–</w:t>
            </w:r>
          </w:p>
        </w:tc>
      </w:tr>
      <w:tr w:rsidR="00017986" w:rsidRPr="00017986" w14:paraId="14CB07CC" w14:textId="77777777" w:rsidTr="00F83915">
        <w:tc>
          <w:tcPr>
            <w:tcW w:w="5942" w:type="dxa"/>
            <w:tcBorders>
              <w:top w:val="single" w:sz="4" w:space="0" w:color="AEAAAA"/>
            </w:tcBorders>
            <w:shd w:val="clear" w:color="auto" w:fill="auto"/>
            <w:vAlign w:val="bottom"/>
          </w:tcPr>
          <w:p w14:paraId="34024EAF" w14:textId="77777777" w:rsidR="00F83915" w:rsidRPr="00017986" w:rsidRDefault="00F83915" w:rsidP="00F83915">
            <w:pPr>
              <w:pStyle w:val="Tabletext"/>
              <w:rPr>
                <w:rFonts w:eastAsia="Times" w:cs="Arial"/>
                <w:b/>
                <w:szCs w:val="18"/>
              </w:rPr>
            </w:pPr>
            <w:r w:rsidRPr="00017986">
              <w:rPr>
                <w:rFonts w:eastAsia="Times" w:cs="Arial"/>
                <w:b/>
                <w:szCs w:val="18"/>
              </w:rPr>
              <w:t>Like-for-like net rental income (after other)</w:t>
            </w:r>
          </w:p>
        </w:tc>
        <w:tc>
          <w:tcPr>
            <w:tcW w:w="1288" w:type="dxa"/>
            <w:tcBorders>
              <w:top w:val="single" w:sz="4" w:space="0" w:color="AEAAAA"/>
            </w:tcBorders>
          </w:tcPr>
          <w:p w14:paraId="57915136" w14:textId="77777777" w:rsidR="00F83915" w:rsidRPr="00017986" w:rsidRDefault="00F83915" w:rsidP="00F83915">
            <w:pPr>
              <w:pStyle w:val="TableFiguresBold0"/>
              <w:rPr>
                <w:rFonts w:eastAsia="Times"/>
              </w:rPr>
            </w:pPr>
          </w:p>
        </w:tc>
        <w:tc>
          <w:tcPr>
            <w:tcW w:w="1288" w:type="dxa"/>
            <w:tcBorders>
              <w:top w:val="single" w:sz="4" w:space="0" w:color="AEAAAA"/>
            </w:tcBorders>
            <w:shd w:val="clear" w:color="auto" w:fill="auto"/>
            <w:vAlign w:val="bottom"/>
          </w:tcPr>
          <w:p w14:paraId="7CE562F3" w14:textId="3C98A626" w:rsidR="00F83915" w:rsidRPr="00017986" w:rsidRDefault="00017986" w:rsidP="00F83915">
            <w:pPr>
              <w:pStyle w:val="TableFiguresBold0"/>
              <w:rPr>
                <w:rFonts w:eastAsia="Times"/>
              </w:rPr>
            </w:pPr>
            <w:r w:rsidRPr="00017986">
              <w:rPr>
                <w:rFonts w:eastAsia="Times"/>
              </w:rPr>
              <w:t>357</w:t>
            </w:r>
          </w:p>
        </w:tc>
        <w:tc>
          <w:tcPr>
            <w:tcW w:w="1275" w:type="dxa"/>
            <w:tcBorders>
              <w:top w:val="single" w:sz="4" w:space="0" w:color="AEAAAA"/>
            </w:tcBorders>
            <w:vAlign w:val="bottom"/>
          </w:tcPr>
          <w:p w14:paraId="4D3D0E20" w14:textId="64292CBE" w:rsidR="00F83915" w:rsidRPr="00017986" w:rsidRDefault="00017986" w:rsidP="00F83915">
            <w:pPr>
              <w:pStyle w:val="TableFigures"/>
              <w:rPr>
                <w:rFonts w:eastAsia="Times"/>
              </w:rPr>
            </w:pPr>
            <w:r w:rsidRPr="00017986">
              <w:rPr>
                <w:rFonts w:eastAsia="Times"/>
              </w:rPr>
              <w:t>340</w:t>
            </w:r>
          </w:p>
        </w:tc>
        <w:tc>
          <w:tcPr>
            <w:tcW w:w="962" w:type="dxa"/>
            <w:tcBorders>
              <w:top w:val="single" w:sz="4" w:space="0" w:color="AEAAAA"/>
            </w:tcBorders>
          </w:tcPr>
          <w:p w14:paraId="5773E953" w14:textId="0FCFABA3" w:rsidR="00F83915" w:rsidRPr="00017986" w:rsidRDefault="00017986" w:rsidP="00F83915">
            <w:pPr>
              <w:pStyle w:val="TableFigures"/>
              <w:rPr>
                <w:rFonts w:eastAsia="Times"/>
              </w:rPr>
            </w:pPr>
            <w:r w:rsidRPr="00017986">
              <w:rPr>
                <w:rFonts w:eastAsia="Times"/>
              </w:rPr>
              <w:t>4.8</w:t>
            </w:r>
          </w:p>
        </w:tc>
      </w:tr>
      <w:tr w:rsidR="00017986" w:rsidRPr="00017986" w14:paraId="4BA2F1EB" w14:textId="77777777" w:rsidTr="00F83915">
        <w:tc>
          <w:tcPr>
            <w:tcW w:w="5942" w:type="dxa"/>
            <w:shd w:val="clear" w:color="auto" w:fill="auto"/>
            <w:vAlign w:val="bottom"/>
          </w:tcPr>
          <w:p w14:paraId="4BF6CD23" w14:textId="77777777" w:rsidR="00F83915" w:rsidRPr="00017986" w:rsidRDefault="00F83915" w:rsidP="00F83915">
            <w:pPr>
              <w:pStyle w:val="Tabletext"/>
              <w:rPr>
                <w:rFonts w:eastAsia="Times" w:cs="Arial"/>
                <w:szCs w:val="18"/>
              </w:rPr>
            </w:pPr>
            <w:r w:rsidRPr="00017986">
              <w:rPr>
                <w:rFonts w:eastAsia="Times" w:cs="Arial"/>
                <w:szCs w:val="18"/>
              </w:rPr>
              <w:t>Development lettings</w:t>
            </w:r>
          </w:p>
        </w:tc>
        <w:tc>
          <w:tcPr>
            <w:tcW w:w="1288" w:type="dxa"/>
          </w:tcPr>
          <w:p w14:paraId="5628A21D" w14:textId="77777777" w:rsidR="00F83915" w:rsidRPr="00017986" w:rsidRDefault="00F83915" w:rsidP="00F83915">
            <w:pPr>
              <w:pStyle w:val="TableFiguresBold0"/>
              <w:rPr>
                <w:rFonts w:eastAsia="Times"/>
              </w:rPr>
            </w:pPr>
          </w:p>
        </w:tc>
        <w:tc>
          <w:tcPr>
            <w:tcW w:w="1288" w:type="dxa"/>
            <w:shd w:val="clear" w:color="auto" w:fill="auto"/>
            <w:vAlign w:val="bottom"/>
          </w:tcPr>
          <w:p w14:paraId="6FE009AD" w14:textId="26E5CAFD" w:rsidR="00F83915" w:rsidRPr="00017986" w:rsidRDefault="00017986" w:rsidP="00DC4F14">
            <w:pPr>
              <w:pStyle w:val="TableFiguresBold0"/>
              <w:rPr>
                <w:rFonts w:eastAsia="Times"/>
              </w:rPr>
            </w:pPr>
            <w:r w:rsidRPr="00017986">
              <w:rPr>
                <w:rFonts w:eastAsia="Times"/>
              </w:rPr>
              <w:t>39</w:t>
            </w:r>
          </w:p>
        </w:tc>
        <w:tc>
          <w:tcPr>
            <w:tcW w:w="1275" w:type="dxa"/>
            <w:vAlign w:val="bottom"/>
          </w:tcPr>
          <w:p w14:paraId="37269A12" w14:textId="67B8FADB" w:rsidR="00F83915" w:rsidRPr="00017986" w:rsidRDefault="00017986" w:rsidP="00DC4F14">
            <w:pPr>
              <w:pStyle w:val="TableFigures"/>
              <w:rPr>
                <w:rFonts w:eastAsia="Times"/>
              </w:rPr>
            </w:pPr>
            <w:r w:rsidRPr="00017986">
              <w:rPr>
                <w:rFonts w:eastAsia="Times"/>
              </w:rPr>
              <w:t>9</w:t>
            </w:r>
          </w:p>
        </w:tc>
        <w:tc>
          <w:tcPr>
            <w:tcW w:w="962" w:type="dxa"/>
          </w:tcPr>
          <w:p w14:paraId="2F9A4056" w14:textId="77777777" w:rsidR="00F83915" w:rsidRPr="00017986" w:rsidRDefault="00F83915" w:rsidP="00F83915">
            <w:pPr>
              <w:pStyle w:val="TableFiguresBold0"/>
              <w:rPr>
                <w:rFonts w:eastAsia="Times" w:cs="Arial"/>
                <w:b w:val="0"/>
                <w:szCs w:val="18"/>
              </w:rPr>
            </w:pPr>
          </w:p>
        </w:tc>
      </w:tr>
      <w:tr w:rsidR="00017986" w:rsidRPr="00017986" w14:paraId="7DDB41D8" w14:textId="77777777" w:rsidTr="00F83915">
        <w:tc>
          <w:tcPr>
            <w:tcW w:w="5942" w:type="dxa"/>
            <w:tcBorders>
              <w:bottom w:val="single" w:sz="4" w:space="0" w:color="999999"/>
            </w:tcBorders>
            <w:shd w:val="clear" w:color="auto" w:fill="auto"/>
            <w:vAlign w:val="bottom"/>
          </w:tcPr>
          <w:p w14:paraId="45279F12" w14:textId="77777777" w:rsidR="00F83915" w:rsidRPr="00017986" w:rsidRDefault="00F83915" w:rsidP="00F83915">
            <w:pPr>
              <w:pStyle w:val="Tabletext"/>
              <w:rPr>
                <w:rFonts w:eastAsia="Times" w:cs="Arial"/>
                <w:szCs w:val="18"/>
              </w:rPr>
            </w:pPr>
            <w:r w:rsidRPr="00017986">
              <w:rPr>
                <w:rFonts w:eastAsia="Times" w:cs="Arial"/>
                <w:szCs w:val="18"/>
              </w:rPr>
              <w:t>Properties taken back for development</w:t>
            </w:r>
          </w:p>
        </w:tc>
        <w:tc>
          <w:tcPr>
            <w:tcW w:w="1288" w:type="dxa"/>
            <w:tcBorders>
              <w:bottom w:val="single" w:sz="4" w:space="0" w:color="999999"/>
            </w:tcBorders>
          </w:tcPr>
          <w:p w14:paraId="1C0E5DD7" w14:textId="77777777" w:rsidR="00F83915" w:rsidRPr="00017986" w:rsidRDefault="00F83915" w:rsidP="00F83915">
            <w:pPr>
              <w:pStyle w:val="TableFiguresBold0"/>
              <w:rPr>
                <w:rFonts w:eastAsia="Times"/>
              </w:rPr>
            </w:pPr>
          </w:p>
        </w:tc>
        <w:tc>
          <w:tcPr>
            <w:tcW w:w="1288" w:type="dxa"/>
            <w:tcBorders>
              <w:bottom w:val="single" w:sz="4" w:space="0" w:color="999999"/>
            </w:tcBorders>
            <w:shd w:val="clear" w:color="auto" w:fill="auto"/>
            <w:vAlign w:val="bottom"/>
          </w:tcPr>
          <w:p w14:paraId="6E32D4F3" w14:textId="4DF6C945" w:rsidR="00F83915" w:rsidRPr="00017986" w:rsidRDefault="00017986" w:rsidP="00DC4F14">
            <w:pPr>
              <w:pStyle w:val="TableFiguresBold0"/>
              <w:rPr>
                <w:rFonts w:eastAsia="Times"/>
              </w:rPr>
            </w:pPr>
            <w:r w:rsidRPr="00017986">
              <w:rPr>
                <w:rFonts w:eastAsia="Times"/>
              </w:rPr>
              <w:t>1</w:t>
            </w:r>
          </w:p>
        </w:tc>
        <w:tc>
          <w:tcPr>
            <w:tcW w:w="1275" w:type="dxa"/>
            <w:tcBorders>
              <w:bottom w:val="single" w:sz="4" w:space="0" w:color="999999"/>
            </w:tcBorders>
            <w:vAlign w:val="bottom"/>
          </w:tcPr>
          <w:p w14:paraId="6D7F4F77" w14:textId="4662FA3E" w:rsidR="00F83915" w:rsidRPr="00017986" w:rsidRDefault="00017986" w:rsidP="00DC4F14">
            <w:pPr>
              <w:pStyle w:val="TableFigures"/>
              <w:rPr>
                <w:rFonts w:eastAsia="Times"/>
              </w:rPr>
            </w:pPr>
            <w:r w:rsidRPr="00017986">
              <w:rPr>
                <w:rFonts w:eastAsia="Times"/>
              </w:rPr>
              <w:t>5</w:t>
            </w:r>
          </w:p>
        </w:tc>
        <w:tc>
          <w:tcPr>
            <w:tcW w:w="962" w:type="dxa"/>
            <w:tcBorders>
              <w:bottom w:val="single" w:sz="4" w:space="0" w:color="999999"/>
            </w:tcBorders>
          </w:tcPr>
          <w:p w14:paraId="05F407C8" w14:textId="77777777" w:rsidR="00F83915" w:rsidRPr="00017986" w:rsidRDefault="00F83915" w:rsidP="00F83915">
            <w:pPr>
              <w:pStyle w:val="TableFiguresBold0"/>
              <w:rPr>
                <w:rFonts w:eastAsia="Times" w:cs="Arial"/>
                <w:b w:val="0"/>
                <w:szCs w:val="18"/>
              </w:rPr>
            </w:pPr>
          </w:p>
        </w:tc>
      </w:tr>
      <w:tr w:rsidR="00017986" w:rsidRPr="00017986" w14:paraId="16EC17E5" w14:textId="77777777" w:rsidTr="00F83915">
        <w:tc>
          <w:tcPr>
            <w:tcW w:w="5942" w:type="dxa"/>
            <w:tcBorders>
              <w:top w:val="single" w:sz="4" w:space="0" w:color="A6A6A6"/>
            </w:tcBorders>
            <w:shd w:val="clear" w:color="auto" w:fill="auto"/>
            <w:vAlign w:val="bottom"/>
          </w:tcPr>
          <w:p w14:paraId="5F79F287" w14:textId="77777777" w:rsidR="00F83915" w:rsidRPr="00017986" w:rsidRDefault="00F83915" w:rsidP="00F83915">
            <w:pPr>
              <w:pStyle w:val="TabletextBold"/>
              <w:rPr>
                <w:rFonts w:eastAsia="Times" w:cs="Arial"/>
                <w:szCs w:val="18"/>
              </w:rPr>
            </w:pPr>
            <w:r w:rsidRPr="00017986">
              <w:rPr>
                <w:rFonts w:eastAsia="Times" w:cs="Arial"/>
                <w:szCs w:val="18"/>
              </w:rPr>
              <w:t>Like-for-like net rental income plus developments</w:t>
            </w:r>
          </w:p>
        </w:tc>
        <w:tc>
          <w:tcPr>
            <w:tcW w:w="1288" w:type="dxa"/>
            <w:tcBorders>
              <w:top w:val="single" w:sz="4" w:space="0" w:color="A6A6A6"/>
            </w:tcBorders>
          </w:tcPr>
          <w:p w14:paraId="645A1702" w14:textId="77777777" w:rsidR="00F83915" w:rsidRPr="00017986" w:rsidRDefault="00F83915" w:rsidP="00F83915">
            <w:pPr>
              <w:pStyle w:val="TableFiguresBold0"/>
              <w:rPr>
                <w:rFonts w:eastAsia="Times"/>
              </w:rPr>
            </w:pPr>
          </w:p>
        </w:tc>
        <w:tc>
          <w:tcPr>
            <w:tcW w:w="1288" w:type="dxa"/>
            <w:tcBorders>
              <w:top w:val="single" w:sz="4" w:space="0" w:color="A6A6A6"/>
            </w:tcBorders>
            <w:shd w:val="clear" w:color="auto" w:fill="auto"/>
            <w:vAlign w:val="bottom"/>
          </w:tcPr>
          <w:p w14:paraId="6F318C21" w14:textId="75864203" w:rsidR="00F83915" w:rsidRPr="00017986" w:rsidRDefault="00017986" w:rsidP="00DC4F14">
            <w:pPr>
              <w:pStyle w:val="TableFiguresBold0"/>
              <w:rPr>
                <w:rFonts w:eastAsia="Times"/>
              </w:rPr>
            </w:pPr>
            <w:r w:rsidRPr="00017986">
              <w:rPr>
                <w:rFonts w:eastAsia="Times"/>
              </w:rPr>
              <w:t>397</w:t>
            </w:r>
          </w:p>
        </w:tc>
        <w:tc>
          <w:tcPr>
            <w:tcW w:w="1275" w:type="dxa"/>
            <w:tcBorders>
              <w:top w:val="single" w:sz="4" w:space="0" w:color="A6A6A6"/>
            </w:tcBorders>
            <w:vAlign w:val="bottom"/>
          </w:tcPr>
          <w:p w14:paraId="6E42B292" w14:textId="37582264" w:rsidR="00F83915" w:rsidRPr="00017986" w:rsidRDefault="00017986" w:rsidP="00DC4F14">
            <w:pPr>
              <w:pStyle w:val="TableFigures"/>
              <w:rPr>
                <w:rFonts w:eastAsia="Times"/>
              </w:rPr>
            </w:pPr>
            <w:r w:rsidRPr="00017986">
              <w:rPr>
                <w:rFonts w:eastAsia="Times"/>
              </w:rPr>
              <w:t>354</w:t>
            </w:r>
          </w:p>
        </w:tc>
        <w:tc>
          <w:tcPr>
            <w:tcW w:w="962" w:type="dxa"/>
            <w:tcBorders>
              <w:top w:val="single" w:sz="4" w:space="0" w:color="A6A6A6"/>
            </w:tcBorders>
          </w:tcPr>
          <w:p w14:paraId="6D52A761" w14:textId="77777777" w:rsidR="00F83915" w:rsidRPr="00017986" w:rsidRDefault="00F83915" w:rsidP="00F83915">
            <w:pPr>
              <w:pStyle w:val="TableFiguresBold0"/>
              <w:rPr>
                <w:rFonts w:eastAsia="Times" w:cs="Arial"/>
                <w:b w:val="0"/>
                <w:szCs w:val="18"/>
              </w:rPr>
            </w:pPr>
          </w:p>
        </w:tc>
      </w:tr>
      <w:tr w:rsidR="00017986" w:rsidRPr="00017986" w14:paraId="75FE8C8A" w14:textId="77777777" w:rsidTr="00F83915">
        <w:tc>
          <w:tcPr>
            <w:tcW w:w="5942" w:type="dxa"/>
            <w:shd w:val="clear" w:color="auto" w:fill="auto"/>
            <w:vAlign w:val="bottom"/>
          </w:tcPr>
          <w:p w14:paraId="7A5D7624" w14:textId="77777777" w:rsidR="00F83915" w:rsidRPr="00017986" w:rsidRDefault="00F83915" w:rsidP="00F83915">
            <w:pPr>
              <w:pStyle w:val="Tabletext"/>
              <w:rPr>
                <w:rFonts w:eastAsia="Times" w:cs="Arial"/>
                <w:szCs w:val="18"/>
              </w:rPr>
            </w:pPr>
            <w:r w:rsidRPr="00017986">
              <w:rPr>
                <w:rFonts w:eastAsia="Times" w:cs="Arial"/>
                <w:szCs w:val="18"/>
              </w:rPr>
              <w:t>Properties acquired</w:t>
            </w:r>
          </w:p>
        </w:tc>
        <w:tc>
          <w:tcPr>
            <w:tcW w:w="1288" w:type="dxa"/>
          </w:tcPr>
          <w:p w14:paraId="6E8A4DFE" w14:textId="77777777" w:rsidR="00F83915" w:rsidRPr="00017986" w:rsidRDefault="00F83915" w:rsidP="00F83915">
            <w:pPr>
              <w:pStyle w:val="TableFiguresBold0"/>
              <w:rPr>
                <w:rFonts w:eastAsia="Times"/>
              </w:rPr>
            </w:pPr>
          </w:p>
        </w:tc>
        <w:tc>
          <w:tcPr>
            <w:tcW w:w="1288" w:type="dxa"/>
            <w:shd w:val="clear" w:color="auto" w:fill="auto"/>
            <w:vAlign w:val="bottom"/>
          </w:tcPr>
          <w:p w14:paraId="4ADF007C" w14:textId="0787E955" w:rsidR="00F83915" w:rsidRPr="00017986" w:rsidRDefault="00017986" w:rsidP="00DC4F14">
            <w:pPr>
              <w:pStyle w:val="TableFiguresBold0"/>
              <w:rPr>
                <w:rFonts w:eastAsia="Times"/>
              </w:rPr>
            </w:pPr>
            <w:r w:rsidRPr="00017986">
              <w:rPr>
                <w:rFonts w:eastAsia="Times"/>
              </w:rPr>
              <w:t>24</w:t>
            </w:r>
          </w:p>
        </w:tc>
        <w:tc>
          <w:tcPr>
            <w:tcW w:w="1275" w:type="dxa"/>
            <w:vAlign w:val="bottom"/>
          </w:tcPr>
          <w:p w14:paraId="41238461" w14:textId="5408FAD4" w:rsidR="00F83915" w:rsidRPr="00017986" w:rsidRDefault="00017986" w:rsidP="00DC4F14">
            <w:pPr>
              <w:pStyle w:val="TableFigures"/>
              <w:rPr>
                <w:rFonts w:eastAsia="Times"/>
              </w:rPr>
            </w:pPr>
            <w:r w:rsidRPr="00017986">
              <w:rPr>
                <w:rFonts w:eastAsia="Times"/>
              </w:rPr>
              <w:t>4</w:t>
            </w:r>
          </w:p>
        </w:tc>
        <w:tc>
          <w:tcPr>
            <w:tcW w:w="962" w:type="dxa"/>
          </w:tcPr>
          <w:p w14:paraId="0BF94CA8" w14:textId="77777777" w:rsidR="00F83915" w:rsidRPr="00017986" w:rsidRDefault="00F83915" w:rsidP="00F83915">
            <w:pPr>
              <w:pStyle w:val="TableFiguresBold0"/>
              <w:rPr>
                <w:rFonts w:eastAsia="Times" w:cs="Arial"/>
                <w:b w:val="0"/>
                <w:szCs w:val="18"/>
              </w:rPr>
            </w:pPr>
          </w:p>
        </w:tc>
      </w:tr>
      <w:tr w:rsidR="00017986" w:rsidRPr="00017986" w14:paraId="7E4925A5" w14:textId="77777777" w:rsidTr="00F83915">
        <w:tc>
          <w:tcPr>
            <w:tcW w:w="5942" w:type="dxa"/>
            <w:tcBorders>
              <w:bottom w:val="single" w:sz="4" w:space="0" w:color="999999"/>
            </w:tcBorders>
            <w:shd w:val="clear" w:color="auto" w:fill="auto"/>
            <w:vAlign w:val="bottom"/>
          </w:tcPr>
          <w:p w14:paraId="41627D39" w14:textId="77777777" w:rsidR="00F83915" w:rsidRPr="00017986" w:rsidRDefault="00F83915" w:rsidP="00F83915">
            <w:pPr>
              <w:pStyle w:val="Tabletext"/>
              <w:rPr>
                <w:rFonts w:eastAsia="Times" w:cs="Arial"/>
                <w:szCs w:val="18"/>
              </w:rPr>
            </w:pPr>
            <w:r w:rsidRPr="00017986">
              <w:rPr>
                <w:rFonts w:eastAsia="Times" w:cs="Arial"/>
                <w:szCs w:val="18"/>
              </w:rPr>
              <w:t>Properties sold</w:t>
            </w:r>
          </w:p>
        </w:tc>
        <w:tc>
          <w:tcPr>
            <w:tcW w:w="1288" w:type="dxa"/>
            <w:tcBorders>
              <w:bottom w:val="single" w:sz="4" w:space="0" w:color="999999"/>
            </w:tcBorders>
          </w:tcPr>
          <w:p w14:paraId="7A6ACD8B" w14:textId="77777777" w:rsidR="00F83915" w:rsidRPr="00017986" w:rsidRDefault="00F83915" w:rsidP="00F83915">
            <w:pPr>
              <w:pStyle w:val="TableFiguresBold0"/>
              <w:rPr>
                <w:rFonts w:eastAsia="Times"/>
              </w:rPr>
            </w:pPr>
          </w:p>
        </w:tc>
        <w:tc>
          <w:tcPr>
            <w:tcW w:w="1288" w:type="dxa"/>
            <w:tcBorders>
              <w:bottom w:val="single" w:sz="4" w:space="0" w:color="999999"/>
            </w:tcBorders>
            <w:shd w:val="clear" w:color="auto" w:fill="auto"/>
            <w:vAlign w:val="bottom"/>
          </w:tcPr>
          <w:p w14:paraId="6E5C4587" w14:textId="45CB57BE" w:rsidR="00F83915" w:rsidRPr="00017986" w:rsidRDefault="00017986" w:rsidP="00DC4F14">
            <w:pPr>
              <w:pStyle w:val="TableFiguresBold0"/>
              <w:rPr>
                <w:rFonts w:eastAsia="Times"/>
              </w:rPr>
            </w:pPr>
            <w:r w:rsidRPr="00017986">
              <w:rPr>
                <w:rFonts w:eastAsia="Times"/>
              </w:rPr>
              <w:t>10</w:t>
            </w:r>
          </w:p>
        </w:tc>
        <w:tc>
          <w:tcPr>
            <w:tcW w:w="1275" w:type="dxa"/>
            <w:tcBorders>
              <w:bottom w:val="single" w:sz="4" w:space="0" w:color="999999"/>
            </w:tcBorders>
            <w:vAlign w:val="bottom"/>
          </w:tcPr>
          <w:p w14:paraId="5BD5256A" w14:textId="140082E1" w:rsidR="00F83915" w:rsidRPr="00017986" w:rsidRDefault="00017986" w:rsidP="00DC4F14">
            <w:pPr>
              <w:pStyle w:val="TableFigures"/>
              <w:rPr>
                <w:rFonts w:eastAsia="Times"/>
              </w:rPr>
            </w:pPr>
            <w:r w:rsidRPr="00017986">
              <w:rPr>
                <w:rFonts w:eastAsia="Times"/>
              </w:rPr>
              <w:t>15</w:t>
            </w:r>
          </w:p>
        </w:tc>
        <w:tc>
          <w:tcPr>
            <w:tcW w:w="962" w:type="dxa"/>
            <w:tcBorders>
              <w:bottom w:val="single" w:sz="4" w:space="0" w:color="999999"/>
            </w:tcBorders>
          </w:tcPr>
          <w:p w14:paraId="25425F27" w14:textId="77777777" w:rsidR="00F83915" w:rsidRPr="00017986" w:rsidRDefault="00F83915" w:rsidP="00F83915">
            <w:pPr>
              <w:pStyle w:val="TableFiguresBold0"/>
              <w:rPr>
                <w:rFonts w:eastAsia="Times" w:cs="Arial"/>
                <w:b w:val="0"/>
                <w:szCs w:val="18"/>
              </w:rPr>
            </w:pPr>
          </w:p>
        </w:tc>
      </w:tr>
      <w:tr w:rsidR="00017986" w:rsidRPr="00017986" w14:paraId="1517CD26" w14:textId="77777777" w:rsidTr="00F83915">
        <w:tc>
          <w:tcPr>
            <w:tcW w:w="5942" w:type="dxa"/>
            <w:tcBorders>
              <w:top w:val="single" w:sz="4" w:space="0" w:color="999999"/>
            </w:tcBorders>
            <w:shd w:val="clear" w:color="auto" w:fill="auto"/>
            <w:vAlign w:val="bottom"/>
          </w:tcPr>
          <w:p w14:paraId="573619E9" w14:textId="77777777" w:rsidR="00F83915" w:rsidRPr="00017986" w:rsidRDefault="00F83915" w:rsidP="00F83915">
            <w:pPr>
              <w:pStyle w:val="TabletextBold"/>
              <w:rPr>
                <w:rFonts w:eastAsia="Times" w:cs="Arial"/>
                <w:szCs w:val="18"/>
              </w:rPr>
            </w:pPr>
            <w:r w:rsidRPr="00017986">
              <w:rPr>
                <w:rFonts w:eastAsia="Times" w:cs="Arial"/>
                <w:szCs w:val="18"/>
              </w:rPr>
              <w:t>Net rental income before surrenders, dilapidations and exchange</w:t>
            </w:r>
          </w:p>
        </w:tc>
        <w:tc>
          <w:tcPr>
            <w:tcW w:w="1288" w:type="dxa"/>
            <w:tcBorders>
              <w:top w:val="single" w:sz="4" w:space="0" w:color="999999"/>
            </w:tcBorders>
          </w:tcPr>
          <w:p w14:paraId="518CD9EF" w14:textId="77777777" w:rsidR="00F83915" w:rsidRPr="00017986" w:rsidRDefault="00F83915" w:rsidP="00F83915">
            <w:pPr>
              <w:pStyle w:val="TableFiguresBold0"/>
              <w:rPr>
                <w:rFonts w:eastAsia="Times"/>
              </w:rPr>
            </w:pPr>
          </w:p>
        </w:tc>
        <w:tc>
          <w:tcPr>
            <w:tcW w:w="1288" w:type="dxa"/>
            <w:tcBorders>
              <w:top w:val="single" w:sz="4" w:space="0" w:color="999999"/>
            </w:tcBorders>
            <w:shd w:val="clear" w:color="auto" w:fill="auto"/>
            <w:vAlign w:val="bottom"/>
          </w:tcPr>
          <w:p w14:paraId="23917AF2" w14:textId="523ACC4F" w:rsidR="00F83915" w:rsidRPr="00017986" w:rsidRDefault="00017986" w:rsidP="00DC4F14">
            <w:pPr>
              <w:pStyle w:val="TableFiguresBold0"/>
              <w:rPr>
                <w:rFonts w:eastAsia="Times"/>
              </w:rPr>
            </w:pPr>
            <w:r w:rsidRPr="00017986">
              <w:rPr>
                <w:rFonts w:eastAsia="Times"/>
              </w:rPr>
              <w:t>431</w:t>
            </w:r>
          </w:p>
        </w:tc>
        <w:tc>
          <w:tcPr>
            <w:tcW w:w="1275" w:type="dxa"/>
            <w:tcBorders>
              <w:top w:val="single" w:sz="4" w:space="0" w:color="999999"/>
            </w:tcBorders>
            <w:vAlign w:val="bottom"/>
          </w:tcPr>
          <w:p w14:paraId="4AFAD70C" w14:textId="325F0D9D" w:rsidR="00F83915" w:rsidRPr="00017986" w:rsidRDefault="00017986" w:rsidP="00DC4F14">
            <w:pPr>
              <w:pStyle w:val="TableFigures"/>
              <w:rPr>
                <w:rFonts w:eastAsia="Times"/>
              </w:rPr>
            </w:pPr>
            <w:r w:rsidRPr="00017986">
              <w:rPr>
                <w:rFonts w:eastAsia="Times"/>
              </w:rPr>
              <w:t>373</w:t>
            </w:r>
          </w:p>
        </w:tc>
        <w:tc>
          <w:tcPr>
            <w:tcW w:w="962" w:type="dxa"/>
            <w:tcBorders>
              <w:top w:val="single" w:sz="4" w:space="0" w:color="999999"/>
            </w:tcBorders>
          </w:tcPr>
          <w:p w14:paraId="1CD43C3E" w14:textId="77777777" w:rsidR="00F83915" w:rsidRPr="00017986" w:rsidRDefault="00F83915" w:rsidP="00F83915">
            <w:pPr>
              <w:pStyle w:val="TableFiguresBold0"/>
              <w:rPr>
                <w:rFonts w:eastAsia="Times" w:cs="Arial"/>
                <w:b w:val="0"/>
                <w:szCs w:val="18"/>
              </w:rPr>
            </w:pPr>
          </w:p>
        </w:tc>
      </w:tr>
      <w:tr w:rsidR="00017986" w:rsidRPr="00017986" w14:paraId="32AD48BC" w14:textId="77777777" w:rsidTr="00F83915">
        <w:tc>
          <w:tcPr>
            <w:tcW w:w="5942" w:type="dxa"/>
            <w:shd w:val="clear" w:color="auto" w:fill="auto"/>
            <w:vAlign w:val="bottom"/>
          </w:tcPr>
          <w:p w14:paraId="4D25EE3D" w14:textId="77777777" w:rsidR="00F83915" w:rsidRPr="00017986" w:rsidRDefault="00F83915" w:rsidP="00F83915">
            <w:pPr>
              <w:pStyle w:val="Tabletext"/>
              <w:rPr>
                <w:rFonts w:eastAsia="Times" w:cs="Arial"/>
                <w:szCs w:val="18"/>
              </w:rPr>
            </w:pPr>
            <w:r w:rsidRPr="00017986">
              <w:rPr>
                <w:rFonts w:eastAsia="Times" w:cs="Arial"/>
                <w:szCs w:val="18"/>
              </w:rPr>
              <w:t>Lease surrender premiums and dilapidations income</w:t>
            </w:r>
          </w:p>
        </w:tc>
        <w:tc>
          <w:tcPr>
            <w:tcW w:w="1288" w:type="dxa"/>
          </w:tcPr>
          <w:p w14:paraId="43318648" w14:textId="77777777" w:rsidR="00F83915" w:rsidRPr="00017986" w:rsidRDefault="00F83915" w:rsidP="00F83915">
            <w:pPr>
              <w:pStyle w:val="TableFiguresBold0"/>
              <w:rPr>
                <w:rFonts w:eastAsia="Times"/>
              </w:rPr>
            </w:pPr>
          </w:p>
        </w:tc>
        <w:tc>
          <w:tcPr>
            <w:tcW w:w="1288" w:type="dxa"/>
            <w:shd w:val="clear" w:color="auto" w:fill="auto"/>
            <w:vAlign w:val="bottom"/>
          </w:tcPr>
          <w:p w14:paraId="5DF9561D" w14:textId="4AC56DB3" w:rsidR="00F83915" w:rsidRPr="00017986" w:rsidRDefault="00017986" w:rsidP="00DC4F14">
            <w:pPr>
              <w:pStyle w:val="TableFiguresBold0"/>
              <w:rPr>
                <w:rFonts w:eastAsia="Times"/>
              </w:rPr>
            </w:pPr>
            <w:r w:rsidRPr="00017986">
              <w:rPr>
                <w:rFonts w:eastAsia="Times"/>
              </w:rPr>
              <w:t>6</w:t>
            </w:r>
          </w:p>
        </w:tc>
        <w:tc>
          <w:tcPr>
            <w:tcW w:w="1275" w:type="dxa"/>
            <w:vAlign w:val="bottom"/>
          </w:tcPr>
          <w:p w14:paraId="1317C5F4" w14:textId="27DFCD33" w:rsidR="00F83915" w:rsidRPr="00017986" w:rsidRDefault="00017986" w:rsidP="00DC4F14">
            <w:pPr>
              <w:pStyle w:val="TableFigures"/>
              <w:rPr>
                <w:rFonts w:eastAsia="Times"/>
              </w:rPr>
            </w:pPr>
            <w:r w:rsidRPr="00017986">
              <w:rPr>
                <w:rFonts w:eastAsia="Times"/>
              </w:rPr>
              <w:t>4</w:t>
            </w:r>
          </w:p>
        </w:tc>
        <w:tc>
          <w:tcPr>
            <w:tcW w:w="962" w:type="dxa"/>
          </w:tcPr>
          <w:p w14:paraId="0980F114" w14:textId="77777777" w:rsidR="00F83915" w:rsidRPr="00017986" w:rsidRDefault="00F83915" w:rsidP="00F83915">
            <w:pPr>
              <w:pStyle w:val="TableFiguresBold0"/>
              <w:rPr>
                <w:rFonts w:eastAsia="Times" w:cs="Arial"/>
                <w:b w:val="0"/>
                <w:szCs w:val="18"/>
              </w:rPr>
            </w:pPr>
          </w:p>
        </w:tc>
      </w:tr>
      <w:tr w:rsidR="00017986" w:rsidRPr="00017986" w14:paraId="19F8B47D" w14:textId="77777777" w:rsidTr="00F83915">
        <w:tc>
          <w:tcPr>
            <w:tcW w:w="5942" w:type="dxa"/>
            <w:shd w:val="clear" w:color="auto" w:fill="auto"/>
            <w:vAlign w:val="bottom"/>
          </w:tcPr>
          <w:p w14:paraId="3CCC1E2D" w14:textId="77777777" w:rsidR="00F83915" w:rsidRPr="00017986" w:rsidRDefault="00F83915" w:rsidP="00F83915">
            <w:pPr>
              <w:pStyle w:val="Tabletext"/>
              <w:rPr>
                <w:rFonts w:eastAsia="Times" w:cs="Arial"/>
                <w:szCs w:val="18"/>
              </w:rPr>
            </w:pPr>
            <w:r w:rsidRPr="00017986">
              <w:rPr>
                <w:rFonts w:eastAsia="Times" w:cs="Arial"/>
                <w:szCs w:val="18"/>
              </w:rPr>
              <w:t>Other items and rent lost from lease surrenders</w:t>
            </w:r>
          </w:p>
        </w:tc>
        <w:tc>
          <w:tcPr>
            <w:tcW w:w="1288" w:type="dxa"/>
          </w:tcPr>
          <w:p w14:paraId="7DAE81EE" w14:textId="77777777" w:rsidR="00F83915" w:rsidRPr="00017986" w:rsidRDefault="00F83915" w:rsidP="00F83915">
            <w:pPr>
              <w:pStyle w:val="TableFiguresBold0"/>
              <w:rPr>
                <w:rFonts w:eastAsia="Times"/>
              </w:rPr>
            </w:pPr>
          </w:p>
        </w:tc>
        <w:tc>
          <w:tcPr>
            <w:tcW w:w="1288" w:type="dxa"/>
            <w:shd w:val="clear" w:color="auto" w:fill="auto"/>
            <w:vAlign w:val="bottom"/>
          </w:tcPr>
          <w:p w14:paraId="2ABB82A5" w14:textId="22C19B7B" w:rsidR="00F83915" w:rsidRPr="00017986" w:rsidRDefault="00017986" w:rsidP="00DC4F14">
            <w:pPr>
              <w:pStyle w:val="TableFiguresBold0"/>
              <w:rPr>
                <w:rFonts w:eastAsia="Times"/>
              </w:rPr>
            </w:pPr>
            <w:r w:rsidRPr="00017986">
              <w:rPr>
                <w:rFonts w:eastAsia="Times"/>
              </w:rPr>
              <w:t>10</w:t>
            </w:r>
          </w:p>
        </w:tc>
        <w:tc>
          <w:tcPr>
            <w:tcW w:w="1275" w:type="dxa"/>
            <w:vAlign w:val="bottom"/>
          </w:tcPr>
          <w:p w14:paraId="54686C32" w14:textId="775046F9" w:rsidR="00F83915" w:rsidRPr="00017986" w:rsidRDefault="00017986" w:rsidP="00DC4F14">
            <w:pPr>
              <w:pStyle w:val="TableFigures"/>
              <w:rPr>
                <w:rFonts w:eastAsia="Times"/>
              </w:rPr>
            </w:pPr>
            <w:r w:rsidRPr="00017986">
              <w:rPr>
                <w:rFonts w:eastAsia="Times"/>
              </w:rPr>
              <w:t>14</w:t>
            </w:r>
          </w:p>
        </w:tc>
        <w:tc>
          <w:tcPr>
            <w:tcW w:w="962" w:type="dxa"/>
          </w:tcPr>
          <w:p w14:paraId="03A2DCAE" w14:textId="77777777" w:rsidR="00F83915" w:rsidRPr="00017986" w:rsidRDefault="00F83915" w:rsidP="00F83915">
            <w:pPr>
              <w:pStyle w:val="TableFiguresBold0"/>
              <w:rPr>
                <w:rFonts w:eastAsia="Times" w:cs="Arial"/>
                <w:b w:val="0"/>
                <w:szCs w:val="18"/>
              </w:rPr>
            </w:pPr>
          </w:p>
        </w:tc>
      </w:tr>
      <w:tr w:rsidR="00017986" w:rsidRPr="00017986" w14:paraId="5743191A" w14:textId="77777777" w:rsidTr="00F83915">
        <w:tc>
          <w:tcPr>
            <w:tcW w:w="5942" w:type="dxa"/>
            <w:shd w:val="clear" w:color="auto" w:fill="auto"/>
            <w:vAlign w:val="bottom"/>
          </w:tcPr>
          <w:p w14:paraId="7530D881" w14:textId="77777777" w:rsidR="00F83915" w:rsidRPr="00017986" w:rsidRDefault="00F83915" w:rsidP="00F83915">
            <w:pPr>
              <w:pStyle w:val="Tabletext"/>
              <w:rPr>
                <w:rFonts w:eastAsia="Times" w:cs="Arial"/>
                <w:szCs w:val="18"/>
              </w:rPr>
            </w:pPr>
            <w:r w:rsidRPr="00017986">
              <w:rPr>
                <w:rFonts w:eastAsia="Times" w:cs="Arial"/>
                <w:szCs w:val="18"/>
              </w:rPr>
              <w:t>Impact of exchange rate difference between periods</w:t>
            </w:r>
          </w:p>
        </w:tc>
        <w:tc>
          <w:tcPr>
            <w:tcW w:w="1288" w:type="dxa"/>
          </w:tcPr>
          <w:p w14:paraId="6DEEB66F" w14:textId="77777777" w:rsidR="00F83915" w:rsidRPr="00017986" w:rsidRDefault="00F83915" w:rsidP="00F83915">
            <w:pPr>
              <w:pStyle w:val="TableFiguresBold0"/>
              <w:rPr>
                <w:rFonts w:eastAsia="Times"/>
              </w:rPr>
            </w:pPr>
          </w:p>
        </w:tc>
        <w:tc>
          <w:tcPr>
            <w:tcW w:w="1288" w:type="dxa"/>
            <w:shd w:val="clear" w:color="auto" w:fill="auto"/>
            <w:vAlign w:val="bottom"/>
          </w:tcPr>
          <w:p w14:paraId="79D9BDFA" w14:textId="77777777" w:rsidR="00F83915" w:rsidRPr="00017986" w:rsidRDefault="00F83915" w:rsidP="00DC4F14">
            <w:pPr>
              <w:pStyle w:val="TableFiguresBold0"/>
              <w:rPr>
                <w:rFonts w:eastAsia="Times"/>
              </w:rPr>
            </w:pPr>
            <w:r w:rsidRPr="00017986">
              <w:rPr>
                <w:rFonts w:eastAsia="Times"/>
              </w:rPr>
              <w:t>–</w:t>
            </w:r>
          </w:p>
        </w:tc>
        <w:tc>
          <w:tcPr>
            <w:tcW w:w="1275" w:type="dxa"/>
            <w:vAlign w:val="bottom"/>
          </w:tcPr>
          <w:p w14:paraId="67E65FC9" w14:textId="1CAF516D" w:rsidR="00F83915" w:rsidRPr="00017986" w:rsidRDefault="00017986" w:rsidP="002E04BD">
            <w:pPr>
              <w:pStyle w:val="TableFigures"/>
              <w:rPr>
                <w:rFonts w:eastAsia="Times"/>
              </w:rPr>
            </w:pPr>
            <w:r w:rsidRPr="00017986">
              <w:rPr>
                <w:rFonts w:eastAsia="Times"/>
              </w:rPr>
              <w:t>4</w:t>
            </w:r>
          </w:p>
        </w:tc>
        <w:tc>
          <w:tcPr>
            <w:tcW w:w="962" w:type="dxa"/>
          </w:tcPr>
          <w:p w14:paraId="67523188" w14:textId="77777777" w:rsidR="00F83915" w:rsidRPr="00017986" w:rsidRDefault="00F83915" w:rsidP="00F83915">
            <w:pPr>
              <w:pStyle w:val="TableFiguresBold0"/>
              <w:rPr>
                <w:rFonts w:eastAsia="Times" w:cs="Arial"/>
                <w:b w:val="0"/>
                <w:szCs w:val="18"/>
              </w:rPr>
            </w:pPr>
          </w:p>
        </w:tc>
      </w:tr>
      <w:tr w:rsidR="00017986" w:rsidRPr="00017986" w14:paraId="5209E926" w14:textId="77777777" w:rsidTr="00F83915">
        <w:tc>
          <w:tcPr>
            <w:tcW w:w="5942" w:type="dxa"/>
            <w:tcBorders>
              <w:top w:val="single" w:sz="4" w:space="0" w:color="999999"/>
            </w:tcBorders>
            <w:shd w:val="clear" w:color="auto" w:fill="auto"/>
            <w:vAlign w:val="bottom"/>
          </w:tcPr>
          <w:p w14:paraId="4426ED76" w14:textId="77777777" w:rsidR="00F83915" w:rsidRPr="00017986" w:rsidRDefault="00F83915" w:rsidP="00F83915">
            <w:pPr>
              <w:pStyle w:val="TabletextBold"/>
              <w:rPr>
                <w:rFonts w:eastAsia="Times" w:cs="Arial"/>
                <w:szCs w:val="18"/>
              </w:rPr>
            </w:pPr>
            <w:r w:rsidRPr="00017986">
              <w:rPr>
                <w:rFonts w:eastAsia="Times" w:cs="Arial"/>
                <w:szCs w:val="18"/>
              </w:rPr>
              <w:t>Net rental income (including joint ventures at share)</w:t>
            </w:r>
          </w:p>
        </w:tc>
        <w:tc>
          <w:tcPr>
            <w:tcW w:w="1288" w:type="dxa"/>
            <w:tcBorders>
              <w:top w:val="single" w:sz="4" w:space="0" w:color="999999"/>
            </w:tcBorders>
          </w:tcPr>
          <w:p w14:paraId="24709ABD" w14:textId="77777777" w:rsidR="00F83915" w:rsidRPr="00017986" w:rsidRDefault="00F83915" w:rsidP="00F83915">
            <w:pPr>
              <w:pStyle w:val="TableFiguresBold0"/>
              <w:rPr>
                <w:rFonts w:eastAsia="Times"/>
              </w:rPr>
            </w:pPr>
          </w:p>
        </w:tc>
        <w:tc>
          <w:tcPr>
            <w:tcW w:w="1288" w:type="dxa"/>
            <w:tcBorders>
              <w:top w:val="single" w:sz="4" w:space="0" w:color="999999"/>
            </w:tcBorders>
            <w:shd w:val="clear" w:color="auto" w:fill="auto"/>
            <w:vAlign w:val="bottom"/>
          </w:tcPr>
          <w:p w14:paraId="0EED1A75" w14:textId="48250E86" w:rsidR="00F83915" w:rsidRPr="00017986" w:rsidRDefault="00017986" w:rsidP="00DC4F14">
            <w:pPr>
              <w:pStyle w:val="TableFiguresBold0"/>
              <w:rPr>
                <w:rFonts w:eastAsia="Times"/>
              </w:rPr>
            </w:pPr>
            <w:r w:rsidRPr="00017986">
              <w:rPr>
                <w:rFonts w:eastAsia="Times"/>
              </w:rPr>
              <w:t>447</w:t>
            </w:r>
          </w:p>
        </w:tc>
        <w:tc>
          <w:tcPr>
            <w:tcW w:w="1275" w:type="dxa"/>
            <w:tcBorders>
              <w:top w:val="single" w:sz="4" w:space="0" w:color="999999"/>
            </w:tcBorders>
            <w:vAlign w:val="bottom"/>
          </w:tcPr>
          <w:p w14:paraId="6435D1BD" w14:textId="412E3E46" w:rsidR="00F83915" w:rsidRPr="00017986" w:rsidRDefault="00017986" w:rsidP="00F83915">
            <w:pPr>
              <w:pStyle w:val="TableFigures"/>
              <w:rPr>
                <w:rFonts w:eastAsia="Times"/>
              </w:rPr>
            </w:pPr>
            <w:r w:rsidRPr="00017986">
              <w:rPr>
                <w:rFonts w:eastAsia="Times"/>
              </w:rPr>
              <w:t>395</w:t>
            </w:r>
          </w:p>
        </w:tc>
        <w:tc>
          <w:tcPr>
            <w:tcW w:w="962" w:type="dxa"/>
            <w:tcBorders>
              <w:top w:val="single" w:sz="4" w:space="0" w:color="999999"/>
            </w:tcBorders>
          </w:tcPr>
          <w:p w14:paraId="1C2BA948" w14:textId="77777777" w:rsidR="00F83915" w:rsidRPr="00017986" w:rsidRDefault="00F83915" w:rsidP="00F83915">
            <w:pPr>
              <w:pStyle w:val="TableFiguresBold0"/>
              <w:rPr>
                <w:rFonts w:eastAsia="Times" w:cs="Arial"/>
                <w:b w:val="0"/>
                <w:szCs w:val="18"/>
              </w:rPr>
            </w:pPr>
          </w:p>
        </w:tc>
      </w:tr>
      <w:tr w:rsidR="00017986" w:rsidRPr="00017986" w14:paraId="61251780" w14:textId="77777777" w:rsidTr="00F83915">
        <w:tc>
          <w:tcPr>
            <w:tcW w:w="5942" w:type="dxa"/>
            <w:shd w:val="clear" w:color="auto" w:fill="auto"/>
            <w:vAlign w:val="bottom"/>
          </w:tcPr>
          <w:p w14:paraId="61424745" w14:textId="1C9BB210" w:rsidR="00F83915" w:rsidRPr="00017986" w:rsidRDefault="00017986" w:rsidP="00F83915">
            <w:pPr>
              <w:pStyle w:val="Tabletext"/>
              <w:rPr>
                <w:rFonts w:eastAsia="Times"/>
              </w:rPr>
            </w:pPr>
            <w:r w:rsidRPr="00017986">
              <w:rPr>
                <w:rFonts w:eastAsia="Times"/>
              </w:rPr>
              <w:t>SEGRO s</w:t>
            </w:r>
            <w:r w:rsidR="00F83915" w:rsidRPr="00017986">
              <w:rPr>
                <w:rFonts w:eastAsia="Times"/>
              </w:rPr>
              <w:t>hare of joint venture management fees</w:t>
            </w:r>
          </w:p>
        </w:tc>
        <w:tc>
          <w:tcPr>
            <w:tcW w:w="1288" w:type="dxa"/>
          </w:tcPr>
          <w:p w14:paraId="46B5148F" w14:textId="77777777" w:rsidR="00F83915" w:rsidRPr="00017986" w:rsidRDefault="00F83915" w:rsidP="00F83915">
            <w:pPr>
              <w:pStyle w:val="TableFiguresBracketsBold"/>
              <w:rPr>
                <w:rFonts w:eastAsia="Times"/>
              </w:rPr>
            </w:pPr>
          </w:p>
        </w:tc>
        <w:tc>
          <w:tcPr>
            <w:tcW w:w="1288" w:type="dxa"/>
            <w:shd w:val="clear" w:color="auto" w:fill="auto"/>
            <w:vAlign w:val="bottom"/>
          </w:tcPr>
          <w:p w14:paraId="2BE27A68" w14:textId="0E92B222" w:rsidR="00F83915" w:rsidRPr="00017986" w:rsidRDefault="005A167A" w:rsidP="00F83915">
            <w:pPr>
              <w:pStyle w:val="TableFiguresBracketsBold"/>
              <w:rPr>
                <w:rFonts w:eastAsia="Times"/>
              </w:rPr>
            </w:pPr>
            <w:r w:rsidRPr="00017986">
              <w:rPr>
                <w:rFonts w:eastAsia="Times"/>
              </w:rPr>
              <w:t>(</w:t>
            </w:r>
            <w:r w:rsidR="00017986" w:rsidRPr="00017986">
              <w:rPr>
                <w:rFonts w:eastAsia="Times"/>
              </w:rPr>
              <w:t>11</w:t>
            </w:r>
            <w:r w:rsidRPr="00017986">
              <w:rPr>
                <w:rFonts w:eastAsia="Times"/>
              </w:rPr>
              <w:t>)</w:t>
            </w:r>
          </w:p>
        </w:tc>
        <w:tc>
          <w:tcPr>
            <w:tcW w:w="1275" w:type="dxa"/>
            <w:vAlign w:val="bottom"/>
          </w:tcPr>
          <w:p w14:paraId="6FDD21A4" w14:textId="6B367F80" w:rsidR="00F83915" w:rsidRPr="00017986" w:rsidRDefault="00F83915" w:rsidP="00F83915">
            <w:pPr>
              <w:pStyle w:val="TableFiguresBrackets"/>
              <w:rPr>
                <w:rFonts w:eastAsia="Times"/>
              </w:rPr>
            </w:pPr>
            <w:r w:rsidRPr="00017986">
              <w:rPr>
                <w:rFonts w:eastAsia="Times"/>
              </w:rPr>
              <w:t>(</w:t>
            </w:r>
            <w:r w:rsidR="00017986" w:rsidRPr="00017986">
              <w:rPr>
                <w:rFonts w:eastAsia="Times"/>
              </w:rPr>
              <w:t>10</w:t>
            </w:r>
            <w:r w:rsidRPr="00017986">
              <w:rPr>
                <w:rFonts w:eastAsia="Times"/>
              </w:rPr>
              <w:t>)</w:t>
            </w:r>
          </w:p>
        </w:tc>
        <w:tc>
          <w:tcPr>
            <w:tcW w:w="962" w:type="dxa"/>
          </w:tcPr>
          <w:p w14:paraId="59CE79D7" w14:textId="77777777" w:rsidR="00F83915" w:rsidRPr="00017986" w:rsidRDefault="00F83915" w:rsidP="00F83915">
            <w:pPr>
              <w:pStyle w:val="TableFiguresBold0"/>
              <w:rPr>
                <w:rFonts w:eastAsia="Times" w:cs="Arial"/>
                <w:b w:val="0"/>
                <w:szCs w:val="18"/>
              </w:rPr>
            </w:pPr>
          </w:p>
        </w:tc>
      </w:tr>
      <w:tr w:rsidR="00017986" w:rsidRPr="00017986" w14:paraId="72996F6A" w14:textId="77777777" w:rsidTr="00F83915">
        <w:tc>
          <w:tcPr>
            <w:tcW w:w="5942" w:type="dxa"/>
            <w:shd w:val="clear" w:color="auto" w:fill="auto"/>
            <w:vAlign w:val="bottom"/>
          </w:tcPr>
          <w:p w14:paraId="70CBC90D" w14:textId="57C2D8B1" w:rsidR="00017986" w:rsidRPr="00017986" w:rsidRDefault="00017986" w:rsidP="00F83915">
            <w:pPr>
              <w:pStyle w:val="Tabletext"/>
              <w:rPr>
                <w:rFonts w:eastAsia="Times"/>
              </w:rPr>
            </w:pPr>
            <w:r w:rsidRPr="00017986">
              <w:rPr>
                <w:rFonts w:eastAsia="Times"/>
              </w:rPr>
              <w:t>SEGRO share of joint venture performance fees</w:t>
            </w:r>
          </w:p>
        </w:tc>
        <w:tc>
          <w:tcPr>
            <w:tcW w:w="1288" w:type="dxa"/>
          </w:tcPr>
          <w:p w14:paraId="54ECF381" w14:textId="77777777" w:rsidR="00017986" w:rsidRPr="00017986" w:rsidRDefault="00017986" w:rsidP="00F83915">
            <w:pPr>
              <w:pStyle w:val="TableFiguresBracketsBold"/>
              <w:rPr>
                <w:rFonts w:eastAsia="Times"/>
              </w:rPr>
            </w:pPr>
          </w:p>
        </w:tc>
        <w:tc>
          <w:tcPr>
            <w:tcW w:w="1288" w:type="dxa"/>
            <w:shd w:val="clear" w:color="auto" w:fill="auto"/>
            <w:vAlign w:val="bottom"/>
          </w:tcPr>
          <w:p w14:paraId="21467867" w14:textId="0C2CE22B" w:rsidR="00017986" w:rsidRPr="00017986" w:rsidRDefault="00017986" w:rsidP="00F83915">
            <w:pPr>
              <w:pStyle w:val="TableFiguresBracketsBold"/>
              <w:rPr>
                <w:rFonts w:eastAsia="Times"/>
              </w:rPr>
            </w:pPr>
            <w:r w:rsidRPr="00017986">
              <w:rPr>
                <w:rFonts w:eastAsia="Times"/>
              </w:rPr>
              <w:t>(13)</w:t>
            </w:r>
          </w:p>
        </w:tc>
        <w:tc>
          <w:tcPr>
            <w:tcW w:w="1275" w:type="dxa"/>
            <w:vAlign w:val="bottom"/>
          </w:tcPr>
          <w:p w14:paraId="2785C769" w14:textId="30ED4DC9" w:rsidR="00017986" w:rsidRPr="00017986" w:rsidRDefault="00017986" w:rsidP="002E04BD">
            <w:pPr>
              <w:pStyle w:val="TableFigures"/>
              <w:rPr>
                <w:rFonts w:eastAsia="Times"/>
              </w:rPr>
            </w:pPr>
            <w:r w:rsidRPr="00017986">
              <w:rPr>
                <w:rFonts w:eastAsia="Times"/>
              </w:rPr>
              <w:t>–</w:t>
            </w:r>
          </w:p>
        </w:tc>
        <w:tc>
          <w:tcPr>
            <w:tcW w:w="962" w:type="dxa"/>
          </w:tcPr>
          <w:p w14:paraId="523FBF44" w14:textId="77777777" w:rsidR="00017986" w:rsidRPr="00017986" w:rsidRDefault="00017986" w:rsidP="00F83915">
            <w:pPr>
              <w:pStyle w:val="TableFiguresBold0"/>
              <w:rPr>
                <w:rFonts w:eastAsia="Times" w:cs="Arial"/>
                <w:b w:val="0"/>
                <w:szCs w:val="18"/>
              </w:rPr>
            </w:pPr>
          </w:p>
        </w:tc>
      </w:tr>
      <w:tr w:rsidR="00017986" w:rsidRPr="00017986" w14:paraId="5C3E1E2F" w14:textId="77777777" w:rsidTr="00F83915">
        <w:tc>
          <w:tcPr>
            <w:tcW w:w="5942" w:type="dxa"/>
            <w:tcBorders>
              <w:top w:val="single" w:sz="4" w:space="0" w:color="999999"/>
              <w:bottom w:val="single" w:sz="8" w:space="0" w:color="999999"/>
            </w:tcBorders>
            <w:shd w:val="clear" w:color="auto" w:fill="auto"/>
            <w:vAlign w:val="bottom"/>
          </w:tcPr>
          <w:p w14:paraId="46A6B543" w14:textId="77777777" w:rsidR="00F83915" w:rsidRPr="00017986" w:rsidRDefault="00F83915" w:rsidP="00F83915">
            <w:pPr>
              <w:pStyle w:val="TabletextBold"/>
              <w:rPr>
                <w:rFonts w:eastAsia="Times" w:cs="Arial"/>
                <w:szCs w:val="18"/>
              </w:rPr>
            </w:pPr>
            <w:r w:rsidRPr="00017986">
              <w:rPr>
                <w:rFonts w:eastAsia="Times" w:cs="Arial"/>
                <w:szCs w:val="18"/>
              </w:rPr>
              <w:t>Net rental income after SEGRO share of joint venture fees</w:t>
            </w:r>
            <w:r w:rsidRPr="00017986" w:rsidDel="00D60E59">
              <w:rPr>
                <w:rFonts w:eastAsia="Times" w:cs="Arial"/>
                <w:szCs w:val="18"/>
              </w:rPr>
              <w:t xml:space="preserve"> </w:t>
            </w:r>
          </w:p>
        </w:tc>
        <w:tc>
          <w:tcPr>
            <w:tcW w:w="1288" w:type="dxa"/>
            <w:tcBorders>
              <w:top w:val="single" w:sz="4" w:space="0" w:color="999999"/>
              <w:bottom w:val="single" w:sz="8" w:space="0" w:color="999999"/>
            </w:tcBorders>
          </w:tcPr>
          <w:p w14:paraId="0484B405" w14:textId="77777777" w:rsidR="00F83915" w:rsidRPr="00017986" w:rsidRDefault="00F83915" w:rsidP="00F83915">
            <w:pPr>
              <w:pStyle w:val="TableFiguresBold0"/>
              <w:rPr>
                <w:rFonts w:eastAsia="Times"/>
              </w:rPr>
            </w:pPr>
          </w:p>
        </w:tc>
        <w:tc>
          <w:tcPr>
            <w:tcW w:w="1288" w:type="dxa"/>
            <w:tcBorders>
              <w:top w:val="single" w:sz="4" w:space="0" w:color="999999"/>
              <w:bottom w:val="single" w:sz="8" w:space="0" w:color="999999"/>
            </w:tcBorders>
            <w:shd w:val="clear" w:color="auto" w:fill="auto"/>
            <w:vAlign w:val="bottom"/>
          </w:tcPr>
          <w:p w14:paraId="71FACDC6" w14:textId="612CC56E" w:rsidR="00F83915" w:rsidRPr="00017986" w:rsidRDefault="00017986" w:rsidP="00F83915">
            <w:pPr>
              <w:pStyle w:val="TableFiguresBold0"/>
              <w:rPr>
                <w:rFonts w:eastAsia="Times"/>
              </w:rPr>
            </w:pPr>
            <w:r w:rsidRPr="00017986">
              <w:rPr>
                <w:rFonts w:eastAsia="Times"/>
              </w:rPr>
              <w:t>423</w:t>
            </w:r>
          </w:p>
        </w:tc>
        <w:tc>
          <w:tcPr>
            <w:tcW w:w="1275" w:type="dxa"/>
            <w:tcBorders>
              <w:top w:val="single" w:sz="4" w:space="0" w:color="999999"/>
              <w:bottom w:val="single" w:sz="8" w:space="0" w:color="999999"/>
            </w:tcBorders>
            <w:vAlign w:val="bottom"/>
          </w:tcPr>
          <w:p w14:paraId="3C1DC179" w14:textId="7E4D7B85" w:rsidR="00F83915" w:rsidRPr="00017986" w:rsidRDefault="00017986" w:rsidP="00F83915">
            <w:pPr>
              <w:pStyle w:val="TableFigures"/>
              <w:rPr>
                <w:rFonts w:eastAsia="Times"/>
              </w:rPr>
            </w:pPr>
            <w:r w:rsidRPr="00017986">
              <w:rPr>
                <w:rFonts w:eastAsia="Times"/>
              </w:rPr>
              <w:t>385</w:t>
            </w:r>
          </w:p>
        </w:tc>
        <w:tc>
          <w:tcPr>
            <w:tcW w:w="962" w:type="dxa"/>
            <w:tcBorders>
              <w:top w:val="single" w:sz="4" w:space="0" w:color="999999"/>
              <w:bottom w:val="single" w:sz="8" w:space="0" w:color="999999"/>
            </w:tcBorders>
          </w:tcPr>
          <w:p w14:paraId="67C06DB8" w14:textId="77777777" w:rsidR="00F83915" w:rsidRPr="00017986" w:rsidRDefault="00F83915" w:rsidP="00F83915">
            <w:pPr>
              <w:pStyle w:val="TableFiguresBold0"/>
              <w:rPr>
                <w:rFonts w:eastAsia="Times" w:cs="Arial"/>
                <w:b w:val="0"/>
                <w:szCs w:val="18"/>
              </w:rPr>
            </w:pPr>
          </w:p>
        </w:tc>
      </w:tr>
    </w:tbl>
    <w:p w14:paraId="5618D1F5" w14:textId="77777777" w:rsidR="005E793C" w:rsidRPr="00097A4B" w:rsidRDefault="005E793C" w:rsidP="005E793C">
      <w:pPr>
        <w:pStyle w:val="StyleFootnotesSpaceBefore7ptBefore0ptAfter0ptCo"/>
        <w:rPr>
          <w:color w:val="FF0000"/>
          <w:highlight w:val="yellow"/>
        </w:rPr>
      </w:pPr>
    </w:p>
    <w:p w14:paraId="5D44D00F" w14:textId="77777777" w:rsidR="00017986" w:rsidRDefault="00AE7399" w:rsidP="00017986">
      <w:pPr>
        <w:pStyle w:val="FootnotesNoSpace"/>
      </w:pPr>
      <w:r w:rsidRPr="00017986">
        <w:t xml:space="preserve">1 </w:t>
      </w:r>
      <w:r w:rsidR="00017986" w:rsidRPr="00017986">
        <w:t xml:space="preserve">Like-for like change by Business Unit: Greater London 8.5%, Thames Valley 2.7%, National Logistics 0.4%, Northern Europe 9.1%, Southern Europe 1.2%, Central Europe 0.7%. </w:t>
      </w:r>
    </w:p>
    <w:p w14:paraId="69878386" w14:textId="77777777" w:rsidR="00017986" w:rsidRDefault="00017986" w:rsidP="00017986">
      <w:pPr>
        <w:pStyle w:val="FootnotesNoSpace"/>
      </w:pPr>
      <w:r w:rsidRPr="00017986">
        <w:t xml:space="preserve">2 Other includes the corporate centre and other costs relating to the operational business which are not specifically allocated to a geographical Business Unit. </w:t>
      </w:r>
    </w:p>
    <w:p w14:paraId="55ABEF57" w14:textId="2B3AA59F" w:rsidR="00097A4B" w:rsidRDefault="00017986" w:rsidP="002E04BD">
      <w:pPr>
        <w:pStyle w:val="FootnotesNoSpace"/>
      </w:pPr>
      <w:r w:rsidRPr="00017986">
        <w:t>3 Percentage change has been calculated using the figures presented in the table above in millions accurate to one decimal place</w:t>
      </w:r>
      <w:r w:rsidR="00960216">
        <w:t>.</w:t>
      </w:r>
      <w:r w:rsidR="00890632">
        <w:t xml:space="preserve"> </w:t>
      </w:r>
      <w:r w:rsidR="00097A4B">
        <w:t xml:space="preserve">  </w:t>
      </w:r>
    </w:p>
    <w:p w14:paraId="3566E430" w14:textId="28A364AD" w:rsidR="008D0470" w:rsidRDefault="008D0470" w:rsidP="002E04BD">
      <w:pPr>
        <w:pStyle w:val="Heading3"/>
      </w:pPr>
      <w:r>
        <w:t>Income from joint ventures</w:t>
      </w:r>
    </w:p>
    <w:p w14:paraId="4C5E28A9" w14:textId="1E614444" w:rsidR="00A47D38" w:rsidRDefault="00A47D38" w:rsidP="005E793C">
      <w:pPr>
        <w:pStyle w:val="Normal1"/>
      </w:pPr>
      <w:r>
        <w:t>Joint venture fee income increased by £30 million to £52 million in 2021. This increase is primarily due to the recognition of a performance fee</w:t>
      </w:r>
      <w:r w:rsidR="00F86DCE">
        <w:t xml:space="preserve"> of £26 million</w:t>
      </w:r>
      <w:r>
        <w:t xml:space="preserve"> in respect of the SELP joint venture (as detailed further in Note </w:t>
      </w:r>
      <w:r w:rsidR="00332F56">
        <w:t>6</w:t>
      </w:r>
      <w:r>
        <w:t>).</w:t>
      </w:r>
    </w:p>
    <w:p w14:paraId="33FF8310" w14:textId="3EB40621" w:rsidR="00097A4B" w:rsidRDefault="00097A4B" w:rsidP="005E793C">
      <w:pPr>
        <w:pStyle w:val="Normal1"/>
        <w:rPr>
          <w:color w:val="FF0000"/>
        </w:rPr>
      </w:pPr>
      <w:r>
        <w:t xml:space="preserve">SEGRO’s share of joint ventures’ Adjusted profit after tax decreased by £5 million from £61 million in 2020 to £56 million in 2021. This includes a performance fee expense (at share) of £13 million. </w:t>
      </w:r>
      <w:r w:rsidR="00E632E7">
        <w:t>Excluding</w:t>
      </w:r>
      <w:r>
        <w:t xml:space="preserve"> performance fee expense, the Adjusted joint venture profit after tax increased by £8 million compared to 2020 as net rental income in the SELP joint venture has continued to grow</w:t>
      </w:r>
      <w:r w:rsidR="00E632E7">
        <w:t>.</w:t>
      </w:r>
    </w:p>
    <w:p w14:paraId="5B355164" w14:textId="77777777" w:rsidR="005E793C" w:rsidRPr="00097A4B" w:rsidRDefault="005E793C" w:rsidP="005E793C">
      <w:pPr>
        <w:pStyle w:val="Heading3"/>
      </w:pPr>
      <w:r w:rsidRPr="00097A4B">
        <w:t>Administrative and operating costs</w:t>
      </w:r>
    </w:p>
    <w:p w14:paraId="33BD8B84" w14:textId="690949C7" w:rsidR="00097A4B" w:rsidRDefault="00097A4B" w:rsidP="005E793C">
      <w:pPr>
        <w:pStyle w:val="Normal1"/>
      </w:pPr>
      <w:r>
        <w:t xml:space="preserve">The Group is focused on managing its cost base and uses a Total Cost Ratio (TCR) as a measure of cost management. The TCR for 2021 has improved to 20.2 per cent compared to 21.1 per cent in 2020. The calculation is set out in Table 8 of the Supplementary Notes to the </w:t>
      </w:r>
      <w:r w:rsidR="00A47D38">
        <w:t>condensed f</w:t>
      </w:r>
      <w:r>
        <w:t xml:space="preserve">inancial </w:t>
      </w:r>
      <w:r w:rsidR="00A47D38">
        <w:t>s</w:t>
      </w:r>
      <w:r>
        <w:t xml:space="preserve">tatements. </w:t>
      </w:r>
    </w:p>
    <w:p w14:paraId="0D59DD1C" w14:textId="77777777" w:rsidR="00097A4B" w:rsidRDefault="00097A4B" w:rsidP="005E793C">
      <w:pPr>
        <w:pStyle w:val="Normal1"/>
      </w:pPr>
      <w:r>
        <w:t xml:space="preserve">Excluding share-based payments, the cost ratio would be 17.6 per cent, an improvement from 18.8 per cent in 2020. </w:t>
      </w:r>
    </w:p>
    <w:p w14:paraId="287D0DCC" w14:textId="1484A213" w:rsidR="00097A4B" w:rsidRDefault="00097A4B" w:rsidP="005E793C">
      <w:pPr>
        <w:pStyle w:val="Normal1"/>
      </w:pPr>
      <w:r>
        <w:lastRenderedPageBreak/>
        <w:t xml:space="preserve">The cost ratio calculation is detailed </w:t>
      </w:r>
      <w:r w:rsidRPr="008239CB">
        <w:t xml:space="preserve">in </w:t>
      </w:r>
      <w:r w:rsidRPr="002E04BD">
        <w:t>Table 8</w:t>
      </w:r>
      <w:r w:rsidRPr="008239CB">
        <w:t xml:space="preserve"> in</w:t>
      </w:r>
      <w:r>
        <w:t xml:space="preserve"> the Supplementary Notes, which shows that the reduction in the ratio has been primarily caused by the increase in gross rental income used in the TCR, by £</w:t>
      </w:r>
      <w:r w:rsidR="00A47D38">
        <w:t>56</w:t>
      </w:r>
      <w:r>
        <w:t xml:space="preserve"> million to £50</w:t>
      </w:r>
      <w:r w:rsidR="00A47D38">
        <w:t>4</w:t>
      </w:r>
      <w:r>
        <w:t xml:space="preserve"> million reflecting the growth through development and like-for-like income discussed in the Net Rental Income section above. Total costs in respect of the TCR</w:t>
      </w:r>
      <w:r w:rsidR="005B1E5B">
        <w:t xml:space="preserve"> of £10</w:t>
      </w:r>
      <w:r w:rsidR="00A47D38">
        <w:t>3</w:t>
      </w:r>
      <w:r w:rsidR="005B1E5B">
        <w:t xml:space="preserve"> million</w:t>
      </w:r>
      <w:r>
        <w:t xml:space="preserve"> increased by £</w:t>
      </w:r>
      <w:r w:rsidR="00A47D38">
        <w:t>8</w:t>
      </w:r>
      <w:r>
        <w:t xml:space="preserve"> million compared to</w:t>
      </w:r>
      <w:r w:rsidR="005B1E5B">
        <w:t xml:space="preserve"> </w:t>
      </w:r>
      <w:r>
        <w:t>2020. Administration expenses have increased by £7 million, as a result of increased staff costs following headcount increases and increased depreciation and IT costs reflecting our continued investment in technology. Property operating expenses in the wholly</w:t>
      </w:r>
      <w:r w:rsidR="00DB275B">
        <w:t>-</w:t>
      </w:r>
      <w:r>
        <w:t xml:space="preserve">owned portfolio have increased in 2021 from £88 million to £100 million, as the portfolio has grown in size. </w:t>
      </w:r>
    </w:p>
    <w:p w14:paraId="6F620457" w14:textId="4B842B47" w:rsidR="00097A4B" w:rsidRPr="00097A4B" w:rsidRDefault="00097A4B" w:rsidP="005E793C">
      <w:pPr>
        <w:pStyle w:val="Normal1"/>
      </w:pPr>
      <w:r>
        <w:t xml:space="preserve">Total costs (see </w:t>
      </w:r>
      <w:r w:rsidRPr="002E04BD">
        <w:t>Note 5</w:t>
      </w:r>
      <w:r>
        <w:t>) have increased by £36 million to £140 million. This balance includes trading property cost of sales which have increased by £24 million which do not form part of the TCR calculation.</w:t>
      </w:r>
    </w:p>
    <w:p w14:paraId="50F40D8F" w14:textId="77777777" w:rsidR="005E793C" w:rsidRPr="00097A4B" w:rsidRDefault="005E793C" w:rsidP="005E793C">
      <w:pPr>
        <w:pStyle w:val="Heading3"/>
      </w:pPr>
      <w:r w:rsidRPr="00097A4B">
        <w:t>Net finance costs</w:t>
      </w:r>
    </w:p>
    <w:p w14:paraId="5A3A673A" w14:textId="3F4A5D50" w:rsidR="00097A4B" w:rsidRDefault="00097A4B" w:rsidP="005E793C">
      <w:pPr>
        <w:pStyle w:val="Normal1"/>
        <w:rPr>
          <w:color w:val="FF0000"/>
        </w:rPr>
      </w:pPr>
      <w:r>
        <w:t xml:space="preserve">Net finance costs (including adjustments) remained flat at £40 million compared to 2020. Average interest rates during the year are slightly lower offsetting the impact of higher gross debt during </w:t>
      </w:r>
      <w:r w:rsidR="00332F56">
        <w:t xml:space="preserve">2021 </w:t>
      </w:r>
      <w:r>
        <w:t>compared to the prior year.</w:t>
      </w:r>
    </w:p>
    <w:p w14:paraId="7F122EFD" w14:textId="77777777" w:rsidR="005E793C" w:rsidRPr="00097A4B" w:rsidRDefault="005E793C" w:rsidP="005E793C">
      <w:pPr>
        <w:pStyle w:val="Heading3"/>
      </w:pPr>
      <w:r w:rsidRPr="00097A4B">
        <w:t>Taxation</w:t>
      </w:r>
    </w:p>
    <w:p w14:paraId="4B2A86CC" w14:textId="117E1AF7" w:rsidR="00097A4B" w:rsidRDefault="00097A4B" w:rsidP="005E793C">
      <w:pPr>
        <w:pStyle w:val="Normal1"/>
      </w:pPr>
      <w:r>
        <w:t>The tax charge on Adjusted profit of £8 million (2020: £4 million) reflects an effective tax rate of 2.2 per cent (2020: 1.3 per cent)</w:t>
      </w:r>
      <w:r w:rsidR="00A06708">
        <w:t xml:space="preserve">. </w:t>
      </w:r>
      <w:r>
        <w:t xml:space="preserve"> </w:t>
      </w:r>
    </w:p>
    <w:p w14:paraId="0BB95BA3" w14:textId="2DDD1F3E" w:rsidR="00097A4B" w:rsidRDefault="00097A4B" w:rsidP="005E793C">
      <w:pPr>
        <w:pStyle w:val="Normal1"/>
        <w:rPr>
          <w:color w:val="FF0000"/>
        </w:rPr>
      </w:pPr>
      <w:r>
        <w:t xml:space="preserve">The Group’s </w:t>
      </w:r>
      <w:r w:rsidR="00A06708">
        <w:t>effective</w:t>
      </w:r>
      <w:r>
        <w:t xml:space="preserve"> tax rate reflects the fact that over three-quarters of its assets are located in the UK and France and qualify for REIT and SIIC status respectively in those countries. This status means that income from rental profits and gains on disposals of assets in the UK and France are exempt from corporation tax, provided SEGRO meets a number of conditions including, but not limited to, distributing 90 per cent of UK taxable profits.</w:t>
      </w:r>
    </w:p>
    <w:p w14:paraId="436D114D" w14:textId="77777777" w:rsidR="005E793C" w:rsidRPr="00097A4B" w:rsidRDefault="005E793C" w:rsidP="005E793C">
      <w:pPr>
        <w:pStyle w:val="Heading3"/>
      </w:pPr>
      <w:r w:rsidRPr="00097A4B">
        <w:t>Adjusted earnings per share</w:t>
      </w:r>
    </w:p>
    <w:p w14:paraId="248A6793" w14:textId="77777777" w:rsidR="00097A4B" w:rsidRDefault="00097A4B" w:rsidP="005E793C">
      <w:pPr>
        <w:pStyle w:val="Normal1"/>
      </w:pPr>
      <w:r>
        <w:t xml:space="preserve">Adjusted earnings per share are 29.1 pence compared to 25.4 pence in 2020 due to the increase in Adjusted profit slightly offset by the 47.9 million increase in the average number of shares in issue compared to the prior year. </w:t>
      </w:r>
    </w:p>
    <w:p w14:paraId="4EC89558" w14:textId="58F75BD2" w:rsidR="00097A4B" w:rsidRDefault="00097A4B" w:rsidP="005E793C">
      <w:pPr>
        <w:pStyle w:val="Normal1"/>
        <w:rPr>
          <w:color w:val="FF0000"/>
        </w:rPr>
      </w:pPr>
      <w:r>
        <w:t>Excluding the impact of the performance fee recognised in the period the Adjusted earnings per share would be 28.0 pence, a 10 per cent increase compared to 2020.</w:t>
      </w:r>
    </w:p>
    <w:p w14:paraId="1FEE9292" w14:textId="77777777" w:rsidR="005E793C" w:rsidRPr="00097A4B" w:rsidRDefault="005E793C" w:rsidP="005E793C">
      <w:pPr>
        <w:pStyle w:val="Heading1"/>
      </w:pPr>
      <w:r w:rsidRPr="00097A4B">
        <w:t>IFRS PROFIT</w:t>
      </w:r>
    </w:p>
    <w:p w14:paraId="74B7F2BE" w14:textId="77777777" w:rsidR="00426F61" w:rsidRDefault="00426F61" w:rsidP="005E793C">
      <w:pPr>
        <w:pStyle w:val="Normal1"/>
      </w:pPr>
      <w:r>
        <w:t xml:space="preserve">IFRS profit before tax in 2021 was £4,355 million (2020: £1,464 million), equating to basic post-tax IFRS earnings per share of 339.0 pence compared with 124.1 pence for 2020, reflecting significant property valuation gains in the year. </w:t>
      </w:r>
    </w:p>
    <w:p w14:paraId="09D931B1" w14:textId="77777777" w:rsidR="00A06708" w:rsidRDefault="00426F61" w:rsidP="005E793C">
      <w:pPr>
        <w:pStyle w:val="Normal1"/>
      </w:pPr>
      <w:r>
        <w:t xml:space="preserve">A reconciliation between Adjusted profit before tax and IFRS profit before tax is provided in </w:t>
      </w:r>
      <w:r w:rsidRPr="002E04BD">
        <w:t>Note 2</w:t>
      </w:r>
      <w:r>
        <w:t xml:space="preserve"> to the </w:t>
      </w:r>
      <w:r w:rsidR="00A47D38">
        <w:t>condensed f</w:t>
      </w:r>
      <w:r>
        <w:t xml:space="preserve">inancial </w:t>
      </w:r>
      <w:r w:rsidR="00A47D38">
        <w:t>s</w:t>
      </w:r>
      <w:r>
        <w:t xml:space="preserve">tatements. </w:t>
      </w:r>
    </w:p>
    <w:p w14:paraId="584296DE" w14:textId="1CDC0508" w:rsidR="00426F61" w:rsidRDefault="00426F61" w:rsidP="005E793C">
      <w:pPr>
        <w:pStyle w:val="Normal1"/>
      </w:pPr>
      <w:r>
        <w:t>Realised and unrealised gains on wholly-owned investment properties of £3,670 million in 2021 (2020: £976 million) and realised and unrealised gains on trading and other property interests of £6 million (2020: £14 million) have been recognised in the Income Statement as the value of our portfolio increased during the year. These primarily relate to an unrealised valuation surplus on investment properties of £3,617 million (2020:</w:t>
      </w:r>
      <w:r w:rsidR="00E632E7">
        <w:t xml:space="preserve"> </w:t>
      </w:r>
      <w:r>
        <w:t>£971 million) following a 30.6 per cent growth in valuation of the wholly</w:t>
      </w:r>
      <w:r w:rsidR="00DB275B">
        <w:t>-</w:t>
      </w:r>
      <w:r>
        <w:t>owned property portfolio</w:t>
      </w:r>
      <w:r w:rsidR="00E632E7">
        <w:t xml:space="preserve"> (28.8 per cent change including joint ventures at share)</w:t>
      </w:r>
      <w:r>
        <w:t xml:space="preserve"> in the year</w:t>
      </w:r>
      <w:r w:rsidR="00A06708">
        <w:t xml:space="preserve">, as discussed further in the Portfolio Update above. </w:t>
      </w:r>
      <w:r w:rsidR="00A47D38">
        <w:t xml:space="preserve"> </w:t>
      </w:r>
      <w:r>
        <w:t xml:space="preserve"> </w:t>
      </w:r>
    </w:p>
    <w:p w14:paraId="33544DD5" w14:textId="632FBAAF" w:rsidR="00426F61" w:rsidRDefault="00426F61" w:rsidP="005E793C">
      <w:pPr>
        <w:pStyle w:val="Normal1"/>
      </w:pPr>
      <w:r>
        <w:t xml:space="preserve">SEGRO’s share of realised and unrealised gains on properties held in joint ventures was £497 million (2020: £216 million) largely in respect of a 19.9 per cent valuation uplift in the SELP portfolio during the year. Further analysis of the gains are detailed in Note </w:t>
      </w:r>
      <w:r w:rsidR="00A47D38">
        <w:t>6</w:t>
      </w:r>
      <w:r>
        <w:t xml:space="preserve">. IFRS earnings were also impacted by a net fair value loss on interest rate swaps and other derivatives of £82 million (2020: gain of £14 million) primarily as a result of adverse movements on interest rate expectations. There was no cost of closing out debt during the year (2020: £11 million). </w:t>
      </w:r>
    </w:p>
    <w:p w14:paraId="1C895D97" w14:textId="17434484" w:rsidR="00426F61" w:rsidRDefault="00426F61" w:rsidP="005E793C">
      <w:pPr>
        <w:pStyle w:val="Normal1"/>
      </w:pPr>
      <w:r>
        <w:lastRenderedPageBreak/>
        <w:t xml:space="preserve">In addition, SEGRO recognised a tax charge in respect of adjustments of £280 million (2020: £31 million) of which £145 million (2020: £nil) relates to withholding tax in France as detailed further in Note </w:t>
      </w:r>
      <w:r w:rsidR="00A47D38">
        <w:t>9</w:t>
      </w:r>
      <w:r>
        <w:t>, £38 million (2020: £nil) relate</w:t>
      </w:r>
      <w:r w:rsidR="00BF526A">
        <w:t>s</w:t>
      </w:r>
      <w:r>
        <w:t xml:space="preserve"> to the SIIC entry charge for Sofibus Patrimoine S.A. (</w:t>
      </w:r>
      <w:r w:rsidR="00DB275B">
        <w:t>‘</w:t>
      </w:r>
      <w:r>
        <w:t>Sofibus</w:t>
      </w:r>
      <w:r w:rsidR="00DB275B">
        <w:t>’</w:t>
      </w:r>
      <w:r>
        <w:t xml:space="preserve">) and detailed further in Note </w:t>
      </w:r>
      <w:r w:rsidR="00A47D38">
        <w:t>9</w:t>
      </w:r>
      <w:r>
        <w:t xml:space="preserve"> and £97 million (2020: £3</w:t>
      </w:r>
      <w:r w:rsidR="00A06708">
        <w:t>1</w:t>
      </w:r>
      <w:r>
        <w:t xml:space="preserve"> million) arises primarily in relation to property valuation movements. </w:t>
      </w:r>
    </w:p>
    <w:p w14:paraId="2BF34A67" w14:textId="77777777" w:rsidR="005E793C" w:rsidRPr="00426F61" w:rsidRDefault="005E793C" w:rsidP="005E793C">
      <w:pPr>
        <w:pStyle w:val="Heading1"/>
      </w:pPr>
      <w:r w:rsidRPr="00426F61">
        <w:t>BALANCE SHEET</w:t>
      </w:r>
    </w:p>
    <w:p w14:paraId="2F7A1767" w14:textId="3AB85FA3" w:rsidR="005E793C" w:rsidRPr="002E04BD" w:rsidRDefault="00F83915" w:rsidP="005E793C">
      <w:pPr>
        <w:spacing w:line="240" w:lineRule="auto"/>
        <w:rPr>
          <w:u w:val="single"/>
        </w:rPr>
      </w:pPr>
      <w:r w:rsidRPr="002E04BD">
        <w:rPr>
          <w:u w:val="single"/>
        </w:rPr>
        <w:t>Adjusted</w:t>
      </w:r>
      <w:r w:rsidR="005E793C" w:rsidRPr="002E04BD">
        <w:rPr>
          <w:u w:val="single"/>
        </w:rPr>
        <w:t xml:space="preserve"> net asset value</w:t>
      </w:r>
    </w:p>
    <w:tbl>
      <w:tblPr>
        <w:tblStyle w:val="TableGrid"/>
        <w:tblW w:w="5000" w:type="pct"/>
        <w:tblLook w:val="0000" w:firstRow="0" w:lastRow="0" w:firstColumn="0" w:lastColumn="0" w:noHBand="0" w:noVBand="0"/>
      </w:tblPr>
      <w:tblGrid>
        <w:gridCol w:w="7002"/>
        <w:gridCol w:w="1191"/>
        <w:gridCol w:w="1246"/>
        <w:gridCol w:w="1028"/>
      </w:tblGrid>
      <w:tr w:rsidR="00F205C3" w:rsidRPr="00F205C3" w14:paraId="403B36E6" w14:textId="77777777" w:rsidTr="002E04BD">
        <w:trPr>
          <w:trHeight w:val="20"/>
        </w:trPr>
        <w:tc>
          <w:tcPr>
            <w:tcW w:w="3345" w:type="pct"/>
            <w:tcBorders>
              <w:bottom w:val="single" w:sz="4" w:space="0" w:color="auto"/>
            </w:tcBorders>
            <w:shd w:val="clear" w:color="auto" w:fill="auto"/>
          </w:tcPr>
          <w:p w14:paraId="79E096EB" w14:textId="77777777" w:rsidR="005E793C" w:rsidRPr="002E04BD" w:rsidRDefault="005E793C" w:rsidP="00E30618">
            <w:pPr>
              <w:pStyle w:val="Heading3"/>
              <w:spacing w:before="0" w:after="0" w:line="160" w:lineRule="atLeast"/>
              <w:contextualSpacing/>
              <w:outlineLvl w:val="2"/>
            </w:pPr>
          </w:p>
        </w:tc>
        <w:tc>
          <w:tcPr>
            <w:tcW w:w="569" w:type="pct"/>
            <w:tcBorders>
              <w:bottom w:val="single" w:sz="4" w:space="0" w:color="auto"/>
            </w:tcBorders>
            <w:shd w:val="clear" w:color="auto" w:fill="auto"/>
          </w:tcPr>
          <w:p w14:paraId="380AA0AB" w14:textId="77777777" w:rsidR="005E793C" w:rsidRPr="002E04BD" w:rsidRDefault="005E793C" w:rsidP="00E30618">
            <w:pPr>
              <w:pStyle w:val="TableColHeadsBold0"/>
              <w:ind w:right="143"/>
            </w:pPr>
            <w:r w:rsidRPr="002E04BD">
              <w:t>£m</w:t>
            </w:r>
          </w:p>
        </w:tc>
        <w:tc>
          <w:tcPr>
            <w:tcW w:w="595" w:type="pct"/>
            <w:tcBorders>
              <w:bottom w:val="single" w:sz="4" w:space="0" w:color="auto"/>
            </w:tcBorders>
            <w:shd w:val="clear" w:color="auto" w:fill="auto"/>
          </w:tcPr>
          <w:p w14:paraId="0AC29E29" w14:textId="77777777" w:rsidR="005E793C" w:rsidRPr="002E04BD" w:rsidRDefault="005E793C" w:rsidP="00E30618">
            <w:pPr>
              <w:pStyle w:val="TableColHeadsBold0"/>
            </w:pPr>
            <w:r w:rsidRPr="002E04BD">
              <w:t>Shares million</w:t>
            </w:r>
          </w:p>
        </w:tc>
        <w:tc>
          <w:tcPr>
            <w:tcW w:w="491" w:type="pct"/>
            <w:tcBorders>
              <w:bottom w:val="single" w:sz="4" w:space="0" w:color="auto"/>
            </w:tcBorders>
            <w:shd w:val="clear" w:color="auto" w:fill="auto"/>
          </w:tcPr>
          <w:p w14:paraId="673A3CCB" w14:textId="77777777" w:rsidR="005E793C" w:rsidRPr="002E04BD" w:rsidRDefault="005E793C" w:rsidP="00E30618">
            <w:pPr>
              <w:pStyle w:val="TableColHeadsBold0"/>
            </w:pPr>
            <w:r w:rsidRPr="002E04BD">
              <w:t>Pence per share</w:t>
            </w:r>
          </w:p>
        </w:tc>
      </w:tr>
      <w:tr w:rsidR="00F205C3" w:rsidRPr="00F205C3" w14:paraId="15DD4C06" w14:textId="77777777" w:rsidTr="00F205C3">
        <w:trPr>
          <w:trHeight w:val="20"/>
        </w:trPr>
        <w:tc>
          <w:tcPr>
            <w:tcW w:w="3345" w:type="pct"/>
            <w:tcBorders>
              <w:top w:val="single" w:sz="4" w:space="0" w:color="auto"/>
            </w:tcBorders>
            <w:shd w:val="clear" w:color="auto" w:fill="auto"/>
          </w:tcPr>
          <w:p w14:paraId="3AB5F8C3" w14:textId="33116361" w:rsidR="005E793C" w:rsidRPr="002E04BD" w:rsidRDefault="00F83915" w:rsidP="00E30618">
            <w:pPr>
              <w:pStyle w:val="TabletextBold"/>
            </w:pPr>
            <w:r w:rsidRPr="002E04BD">
              <w:t>Adjusted NAV attributable to ordinary shareholders at 31 December 20</w:t>
            </w:r>
            <w:r w:rsidR="00F205C3" w:rsidRPr="002E04BD">
              <w:t>20</w:t>
            </w:r>
          </w:p>
        </w:tc>
        <w:tc>
          <w:tcPr>
            <w:tcW w:w="569" w:type="pct"/>
            <w:tcBorders>
              <w:top w:val="single" w:sz="4" w:space="0" w:color="auto"/>
            </w:tcBorders>
            <w:shd w:val="clear" w:color="auto" w:fill="auto"/>
          </w:tcPr>
          <w:p w14:paraId="72151732" w14:textId="3D1E5CA0" w:rsidR="005E793C" w:rsidRPr="002E04BD" w:rsidRDefault="00F205C3" w:rsidP="00E30618">
            <w:pPr>
              <w:pStyle w:val="TableFiguresBold0"/>
            </w:pPr>
            <w:r w:rsidRPr="002E04BD">
              <w:t>9,725</w:t>
            </w:r>
          </w:p>
        </w:tc>
        <w:tc>
          <w:tcPr>
            <w:tcW w:w="595" w:type="pct"/>
            <w:tcBorders>
              <w:top w:val="single" w:sz="4" w:space="0" w:color="auto"/>
            </w:tcBorders>
            <w:shd w:val="clear" w:color="auto" w:fill="auto"/>
          </w:tcPr>
          <w:p w14:paraId="2E27C882" w14:textId="50D43E8A" w:rsidR="005E793C" w:rsidRPr="002E04BD" w:rsidRDefault="00F205C3" w:rsidP="00E30618">
            <w:pPr>
              <w:pStyle w:val="TableFiguresBold0"/>
              <w:rPr>
                <w:vertAlign w:val="superscript"/>
              </w:rPr>
            </w:pPr>
            <w:r w:rsidRPr="002E04BD">
              <w:t>1,194.7</w:t>
            </w:r>
          </w:p>
        </w:tc>
        <w:tc>
          <w:tcPr>
            <w:tcW w:w="491" w:type="pct"/>
            <w:tcBorders>
              <w:top w:val="single" w:sz="4" w:space="0" w:color="auto"/>
            </w:tcBorders>
            <w:shd w:val="clear" w:color="auto" w:fill="auto"/>
          </w:tcPr>
          <w:p w14:paraId="4743FA11" w14:textId="79701ADB" w:rsidR="005E793C" w:rsidRPr="002E04BD" w:rsidRDefault="00F205C3" w:rsidP="00E30618">
            <w:pPr>
              <w:pStyle w:val="TableFiguresBold0"/>
            </w:pPr>
            <w:r w:rsidRPr="002E04BD">
              <w:t>814</w:t>
            </w:r>
          </w:p>
        </w:tc>
      </w:tr>
      <w:tr w:rsidR="00F205C3" w:rsidRPr="00F205C3" w14:paraId="29AB88BB" w14:textId="77777777" w:rsidTr="00F205C3">
        <w:trPr>
          <w:trHeight w:val="20"/>
        </w:trPr>
        <w:tc>
          <w:tcPr>
            <w:tcW w:w="3345" w:type="pct"/>
            <w:shd w:val="clear" w:color="auto" w:fill="auto"/>
          </w:tcPr>
          <w:p w14:paraId="65BA4098" w14:textId="77777777" w:rsidR="005E793C" w:rsidRPr="002E04BD" w:rsidRDefault="005E793C" w:rsidP="00E30618">
            <w:pPr>
              <w:pStyle w:val="Tabletext"/>
            </w:pPr>
            <w:r w:rsidRPr="002E04BD">
              <w:t>Realised and unrealised property gain</w:t>
            </w:r>
          </w:p>
        </w:tc>
        <w:tc>
          <w:tcPr>
            <w:tcW w:w="569" w:type="pct"/>
            <w:shd w:val="clear" w:color="auto" w:fill="auto"/>
          </w:tcPr>
          <w:p w14:paraId="354CECD3" w14:textId="5CC344E2" w:rsidR="005E793C" w:rsidRPr="002E04BD" w:rsidRDefault="00F205C3" w:rsidP="00E30618">
            <w:pPr>
              <w:pStyle w:val="TableFigures"/>
            </w:pPr>
            <w:r w:rsidRPr="002E04BD">
              <w:t>4,173</w:t>
            </w:r>
          </w:p>
        </w:tc>
        <w:tc>
          <w:tcPr>
            <w:tcW w:w="595" w:type="pct"/>
            <w:shd w:val="clear" w:color="auto" w:fill="auto"/>
          </w:tcPr>
          <w:p w14:paraId="632619D1" w14:textId="77777777" w:rsidR="005E793C" w:rsidRPr="002E04BD" w:rsidRDefault="005E793C" w:rsidP="00E30618">
            <w:pPr>
              <w:suppressAutoHyphens/>
              <w:autoSpaceDE w:val="0"/>
              <w:autoSpaceDN w:val="0"/>
              <w:adjustRightInd w:val="0"/>
              <w:spacing w:after="0" w:line="276" w:lineRule="auto"/>
              <w:ind w:right="42"/>
              <w:contextualSpacing/>
              <w:jc w:val="right"/>
              <w:textAlignment w:val="center"/>
              <w:rPr>
                <w:rFonts w:cs="Arial"/>
                <w:spacing w:val="0"/>
                <w:sz w:val="18"/>
                <w:szCs w:val="18"/>
              </w:rPr>
            </w:pPr>
          </w:p>
        </w:tc>
        <w:tc>
          <w:tcPr>
            <w:tcW w:w="491" w:type="pct"/>
            <w:shd w:val="clear" w:color="auto" w:fill="auto"/>
          </w:tcPr>
          <w:p w14:paraId="47B9457C" w14:textId="08CB0CC9" w:rsidR="005E793C" w:rsidRPr="002E04BD" w:rsidRDefault="00F205C3" w:rsidP="00E30618">
            <w:pPr>
              <w:pStyle w:val="TableFigures"/>
            </w:pPr>
            <w:r w:rsidRPr="002E04BD">
              <w:t>346</w:t>
            </w:r>
          </w:p>
        </w:tc>
      </w:tr>
      <w:tr w:rsidR="00F205C3" w:rsidRPr="00F205C3" w14:paraId="5178E51E" w14:textId="77777777" w:rsidTr="00F205C3">
        <w:trPr>
          <w:trHeight w:val="20"/>
        </w:trPr>
        <w:tc>
          <w:tcPr>
            <w:tcW w:w="3345" w:type="pct"/>
            <w:shd w:val="clear" w:color="auto" w:fill="auto"/>
          </w:tcPr>
          <w:p w14:paraId="34A929E1" w14:textId="3E9E45E8" w:rsidR="005E793C" w:rsidRPr="002E04BD" w:rsidRDefault="005E793C" w:rsidP="00E30618">
            <w:pPr>
              <w:pStyle w:val="Tabletext"/>
            </w:pPr>
            <w:r w:rsidRPr="002E04BD">
              <w:t>Adjusted profit after tax</w:t>
            </w:r>
            <w:r w:rsidR="00B72322" w:rsidRPr="002E04BD">
              <w:t xml:space="preserve"> and non-controlling interests</w:t>
            </w:r>
          </w:p>
        </w:tc>
        <w:tc>
          <w:tcPr>
            <w:tcW w:w="569" w:type="pct"/>
            <w:shd w:val="clear" w:color="auto" w:fill="auto"/>
          </w:tcPr>
          <w:p w14:paraId="58B85C34" w14:textId="4A367FB9" w:rsidR="005E793C" w:rsidRPr="002E04BD" w:rsidRDefault="00F205C3" w:rsidP="00E30618">
            <w:pPr>
              <w:pStyle w:val="TableFigures"/>
            </w:pPr>
            <w:r w:rsidRPr="002E04BD">
              <w:t>348</w:t>
            </w:r>
          </w:p>
        </w:tc>
        <w:tc>
          <w:tcPr>
            <w:tcW w:w="595" w:type="pct"/>
            <w:shd w:val="clear" w:color="auto" w:fill="auto"/>
          </w:tcPr>
          <w:p w14:paraId="33B60AF6" w14:textId="77777777" w:rsidR="005E793C" w:rsidRPr="002E04BD" w:rsidRDefault="005E793C" w:rsidP="00E30618">
            <w:pPr>
              <w:suppressAutoHyphens/>
              <w:autoSpaceDE w:val="0"/>
              <w:autoSpaceDN w:val="0"/>
              <w:adjustRightInd w:val="0"/>
              <w:spacing w:after="0" w:line="276" w:lineRule="auto"/>
              <w:ind w:right="42"/>
              <w:contextualSpacing/>
              <w:jc w:val="right"/>
              <w:textAlignment w:val="center"/>
              <w:rPr>
                <w:rFonts w:cs="Arial"/>
                <w:spacing w:val="0"/>
                <w:sz w:val="18"/>
                <w:szCs w:val="18"/>
              </w:rPr>
            </w:pPr>
          </w:p>
        </w:tc>
        <w:tc>
          <w:tcPr>
            <w:tcW w:w="491" w:type="pct"/>
            <w:shd w:val="clear" w:color="auto" w:fill="auto"/>
          </w:tcPr>
          <w:p w14:paraId="69CF5190" w14:textId="74EB5358" w:rsidR="005E793C" w:rsidRPr="002E04BD" w:rsidRDefault="00F205C3" w:rsidP="00E30618">
            <w:pPr>
              <w:pStyle w:val="TableFigures"/>
            </w:pPr>
            <w:r w:rsidRPr="002E04BD">
              <w:t>29</w:t>
            </w:r>
          </w:p>
        </w:tc>
      </w:tr>
      <w:tr w:rsidR="00F205C3" w:rsidRPr="00F205C3" w14:paraId="03D23EAC" w14:textId="77777777" w:rsidTr="00F205C3">
        <w:trPr>
          <w:trHeight w:val="20"/>
        </w:trPr>
        <w:tc>
          <w:tcPr>
            <w:tcW w:w="3345" w:type="pct"/>
            <w:shd w:val="clear" w:color="auto" w:fill="auto"/>
          </w:tcPr>
          <w:p w14:paraId="25FA87A4" w14:textId="77E754D6" w:rsidR="005E793C" w:rsidRPr="002E04BD" w:rsidRDefault="005E793C" w:rsidP="00E30618">
            <w:pPr>
              <w:pStyle w:val="Tabletext"/>
            </w:pPr>
            <w:r w:rsidRPr="002E04BD">
              <w:t>Dividend net of scrip shares issued (20</w:t>
            </w:r>
            <w:r w:rsidR="00F205C3" w:rsidRPr="002E04BD">
              <w:t>20</w:t>
            </w:r>
            <w:r w:rsidRPr="002E04BD">
              <w:t xml:space="preserve"> final and 20</w:t>
            </w:r>
            <w:r w:rsidR="00F83915" w:rsidRPr="002E04BD">
              <w:t>2</w:t>
            </w:r>
            <w:r w:rsidR="00F205C3" w:rsidRPr="002E04BD">
              <w:t>1</w:t>
            </w:r>
            <w:r w:rsidRPr="002E04BD">
              <w:t xml:space="preserve"> interim)</w:t>
            </w:r>
          </w:p>
        </w:tc>
        <w:tc>
          <w:tcPr>
            <w:tcW w:w="569" w:type="pct"/>
            <w:shd w:val="clear" w:color="auto" w:fill="auto"/>
          </w:tcPr>
          <w:p w14:paraId="17326CF5" w14:textId="00AE7EDF" w:rsidR="005E793C" w:rsidRPr="002E04BD" w:rsidRDefault="00F83915" w:rsidP="00E30618">
            <w:pPr>
              <w:pStyle w:val="TableFiguresBrackets"/>
            </w:pPr>
            <w:r w:rsidRPr="002E04BD">
              <w:t>(17</w:t>
            </w:r>
            <w:r w:rsidR="00F205C3" w:rsidRPr="002E04BD">
              <w:t>6</w:t>
            </w:r>
            <w:r w:rsidRPr="002E04BD">
              <w:t>)</w:t>
            </w:r>
          </w:p>
        </w:tc>
        <w:tc>
          <w:tcPr>
            <w:tcW w:w="595" w:type="pct"/>
            <w:shd w:val="clear" w:color="auto" w:fill="auto"/>
          </w:tcPr>
          <w:p w14:paraId="048AA655" w14:textId="77777777" w:rsidR="005E793C" w:rsidRPr="002E04BD" w:rsidRDefault="005E793C" w:rsidP="00E30618">
            <w:pPr>
              <w:suppressAutoHyphens/>
              <w:autoSpaceDE w:val="0"/>
              <w:autoSpaceDN w:val="0"/>
              <w:adjustRightInd w:val="0"/>
              <w:spacing w:after="0" w:line="276" w:lineRule="auto"/>
              <w:contextualSpacing/>
              <w:jc w:val="right"/>
              <w:textAlignment w:val="center"/>
              <w:rPr>
                <w:rFonts w:cs="Arial"/>
                <w:spacing w:val="0"/>
                <w:sz w:val="18"/>
                <w:szCs w:val="18"/>
              </w:rPr>
            </w:pPr>
          </w:p>
        </w:tc>
        <w:tc>
          <w:tcPr>
            <w:tcW w:w="491" w:type="pct"/>
            <w:shd w:val="clear" w:color="auto" w:fill="auto"/>
          </w:tcPr>
          <w:p w14:paraId="561BCE9D" w14:textId="3E42E03B" w:rsidR="005E793C" w:rsidRPr="002E04BD" w:rsidRDefault="00F205C3" w:rsidP="00E30618">
            <w:pPr>
              <w:pStyle w:val="TableFiguresBrackets"/>
            </w:pPr>
            <w:r w:rsidRPr="002E04BD">
              <w:t>(23)</w:t>
            </w:r>
          </w:p>
        </w:tc>
      </w:tr>
      <w:tr w:rsidR="00F205C3" w:rsidRPr="00F205C3" w14:paraId="31517618" w14:textId="77777777" w:rsidTr="00F205C3">
        <w:trPr>
          <w:trHeight w:val="20"/>
        </w:trPr>
        <w:tc>
          <w:tcPr>
            <w:tcW w:w="3345" w:type="pct"/>
            <w:shd w:val="clear" w:color="auto" w:fill="auto"/>
          </w:tcPr>
          <w:p w14:paraId="33B02308" w14:textId="4145DE7E" w:rsidR="00A87B6E" w:rsidRPr="002E04BD" w:rsidRDefault="00F205C3" w:rsidP="00E30618">
            <w:pPr>
              <w:pStyle w:val="Tabletext"/>
            </w:pPr>
            <w:r w:rsidRPr="002E04BD">
              <w:t>Tax charge in respect of realised and unrealised property gains</w:t>
            </w:r>
          </w:p>
        </w:tc>
        <w:tc>
          <w:tcPr>
            <w:tcW w:w="569" w:type="pct"/>
            <w:shd w:val="clear" w:color="auto" w:fill="auto"/>
          </w:tcPr>
          <w:p w14:paraId="073CB7D6" w14:textId="30756B6E" w:rsidR="00A87B6E" w:rsidRPr="002E04BD" w:rsidRDefault="00F205C3" w:rsidP="002E04BD">
            <w:pPr>
              <w:pStyle w:val="TableFiguresBrackets"/>
            </w:pPr>
            <w:r w:rsidRPr="002E04BD">
              <w:t>(247)</w:t>
            </w:r>
          </w:p>
        </w:tc>
        <w:tc>
          <w:tcPr>
            <w:tcW w:w="595" w:type="pct"/>
            <w:shd w:val="clear" w:color="auto" w:fill="auto"/>
          </w:tcPr>
          <w:p w14:paraId="3F653C9F" w14:textId="77777777" w:rsidR="00A87B6E" w:rsidRPr="002E04BD" w:rsidRDefault="00A87B6E" w:rsidP="00E30618">
            <w:pPr>
              <w:suppressAutoHyphens/>
              <w:autoSpaceDE w:val="0"/>
              <w:autoSpaceDN w:val="0"/>
              <w:adjustRightInd w:val="0"/>
              <w:spacing w:after="0" w:line="276" w:lineRule="auto"/>
              <w:contextualSpacing/>
              <w:jc w:val="right"/>
              <w:textAlignment w:val="center"/>
              <w:rPr>
                <w:rFonts w:cs="Arial"/>
                <w:spacing w:val="0"/>
                <w:sz w:val="18"/>
                <w:szCs w:val="18"/>
              </w:rPr>
            </w:pPr>
          </w:p>
        </w:tc>
        <w:tc>
          <w:tcPr>
            <w:tcW w:w="491" w:type="pct"/>
            <w:shd w:val="clear" w:color="auto" w:fill="auto"/>
          </w:tcPr>
          <w:p w14:paraId="29D37C3A" w14:textId="72CDDB4B" w:rsidR="00A87B6E" w:rsidRPr="002E04BD" w:rsidRDefault="00F205C3" w:rsidP="00E30618">
            <w:pPr>
              <w:pStyle w:val="TableFiguresBrackets"/>
            </w:pPr>
            <w:r w:rsidRPr="002E04BD">
              <w:t>(21)</w:t>
            </w:r>
          </w:p>
        </w:tc>
      </w:tr>
      <w:tr w:rsidR="00F205C3" w:rsidRPr="00F205C3" w14:paraId="19CE955A" w14:textId="77777777" w:rsidTr="00F205C3">
        <w:trPr>
          <w:trHeight w:val="20"/>
        </w:trPr>
        <w:tc>
          <w:tcPr>
            <w:tcW w:w="3345" w:type="pct"/>
            <w:tcBorders>
              <w:bottom w:val="single" w:sz="4" w:space="0" w:color="auto"/>
            </w:tcBorders>
            <w:shd w:val="clear" w:color="auto" w:fill="auto"/>
          </w:tcPr>
          <w:p w14:paraId="5ABE742F" w14:textId="62CC8938" w:rsidR="005E793C" w:rsidRPr="002E04BD" w:rsidRDefault="00F83915" w:rsidP="00E30618">
            <w:pPr>
              <w:pStyle w:val="Tabletext"/>
            </w:pPr>
            <w:r w:rsidRPr="002E04BD">
              <w:t>Other including exchange rate movement</w:t>
            </w:r>
          </w:p>
        </w:tc>
        <w:tc>
          <w:tcPr>
            <w:tcW w:w="569" w:type="pct"/>
            <w:tcBorders>
              <w:bottom w:val="single" w:sz="4" w:space="0" w:color="auto"/>
            </w:tcBorders>
            <w:shd w:val="clear" w:color="auto" w:fill="auto"/>
          </w:tcPr>
          <w:p w14:paraId="577C0DC8" w14:textId="23A7303B" w:rsidR="005E793C" w:rsidRPr="002E04BD" w:rsidRDefault="00F205C3" w:rsidP="002E04BD">
            <w:pPr>
              <w:pStyle w:val="TableFiguresBrackets"/>
            </w:pPr>
            <w:r w:rsidRPr="002E04BD">
              <w:t>(119)</w:t>
            </w:r>
          </w:p>
        </w:tc>
        <w:tc>
          <w:tcPr>
            <w:tcW w:w="595" w:type="pct"/>
            <w:tcBorders>
              <w:bottom w:val="single" w:sz="4" w:space="0" w:color="auto"/>
            </w:tcBorders>
            <w:shd w:val="clear" w:color="auto" w:fill="auto"/>
          </w:tcPr>
          <w:p w14:paraId="4D29A246" w14:textId="77777777" w:rsidR="005E793C" w:rsidRPr="002E04BD" w:rsidRDefault="005E793C" w:rsidP="00E30618">
            <w:pPr>
              <w:suppressAutoHyphens/>
              <w:autoSpaceDE w:val="0"/>
              <w:autoSpaceDN w:val="0"/>
              <w:adjustRightInd w:val="0"/>
              <w:spacing w:after="0" w:line="276" w:lineRule="auto"/>
              <w:ind w:right="42"/>
              <w:contextualSpacing/>
              <w:jc w:val="right"/>
              <w:textAlignment w:val="center"/>
              <w:rPr>
                <w:rFonts w:cs="Arial"/>
                <w:spacing w:val="0"/>
                <w:sz w:val="18"/>
                <w:szCs w:val="18"/>
              </w:rPr>
            </w:pPr>
          </w:p>
        </w:tc>
        <w:tc>
          <w:tcPr>
            <w:tcW w:w="491" w:type="pct"/>
            <w:tcBorders>
              <w:bottom w:val="single" w:sz="4" w:space="0" w:color="auto"/>
            </w:tcBorders>
            <w:shd w:val="clear" w:color="auto" w:fill="auto"/>
          </w:tcPr>
          <w:p w14:paraId="5143317E" w14:textId="610F3D9B" w:rsidR="005E793C" w:rsidRPr="002E04BD" w:rsidRDefault="00F205C3" w:rsidP="00E30618">
            <w:pPr>
              <w:pStyle w:val="TableFiguresBrackets"/>
            </w:pPr>
            <w:r w:rsidRPr="002E04BD">
              <w:t>(8)</w:t>
            </w:r>
          </w:p>
        </w:tc>
      </w:tr>
      <w:tr w:rsidR="00F205C3" w:rsidRPr="00F205C3" w14:paraId="39822873" w14:textId="77777777" w:rsidTr="00F205C3">
        <w:trPr>
          <w:trHeight w:val="20"/>
        </w:trPr>
        <w:tc>
          <w:tcPr>
            <w:tcW w:w="3345" w:type="pct"/>
            <w:tcBorders>
              <w:top w:val="single" w:sz="4" w:space="0" w:color="auto"/>
              <w:bottom w:val="single" w:sz="4" w:space="0" w:color="auto"/>
            </w:tcBorders>
            <w:shd w:val="clear" w:color="auto" w:fill="auto"/>
          </w:tcPr>
          <w:p w14:paraId="25446AB9" w14:textId="5FF21608" w:rsidR="005E793C" w:rsidRPr="002E04BD" w:rsidRDefault="00F83915" w:rsidP="00E30618">
            <w:pPr>
              <w:pStyle w:val="TabletextBold"/>
            </w:pPr>
            <w:r w:rsidRPr="002E04BD">
              <w:t>Adjusted NAV</w:t>
            </w:r>
            <w:r w:rsidR="005E793C" w:rsidRPr="002E04BD">
              <w:t xml:space="preserve"> attributable to ordinary shareholders at 31 December 20</w:t>
            </w:r>
            <w:r w:rsidRPr="002E04BD">
              <w:t>2</w:t>
            </w:r>
            <w:r w:rsidR="00F205C3" w:rsidRPr="002E04BD">
              <w:t>1</w:t>
            </w:r>
          </w:p>
        </w:tc>
        <w:tc>
          <w:tcPr>
            <w:tcW w:w="569" w:type="pct"/>
            <w:tcBorders>
              <w:top w:val="single" w:sz="4" w:space="0" w:color="auto"/>
              <w:bottom w:val="single" w:sz="4" w:space="0" w:color="auto"/>
            </w:tcBorders>
            <w:shd w:val="clear" w:color="auto" w:fill="auto"/>
          </w:tcPr>
          <w:p w14:paraId="4CBF0A8E" w14:textId="65441F80" w:rsidR="005E793C" w:rsidRPr="002E04BD" w:rsidRDefault="00F205C3" w:rsidP="00E30618">
            <w:pPr>
              <w:pStyle w:val="TableFiguresBold0"/>
            </w:pPr>
            <w:r w:rsidRPr="002E04BD">
              <w:t>13,704</w:t>
            </w:r>
          </w:p>
        </w:tc>
        <w:tc>
          <w:tcPr>
            <w:tcW w:w="595" w:type="pct"/>
            <w:tcBorders>
              <w:top w:val="single" w:sz="4" w:space="0" w:color="auto"/>
              <w:bottom w:val="single" w:sz="4" w:space="0" w:color="auto"/>
            </w:tcBorders>
            <w:shd w:val="clear" w:color="auto" w:fill="auto"/>
          </w:tcPr>
          <w:p w14:paraId="5804D123" w14:textId="01794F3D" w:rsidR="005E793C" w:rsidRPr="002E04BD" w:rsidRDefault="00F205C3" w:rsidP="00E30618">
            <w:pPr>
              <w:pStyle w:val="TableFiguresBold0"/>
            </w:pPr>
            <w:r w:rsidRPr="002E04BD">
              <w:t>1,205.5</w:t>
            </w:r>
          </w:p>
        </w:tc>
        <w:tc>
          <w:tcPr>
            <w:tcW w:w="491" w:type="pct"/>
            <w:tcBorders>
              <w:top w:val="single" w:sz="4" w:space="0" w:color="auto"/>
              <w:bottom w:val="single" w:sz="4" w:space="0" w:color="auto"/>
            </w:tcBorders>
            <w:shd w:val="clear" w:color="auto" w:fill="auto"/>
          </w:tcPr>
          <w:p w14:paraId="4BD8069A" w14:textId="25E1938E" w:rsidR="005E793C" w:rsidRPr="002E04BD" w:rsidRDefault="00F205C3" w:rsidP="00E30618">
            <w:pPr>
              <w:pStyle w:val="TableFiguresBold0"/>
            </w:pPr>
            <w:r w:rsidRPr="002E04BD">
              <w:t>1,137</w:t>
            </w:r>
          </w:p>
        </w:tc>
      </w:tr>
    </w:tbl>
    <w:p w14:paraId="515689D6" w14:textId="77777777" w:rsidR="005E793C" w:rsidRPr="005F6D8A" w:rsidRDefault="005E793C" w:rsidP="005E793C">
      <w:pPr>
        <w:pStyle w:val="FootnotesNoSpace"/>
        <w:ind w:left="170" w:hanging="170"/>
        <w:rPr>
          <w:rFonts w:cs="Arial"/>
          <w:color w:val="FF0000"/>
        </w:rPr>
      </w:pPr>
    </w:p>
    <w:p w14:paraId="7198D6D1" w14:textId="77777777" w:rsidR="00426F61" w:rsidRDefault="00426F61" w:rsidP="00426F61">
      <w:pPr>
        <w:pStyle w:val="Normal1"/>
      </w:pPr>
      <w:r>
        <w:t xml:space="preserve">At 31 December 2021, IFRS net assets attributable to ordinary shareholders were £13,436 million (31 December 2020: £9,659 million), reflecting 1,115 pence per share (31 December 2020: 809 pence) on a diluted basis. </w:t>
      </w:r>
    </w:p>
    <w:p w14:paraId="0F75F11D" w14:textId="6E193E1D" w:rsidR="00426F61" w:rsidRDefault="00426F61" w:rsidP="00426F61">
      <w:pPr>
        <w:pStyle w:val="Normal1"/>
      </w:pPr>
      <w:r>
        <w:t xml:space="preserve">Adjusted NAV per share at 31 December 2021 was 1,137 pence (31 December 2020: 814 pence). The 39.7 per cent increase primarily reflects property gains in the period. The </w:t>
      </w:r>
      <w:r w:rsidR="00A47D38">
        <w:t>table</w:t>
      </w:r>
      <w:r>
        <w:t xml:space="preserve"> above highlights the other principal factors behind the increase. A reconciliation between IFRS and Adjusted NAV is available in </w:t>
      </w:r>
      <w:r w:rsidRPr="002E04BD">
        <w:t>Note 1</w:t>
      </w:r>
      <w:r w:rsidR="00F205C3" w:rsidRPr="008239CB">
        <w:t>1</w:t>
      </w:r>
      <w:r>
        <w:t xml:space="preserve"> to the </w:t>
      </w:r>
      <w:r w:rsidR="00A47D38">
        <w:t>condensed f</w:t>
      </w:r>
      <w:r>
        <w:t xml:space="preserve">inancial </w:t>
      </w:r>
      <w:r w:rsidR="00A47D38">
        <w:t>s</w:t>
      </w:r>
      <w:r>
        <w:t xml:space="preserve">tatements. </w:t>
      </w:r>
    </w:p>
    <w:p w14:paraId="3AAFA034" w14:textId="58CBC276" w:rsidR="00426F61" w:rsidRDefault="00426F61" w:rsidP="00426F61">
      <w:pPr>
        <w:pStyle w:val="Heading3"/>
      </w:pPr>
      <w:r>
        <w:t xml:space="preserve">Cash Flow and Net Debt Reconciliation </w:t>
      </w:r>
    </w:p>
    <w:p w14:paraId="7EA1CD58" w14:textId="0AA849E2" w:rsidR="00426F61" w:rsidRDefault="00426F61" w:rsidP="00426F61">
      <w:pPr>
        <w:pStyle w:val="Normal1"/>
      </w:pPr>
      <w:r>
        <w:t>Cash flows from operating activities of £3</w:t>
      </w:r>
      <w:r w:rsidR="00E632E7">
        <w:t>47</w:t>
      </w:r>
      <w:r>
        <w:t xml:space="preserve"> million are £11</w:t>
      </w:r>
      <w:r w:rsidR="00E632E7">
        <w:t>4</w:t>
      </w:r>
      <w:r>
        <w:t xml:space="preserve"> million higher than the prior year. This is primarily due to increased rental income received during the year, the impact of trading properties, for which there was an inflow of £12 million in the current year, following disposals in the period compared to an outflow of £20 million in the prior </w:t>
      </w:r>
      <w:r w:rsidR="00A06708">
        <w:t>year</w:t>
      </w:r>
      <w:r>
        <w:t>. In addition</w:t>
      </w:r>
      <w:r w:rsidR="0066476E">
        <w:t>,</w:t>
      </w:r>
      <w:r>
        <w:t xml:space="preserve"> there were tax payments of £17 million primarily in France, as discussed </w:t>
      </w:r>
      <w:r w:rsidRPr="008239CB">
        <w:t xml:space="preserve">in </w:t>
      </w:r>
      <w:r w:rsidRPr="009A7454">
        <w:t>more detail above</w:t>
      </w:r>
      <w:r w:rsidRPr="008239CB">
        <w:t>.</w:t>
      </w:r>
      <w:r>
        <w:t xml:space="preserve"> </w:t>
      </w:r>
    </w:p>
    <w:p w14:paraId="204F9CBC" w14:textId="3C68B07A" w:rsidR="00426F61" w:rsidRDefault="00426F61" w:rsidP="00426F61">
      <w:pPr>
        <w:pStyle w:val="Normal1"/>
      </w:pPr>
      <w:r>
        <w:t xml:space="preserve">The Group made net investments of £1,266 million of investment and development properties (including other investments and loans to joint ventures) during the year on a cash flow basis (2020: £1,101 million). This is principally driven by expenditure of £1,706 million (2020: £1,216 million) to purchase and develop investment properties to deliver further growth in line with our strategy, the largest of which was the purchase of </w:t>
      </w:r>
      <w:r w:rsidR="00DF0087">
        <w:t xml:space="preserve">a portfolio of </w:t>
      </w:r>
      <w:r>
        <w:t xml:space="preserve">offices in the Thames Valley Business Unit in December 2021 as discussed further </w:t>
      </w:r>
      <w:r w:rsidR="00A47D38">
        <w:t>in the Investment Update</w:t>
      </w:r>
      <w:r w:rsidR="00A06708">
        <w:t xml:space="preserve"> </w:t>
      </w:r>
      <w:r w:rsidR="00A47D38">
        <w:t xml:space="preserve">above. </w:t>
      </w:r>
    </w:p>
    <w:p w14:paraId="293CA433" w14:textId="17470294" w:rsidR="00426F61" w:rsidRDefault="00426F61" w:rsidP="00426F61">
      <w:pPr>
        <w:pStyle w:val="Normal1"/>
      </w:pPr>
      <w:r>
        <w:t>Disposals of investment properties increased by £332 million to £491 million compared to the prior period (2020: £159 million). Disposals include £231 million to the SELP joint venture and £75 million</w:t>
      </w:r>
      <w:r w:rsidR="00E632E7">
        <w:t xml:space="preserve"> cash received </w:t>
      </w:r>
      <w:r>
        <w:t>in respect of deferred consideration from a prior period disposal. Other significant cash flows include dividends paid of £180 million (2020: £179 million) where cash flows are lower than the total dividend due to the level of scrip uptake; an inflow from settlement of foreign exchange derivatives of £40 million (2020: outflow £55 million); and £12 million to purchase the remaining non-controlling interest in Sof</w:t>
      </w:r>
      <w:r w:rsidR="00DF0087">
        <w:t>i</w:t>
      </w:r>
      <w:r>
        <w:t>bus following the initial acquisition in 2020.</w:t>
      </w:r>
    </w:p>
    <w:p w14:paraId="16741272" w14:textId="77777777" w:rsidR="00426F61" w:rsidRDefault="00426F61" w:rsidP="00426F61">
      <w:pPr>
        <w:pStyle w:val="Normal1"/>
        <w:rPr>
          <w:color w:val="FF0000"/>
        </w:rPr>
      </w:pPr>
      <w:r>
        <w:t>Overall, net debt has increased in the year from £2,325 million to £3,361 million.</w:t>
      </w:r>
    </w:p>
    <w:p w14:paraId="53E47A96" w14:textId="2F042228" w:rsidR="00F65281" w:rsidRDefault="00F65281" w:rsidP="005E793C">
      <w:pPr>
        <w:spacing w:after="0" w:line="240" w:lineRule="auto"/>
        <w:rPr>
          <w:color w:val="FF0000"/>
          <w:u w:val="single"/>
        </w:rPr>
      </w:pPr>
    </w:p>
    <w:p w14:paraId="4C9F124D" w14:textId="0D8DEF8A" w:rsidR="00426F61" w:rsidRDefault="00426F61" w:rsidP="005E793C">
      <w:pPr>
        <w:spacing w:after="0" w:line="240" w:lineRule="auto"/>
        <w:rPr>
          <w:color w:val="FF0000"/>
          <w:u w:val="single"/>
        </w:rPr>
      </w:pPr>
    </w:p>
    <w:p w14:paraId="192B3343" w14:textId="295A58AC" w:rsidR="00426F61" w:rsidRDefault="00426F61" w:rsidP="005E793C">
      <w:pPr>
        <w:spacing w:after="0" w:line="240" w:lineRule="auto"/>
        <w:rPr>
          <w:color w:val="FF0000"/>
          <w:u w:val="single"/>
        </w:rPr>
      </w:pPr>
    </w:p>
    <w:p w14:paraId="0A089554" w14:textId="06557F00" w:rsidR="00426F61" w:rsidRDefault="00426F61" w:rsidP="005E793C">
      <w:pPr>
        <w:spacing w:after="0" w:line="240" w:lineRule="auto"/>
        <w:rPr>
          <w:color w:val="FF0000"/>
          <w:u w:val="single"/>
        </w:rPr>
      </w:pPr>
    </w:p>
    <w:p w14:paraId="18F5E16B" w14:textId="2BD5851D" w:rsidR="00426F61" w:rsidRDefault="00426F61" w:rsidP="005E793C">
      <w:pPr>
        <w:spacing w:after="0" w:line="240" w:lineRule="auto"/>
        <w:rPr>
          <w:color w:val="FF0000"/>
          <w:u w:val="single"/>
        </w:rPr>
      </w:pPr>
    </w:p>
    <w:p w14:paraId="396068B3" w14:textId="429D7996" w:rsidR="00426F61" w:rsidRDefault="00426F61" w:rsidP="005E793C">
      <w:pPr>
        <w:spacing w:after="0" w:line="240" w:lineRule="auto"/>
        <w:rPr>
          <w:color w:val="FF0000"/>
          <w:u w:val="single"/>
        </w:rPr>
      </w:pPr>
    </w:p>
    <w:p w14:paraId="2E4E522D" w14:textId="14F705E2" w:rsidR="00426F61" w:rsidRDefault="00426F61" w:rsidP="005E793C">
      <w:pPr>
        <w:spacing w:after="0" w:line="240" w:lineRule="auto"/>
        <w:rPr>
          <w:color w:val="FF0000"/>
          <w:u w:val="single"/>
        </w:rPr>
      </w:pPr>
    </w:p>
    <w:p w14:paraId="63A95A2F" w14:textId="72F5A7EB" w:rsidR="00D565C4" w:rsidRDefault="00D565C4" w:rsidP="005E793C">
      <w:pPr>
        <w:spacing w:after="0" w:line="240" w:lineRule="auto"/>
        <w:rPr>
          <w:color w:val="FF0000"/>
          <w:u w:val="single"/>
        </w:rPr>
      </w:pPr>
    </w:p>
    <w:p w14:paraId="182079A2" w14:textId="21259537" w:rsidR="005E793C" w:rsidRPr="002E04BD" w:rsidRDefault="005E793C" w:rsidP="005E793C">
      <w:pPr>
        <w:spacing w:after="0" w:line="240" w:lineRule="auto"/>
        <w:rPr>
          <w:u w:val="single"/>
        </w:rPr>
      </w:pPr>
      <w:r w:rsidRPr="002E04BD">
        <w:rPr>
          <w:u w:val="single"/>
        </w:rPr>
        <w:lastRenderedPageBreak/>
        <w:t>Cash flow and net debt reconciliation</w:t>
      </w:r>
      <w:r w:rsidR="00DB3680" w:rsidRPr="002E04BD">
        <w:rPr>
          <w:u w:val="single"/>
        </w:rPr>
        <w:tab/>
      </w:r>
    </w:p>
    <w:tbl>
      <w:tblPr>
        <w:tblW w:w="10173" w:type="dxa"/>
        <w:tblLook w:val="01E0" w:firstRow="1" w:lastRow="1" w:firstColumn="1" w:lastColumn="1" w:noHBand="0" w:noVBand="0"/>
      </w:tblPr>
      <w:tblGrid>
        <w:gridCol w:w="7196"/>
        <w:gridCol w:w="1559"/>
        <w:gridCol w:w="1418"/>
      </w:tblGrid>
      <w:tr w:rsidR="005F6D8A" w:rsidRPr="00DB3680" w14:paraId="2B6857B7" w14:textId="77777777" w:rsidTr="00FE7061">
        <w:trPr>
          <w:trHeight w:val="574"/>
        </w:trPr>
        <w:tc>
          <w:tcPr>
            <w:tcW w:w="7196" w:type="dxa"/>
            <w:tcBorders>
              <w:bottom w:val="single" w:sz="4" w:space="0" w:color="A6A6A6"/>
            </w:tcBorders>
            <w:shd w:val="clear" w:color="auto" w:fill="auto"/>
          </w:tcPr>
          <w:p w14:paraId="30E70A9A" w14:textId="77777777" w:rsidR="00FE7061" w:rsidRPr="002E04BD" w:rsidRDefault="00FE7061" w:rsidP="00FE7061">
            <w:pPr>
              <w:autoSpaceDE w:val="0"/>
              <w:autoSpaceDN w:val="0"/>
              <w:adjustRightInd w:val="0"/>
              <w:spacing w:line="160" w:lineRule="atLeast"/>
              <w:rPr>
                <w:rFonts w:cs="Arial"/>
                <w:sz w:val="18"/>
                <w:szCs w:val="18"/>
              </w:rPr>
            </w:pPr>
          </w:p>
        </w:tc>
        <w:tc>
          <w:tcPr>
            <w:tcW w:w="1559" w:type="dxa"/>
            <w:tcBorders>
              <w:bottom w:val="single" w:sz="4" w:space="0" w:color="A6A6A6"/>
            </w:tcBorders>
            <w:shd w:val="clear" w:color="auto" w:fill="auto"/>
          </w:tcPr>
          <w:p w14:paraId="2A8E8C1D" w14:textId="1A3A9B78" w:rsidR="00FE7061" w:rsidRPr="002E04BD" w:rsidRDefault="00FE7061" w:rsidP="00FE7061">
            <w:pPr>
              <w:pStyle w:val="TableColHeadsBold0"/>
            </w:pPr>
            <w:r w:rsidRPr="002E04BD">
              <w:t xml:space="preserve"> 202</w:t>
            </w:r>
            <w:r w:rsidR="00A06708">
              <w:t>1</w:t>
            </w:r>
          </w:p>
          <w:p w14:paraId="39A20A07" w14:textId="77777777" w:rsidR="00FE7061" w:rsidRPr="002E04BD" w:rsidRDefault="00FE7061" w:rsidP="00FE7061">
            <w:pPr>
              <w:pStyle w:val="TableColHeadsBold0"/>
            </w:pPr>
            <w:r w:rsidRPr="002E04BD">
              <w:t>£m</w:t>
            </w:r>
          </w:p>
        </w:tc>
        <w:tc>
          <w:tcPr>
            <w:tcW w:w="1418" w:type="dxa"/>
            <w:tcBorders>
              <w:bottom w:val="single" w:sz="4" w:space="0" w:color="A6A6A6"/>
            </w:tcBorders>
          </w:tcPr>
          <w:p w14:paraId="35CDB015" w14:textId="44D4E90B" w:rsidR="00FE7061" w:rsidRPr="002E04BD" w:rsidRDefault="00FE7061" w:rsidP="00FE7061">
            <w:pPr>
              <w:pStyle w:val="TableColHeadsBold0"/>
              <w:rPr>
                <w:b w:val="0"/>
                <w:bCs w:val="0"/>
              </w:rPr>
            </w:pPr>
            <w:r w:rsidRPr="002E04BD">
              <w:rPr>
                <w:b w:val="0"/>
                <w:bCs w:val="0"/>
              </w:rPr>
              <w:t xml:space="preserve"> 20</w:t>
            </w:r>
            <w:r w:rsidR="00DB3680" w:rsidRPr="002E04BD">
              <w:rPr>
                <w:b w:val="0"/>
                <w:bCs w:val="0"/>
              </w:rPr>
              <w:t>20</w:t>
            </w:r>
          </w:p>
          <w:p w14:paraId="270209CB" w14:textId="2EE8F730" w:rsidR="00FE7061" w:rsidRPr="002E04BD" w:rsidRDefault="00FE7061" w:rsidP="00FE7061">
            <w:pPr>
              <w:pStyle w:val="TableColHeads"/>
              <w:spacing w:line="160" w:lineRule="atLeast"/>
              <w:rPr>
                <w:rFonts w:cs="Arial"/>
                <w:szCs w:val="18"/>
              </w:rPr>
            </w:pPr>
            <w:r w:rsidRPr="002E04BD">
              <w:t>£m</w:t>
            </w:r>
          </w:p>
        </w:tc>
      </w:tr>
      <w:tr w:rsidR="005F6D8A" w:rsidRPr="00DB3680" w14:paraId="251DCDD1" w14:textId="77777777" w:rsidTr="00FE7061">
        <w:trPr>
          <w:trHeight w:hRule="exact" w:val="227"/>
        </w:trPr>
        <w:tc>
          <w:tcPr>
            <w:tcW w:w="7196" w:type="dxa"/>
            <w:tcBorders>
              <w:top w:val="single" w:sz="4" w:space="0" w:color="A6A6A6"/>
            </w:tcBorders>
            <w:shd w:val="clear" w:color="auto" w:fill="auto"/>
          </w:tcPr>
          <w:p w14:paraId="5CF9DFAB" w14:textId="77777777" w:rsidR="00FE7061" w:rsidRPr="002E04BD" w:rsidRDefault="00FE7061" w:rsidP="00FE7061">
            <w:pPr>
              <w:pStyle w:val="TabletextBold"/>
              <w:rPr>
                <w:rFonts w:cs="Arial"/>
                <w:szCs w:val="18"/>
              </w:rPr>
            </w:pPr>
            <w:r w:rsidRPr="002E04BD">
              <w:rPr>
                <w:rFonts w:cs="Arial"/>
                <w:szCs w:val="18"/>
              </w:rPr>
              <w:t>Opening net debt</w:t>
            </w:r>
          </w:p>
        </w:tc>
        <w:tc>
          <w:tcPr>
            <w:tcW w:w="1559" w:type="dxa"/>
            <w:tcBorders>
              <w:top w:val="single" w:sz="4" w:space="0" w:color="A6A6A6"/>
            </w:tcBorders>
            <w:shd w:val="clear" w:color="auto" w:fill="auto"/>
          </w:tcPr>
          <w:p w14:paraId="79069B4E" w14:textId="36FD1879" w:rsidR="00FE7061" w:rsidRPr="009A7454" w:rsidRDefault="00FE7061" w:rsidP="00FE7061">
            <w:pPr>
              <w:pStyle w:val="TableFiguresBracketsBold"/>
            </w:pPr>
            <w:r w:rsidRPr="002E04BD">
              <w:t>(</w:t>
            </w:r>
            <w:r w:rsidR="00DB3680">
              <w:t>2,325</w:t>
            </w:r>
            <w:r w:rsidRPr="009A7454">
              <w:t>)</w:t>
            </w:r>
          </w:p>
        </w:tc>
        <w:tc>
          <w:tcPr>
            <w:tcW w:w="1418" w:type="dxa"/>
            <w:tcBorders>
              <w:top w:val="single" w:sz="4" w:space="0" w:color="A6A6A6"/>
            </w:tcBorders>
          </w:tcPr>
          <w:p w14:paraId="3C3546BD" w14:textId="26A0ACC1" w:rsidR="00FE7061" w:rsidRPr="009A7454" w:rsidRDefault="00FE7061" w:rsidP="00FE7061">
            <w:pPr>
              <w:pStyle w:val="TableFiguresBrackets"/>
            </w:pPr>
            <w:r w:rsidRPr="009A7454">
              <w:t>(</w:t>
            </w:r>
            <w:r w:rsidR="00DB3680">
              <w:t>1,811</w:t>
            </w:r>
            <w:r w:rsidRPr="009A7454">
              <w:t>)</w:t>
            </w:r>
          </w:p>
        </w:tc>
      </w:tr>
      <w:tr w:rsidR="005F6D8A" w:rsidRPr="00DB3680" w14:paraId="753FF231" w14:textId="77777777" w:rsidTr="00FE7061">
        <w:trPr>
          <w:trHeight w:hRule="exact" w:val="113"/>
        </w:trPr>
        <w:tc>
          <w:tcPr>
            <w:tcW w:w="7196" w:type="dxa"/>
            <w:shd w:val="clear" w:color="auto" w:fill="auto"/>
          </w:tcPr>
          <w:p w14:paraId="036D9E66" w14:textId="77777777" w:rsidR="00FE7061" w:rsidRPr="002E04BD" w:rsidRDefault="00FE7061" w:rsidP="00FE7061">
            <w:pPr>
              <w:autoSpaceDE w:val="0"/>
              <w:autoSpaceDN w:val="0"/>
              <w:adjustRightInd w:val="0"/>
              <w:rPr>
                <w:rFonts w:cs="Arial"/>
                <w:sz w:val="18"/>
                <w:szCs w:val="18"/>
              </w:rPr>
            </w:pPr>
          </w:p>
        </w:tc>
        <w:tc>
          <w:tcPr>
            <w:tcW w:w="1559" w:type="dxa"/>
            <w:shd w:val="clear" w:color="auto" w:fill="auto"/>
          </w:tcPr>
          <w:p w14:paraId="1F626FDF" w14:textId="77777777" w:rsidR="00FE7061" w:rsidRPr="002E04BD" w:rsidRDefault="00FE7061" w:rsidP="00FE7061">
            <w:pPr>
              <w:pStyle w:val="TableFiguresBold0"/>
              <w:rPr>
                <w:rFonts w:cs="Arial"/>
                <w:szCs w:val="18"/>
              </w:rPr>
            </w:pPr>
          </w:p>
        </w:tc>
        <w:tc>
          <w:tcPr>
            <w:tcW w:w="1418" w:type="dxa"/>
          </w:tcPr>
          <w:p w14:paraId="66A99A01" w14:textId="77777777" w:rsidR="00FE7061" w:rsidRPr="002E04BD" w:rsidRDefault="00FE7061" w:rsidP="00FE7061">
            <w:pPr>
              <w:autoSpaceDE w:val="0"/>
              <w:autoSpaceDN w:val="0"/>
              <w:adjustRightInd w:val="0"/>
              <w:jc w:val="right"/>
              <w:rPr>
                <w:rFonts w:cs="Arial"/>
                <w:sz w:val="18"/>
                <w:szCs w:val="18"/>
              </w:rPr>
            </w:pPr>
          </w:p>
        </w:tc>
      </w:tr>
      <w:tr w:rsidR="005F6D8A" w:rsidRPr="00DB3680" w14:paraId="2E1F96CE" w14:textId="77777777" w:rsidTr="00FE7061">
        <w:trPr>
          <w:trHeight w:hRule="exact" w:val="227"/>
        </w:trPr>
        <w:tc>
          <w:tcPr>
            <w:tcW w:w="7196" w:type="dxa"/>
            <w:shd w:val="clear" w:color="auto" w:fill="auto"/>
          </w:tcPr>
          <w:p w14:paraId="313B2C5A" w14:textId="25E8DB48" w:rsidR="00FE7061" w:rsidRPr="002E04BD" w:rsidRDefault="00FE7061" w:rsidP="00FE7061">
            <w:pPr>
              <w:pStyle w:val="Tabletext"/>
            </w:pPr>
            <w:r w:rsidRPr="002E04BD">
              <w:t>Cash flow from operating activities</w:t>
            </w:r>
          </w:p>
        </w:tc>
        <w:tc>
          <w:tcPr>
            <w:tcW w:w="1559" w:type="dxa"/>
            <w:shd w:val="clear" w:color="auto" w:fill="auto"/>
          </w:tcPr>
          <w:p w14:paraId="4621378F" w14:textId="7D1036EF" w:rsidR="00FE7061" w:rsidRPr="002E04BD" w:rsidRDefault="00DB3680" w:rsidP="00FE7061">
            <w:pPr>
              <w:pStyle w:val="TableFiguresBold0"/>
            </w:pPr>
            <w:r>
              <w:t>347</w:t>
            </w:r>
          </w:p>
        </w:tc>
        <w:tc>
          <w:tcPr>
            <w:tcW w:w="1418" w:type="dxa"/>
          </w:tcPr>
          <w:p w14:paraId="1516C1A7" w14:textId="72187252" w:rsidR="00FE7061" w:rsidRPr="002E04BD" w:rsidRDefault="00DB3680" w:rsidP="00FE7061">
            <w:pPr>
              <w:pStyle w:val="TableFigures"/>
            </w:pPr>
            <w:r>
              <w:t>233</w:t>
            </w:r>
          </w:p>
        </w:tc>
      </w:tr>
      <w:tr w:rsidR="005F6D8A" w:rsidRPr="00DB3680" w14:paraId="10223006" w14:textId="77777777" w:rsidTr="00FE7061">
        <w:trPr>
          <w:trHeight w:hRule="exact" w:val="227"/>
        </w:trPr>
        <w:tc>
          <w:tcPr>
            <w:tcW w:w="7196" w:type="dxa"/>
            <w:shd w:val="clear" w:color="auto" w:fill="auto"/>
          </w:tcPr>
          <w:p w14:paraId="0CE91749" w14:textId="77777777" w:rsidR="00FE7061" w:rsidRPr="002E04BD" w:rsidRDefault="00FE7061" w:rsidP="00FE7061">
            <w:pPr>
              <w:pStyle w:val="Tabletext"/>
            </w:pPr>
            <w:r w:rsidRPr="002E04BD">
              <w:t>Finance costs (net)</w:t>
            </w:r>
          </w:p>
        </w:tc>
        <w:tc>
          <w:tcPr>
            <w:tcW w:w="1559" w:type="dxa"/>
            <w:shd w:val="clear" w:color="auto" w:fill="auto"/>
          </w:tcPr>
          <w:p w14:paraId="652EF2B5" w14:textId="2EE6AB9A" w:rsidR="00FE7061" w:rsidRPr="009A7454" w:rsidRDefault="00FE7061" w:rsidP="00FE7061">
            <w:pPr>
              <w:pStyle w:val="TableFiguresBracketsBold"/>
            </w:pPr>
            <w:r w:rsidRPr="002E04BD">
              <w:t>(5</w:t>
            </w:r>
            <w:r w:rsidR="00DB3680">
              <w:t>2</w:t>
            </w:r>
            <w:r w:rsidRPr="009A7454">
              <w:t>)</w:t>
            </w:r>
          </w:p>
        </w:tc>
        <w:tc>
          <w:tcPr>
            <w:tcW w:w="1418" w:type="dxa"/>
          </w:tcPr>
          <w:p w14:paraId="6B337E52" w14:textId="7D90F16B" w:rsidR="00FE7061" w:rsidRPr="002E04BD" w:rsidRDefault="00FE7061" w:rsidP="00FE7061">
            <w:pPr>
              <w:pStyle w:val="TableFiguresBrackets"/>
            </w:pPr>
            <w:r w:rsidRPr="009A7454">
              <w:t>(</w:t>
            </w:r>
            <w:r w:rsidR="00DB3680">
              <w:t>52</w:t>
            </w:r>
            <w:r w:rsidRPr="002E04BD">
              <w:t>)</w:t>
            </w:r>
          </w:p>
        </w:tc>
      </w:tr>
      <w:tr w:rsidR="005F6D8A" w:rsidRPr="00DB3680" w14:paraId="11C905D2" w14:textId="77777777" w:rsidTr="00FE7061">
        <w:trPr>
          <w:trHeight w:hRule="exact" w:val="227"/>
        </w:trPr>
        <w:tc>
          <w:tcPr>
            <w:tcW w:w="7196" w:type="dxa"/>
            <w:shd w:val="clear" w:color="auto" w:fill="auto"/>
          </w:tcPr>
          <w:p w14:paraId="0A990D55" w14:textId="1DC883C5" w:rsidR="00FE7061" w:rsidRPr="002E04BD" w:rsidRDefault="00FE7061" w:rsidP="00FE7061">
            <w:pPr>
              <w:pStyle w:val="Tabletext"/>
            </w:pPr>
            <w:r w:rsidRPr="002E04BD">
              <w:t>Debt close out costs</w:t>
            </w:r>
          </w:p>
        </w:tc>
        <w:tc>
          <w:tcPr>
            <w:tcW w:w="1559" w:type="dxa"/>
            <w:shd w:val="clear" w:color="auto" w:fill="auto"/>
          </w:tcPr>
          <w:p w14:paraId="2CA11D5E" w14:textId="3C8A82BE" w:rsidR="00FE7061" w:rsidRPr="002E04BD" w:rsidRDefault="00DB3680" w:rsidP="002E04BD">
            <w:pPr>
              <w:pStyle w:val="TableFiguresBold0"/>
            </w:pPr>
            <w:r>
              <w:t>–</w:t>
            </w:r>
          </w:p>
        </w:tc>
        <w:tc>
          <w:tcPr>
            <w:tcW w:w="1418" w:type="dxa"/>
          </w:tcPr>
          <w:p w14:paraId="60C14DAA" w14:textId="28C68A04" w:rsidR="00FE7061" w:rsidRPr="009A7454" w:rsidRDefault="00FE7061" w:rsidP="00FE7061">
            <w:pPr>
              <w:pStyle w:val="TableFiguresBrackets"/>
            </w:pPr>
            <w:r w:rsidRPr="002E04BD">
              <w:t>(</w:t>
            </w:r>
            <w:r w:rsidR="00DB3680">
              <w:t>11</w:t>
            </w:r>
            <w:r w:rsidRPr="009A7454">
              <w:t>)</w:t>
            </w:r>
          </w:p>
        </w:tc>
      </w:tr>
      <w:tr w:rsidR="005F6D8A" w:rsidRPr="00DB3680" w14:paraId="0C78E96C" w14:textId="77777777" w:rsidTr="00FE7061">
        <w:trPr>
          <w:trHeight w:hRule="exact" w:val="227"/>
        </w:trPr>
        <w:tc>
          <w:tcPr>
            <w:tcW w:w="7196" w:type="dxa"/>
            <w:shd w:val="clear" w:color="auto" w:fill="auto"/>
          </w:tcPr>
          <w:p w14:paraId="67F101EF" w14:textId="77777777" w:rsidR="00FE7061" w:rsidRPr="002E04BD" w:rsidRDefault="00FE7061" w:rsidP="00FE7061">
            <w:pPr>
              <w:pStyle w:val="Tabletext"/>
            </w:pPr>
            <w:r w:rsidRPr="002E04BD">
              <w:t>Dividends received (net)</w:t>
            </w:r>
          </w:p>
        </w:tc>
        <w:tc>
          <w:tcPr>
            <w:tcW w:w="1559" w:type="dxa"/>
            <w:shd w:val="clear" w:color="auto" w:fill="auto"/>
          </w:tcPr>
          <w:p w14:paraId="23E413F4" w14:textId="63A990DF" w:rsidR="00FE7061" w:rsidRPr="002E04BD" w:rsidRDefault="00DB3680" w:rsidP="00FE7061">
            <w:pPr>
              <w:pStyle w:val="TableFiguresBold0"/>
            </w:pPr>
            <w:r>
              <w:t>33</w:t>
            </w:r>
          </w:p>
        </w:tc>
        <w:tc>
          <w:tcPr>
            <w:tcW w:w="1418" w:type="dxa"/>
          </w:tcPr>
          <w:p w14:paraId="4A452CA4" w14:textId="7B27978B" w:rsidR="00FE7061" w:rsidRPr="002E04BD" w:rsidRDefault="00DB3680" w:rsidP="00FE7061">
            <w:pPr>
              <w:pStyle w:val="TableFigures"/>
            </w:pPr>
            <w:r>
              <w:t>34</w:t>
            </w:r>
          </w:p>
        </w:tc>
      </w:tr>
      <w:tr w:rsidR="005F6D8A" w:rsidRPr="00DB3680" w14:paraId="433B5162" w14:textId="77777777" w:rsidTr="00FE7061">
        <w:trPr>
          <w:trHeight w:hRule="exact" w:val="227"/>
        </w:trPr>
        <w:tc>
          <w:tcPr>
            <w:tcW w:w="7196" w:type="dxa"/>
            <w:tcBorders>
              <w:bottom w:val="single" w:sz="4" w:space="0" w:color="A6A6A6" w:themeColor="background1" w:themeShade="A6"/>
            </w:tcBorders>
            <w:shd w:val="clear" w:color="auto" w:fill="auto"/>
          </w:tcPr>
          <w:p w14:paraId="159F9341" w14:textId="77777777" w:rsidR="00FE7061" w:rsidRPr="002E04BD" w:rsidRDefault="00FE7061" w:rsidP="00FE7061">
            <w:pPr>
              <w:pStyle w:val="Tabletext"/>
            </w:pPr>
            <w:r w:rsidRPr="002E04BD">
              <w:t>Tax paid</w:t>
            </w:r>
          </w:p>
        </w:tc>
        <w:tc>
          <w:tcPr>
            <w:tcW w:w="1559" w:type="dxa"/>
            <w:tcBorders>
              <w:bottom w:val="single" w:sz="4" w:space="0" w:color="A6A6A6" w:themeColor="background1" w:themeShade="A6"/>
            </w:tcBorders>
            <w:shd w:val="clear" w:color="auto" w:fill="auto"/>
          </w:tcPr>
          <w:p w14:paraId="25E0CEE0" w14:textId="38EDBC36" w:rsidR="00FE7061" w:rsidRPr="009A7454" w:rsidRDefault="00FE7061" w:rsidP="00FE7061">
            <w:pPr>
              <w:pStyle w:val="TableFiguresBracketsBold"/>
            </w:pPr>
            <w:r w:rsidRPr="002E04BD">
              <w:t>(</w:t>
            </w:r>
            <w:r w:rsidR="00DB3680">
              <w:t>17</w:t>
            </w:r>
            <w:r w:rsidRPr="009A7454">
              <w:t>)</w:t>
            </w:r>
          </w:p>
        </w:tc>
        <w:tc>
          <w:tcPr>
            <w:tcW w:w="1418" w:type="dxa"/>
            <w:tcBorders>
              <w:bottom w:val="single" w:sz="4" w:space="0" w:color="A6A6A6" w:themeColor="background1" w:themeShade="A6"/>
            </w:tcBorders>
          </w:tcPr>
          <w:p w14:paraId="3AD4895F" w14:textId="135A4241" w:rsidR="00FE7061" w:rsidRPr="009A7454" w:rsidRDefault="00FE7061" w:rsidP="00FE7061">
            <w:pPr>
              <w:pStyle w:val="TableFiguresBrackets"/>
            </w:pPr>
            <w:r w:rsidRPr="009A7454">
              <w:t>(</w:t>
            </w:r>
            <w:r w:rsidR="00DB3680">
              <w:t>5</w:t>
            </w:r>
            <w:r w:rsidRPr="009A7454">
              <w:t>)</w:t>
            </w:r>
          </w:p>
        </w:tc>
      </w:tr>
      <w:tr w:rsidR="005F6D8A" w:rsidRPr="00DB3680" w14:paraId="03557F7F" w14:textId="77777777" w:rsidTr="00FE7061">
        <w:trPr>
          <w:trHeight w:hRule="exact" w:val="227"/>
        </w:trPr>
        <w:tc>
          <w:tcPr>
            <w:tcW w:w="7196" w:type="dxa"/>
            <w:tcBorders>
              <w:top w:val="single" w:sz="4" w:space="0" w:color="A6A6A6" w:themeColor="background1" w:themeShade="A6"/>
            </w:tcBorders>
            <w:shd w:val="clear" w:color="auto" w:fill="auto"/>
          </w:tcPr>
          <w:p w14:paraId="55ADE31C" w14:textId="196C0579" w:rsidR="00FE7061" w:rsidRPr="002E04BD" w:rsidRDefault="00FE7061" w:rsidP="00FE7061">
            <w:pPr>
              <w:pStyle w:val="Tabletext"/>
              <w:rPr>
                <w:b/>
                <w:bCs/>
              </w:rPr>
            </w:pPr>
            <w:r w:rsidRPr="002E04BD">
              <w:rPr>
                <w:b/>
                <w:bCs/>
              </w:rPr>
              <w:t>Net cash received from operating activities</w:t>
            </w:r>
          </w:p>
        </w:tc>
        <w:tc>
          <w:tcPr>
            <w:tcW w:w="1559" w:type="dxa"/>
            <w:tcBorders>
              <w:top w:val="single" w:sz="4" w:space="0" w:color="A6A6A6" w:themeColor="background1" w:themeShade="A6"/>
            </w:tcBorders>
            <w:shd w:val="clear" w:color="auto" w:fill="auto"/>
          </w:tcPr>
          <w:p w14:paraId="0AEE8018" w14:textId="08AC7AE7" w:rsidR="00FE7061" w:rsidRPr="002E04BD" w:rsidRDefault="00DB3680" w:rsidP="00FE7061">
            <w:pPr>
              <w:pStyle w:val="TableFiguresBold0"/>
            </w:pPr>
            <w:r>
              <w:t>311</w:t>
            </w:r>
          </w:p>
        </w:tc>
        <w:tc>
          <w:tcPr>
            <w:tcW w:w="1418" w:type="dxa"/>
            <w:tcBorders>
              <w:top w:val="single" w:sz="4" w:space="0" w:color="A6A6A6" w:themeColor="background1" w:themeShade="A6"/>
            </w:tcBorders>
          </w:tcPr>
          <w:p w14:paraId="4B1A1348" w14:textId="5BF3A7BD" w:rsidR="00FE7061" w:rsidRPr="002E04BD" w:rsidRDefault="00DB3680" w:rsidP="00FE7061">
            <w:pPr>
              <w:pStyle w:val="TableFigures"/>
            </w:pPr>
            <w:r>
              <w:t>199</w:t>
            </w:r>
          </w:p>
        </w:tc>
      </w:tr>
      <w:tr w:rsidR="005F6D8A" w:rsidRPr="00DB3680" w14:paraId="428EB4EC" w14:textId="77777777" w:rsidTr="00FE7061">
        <w:trPr>
          <w:trHeight w:hRule="exact" w:val="227"/>
        </w:trPr>
        <w:tc>
          <w:tcPr>
            <w:tcW w:w="7196" w:type="dxa"/>
            <w:shd w:val="clear" w:color="auto" w:fill="auto"/>
          </w:tcPr>
          <w:p w14:paraId="0208EAE8" w14:textId="77777777" w:rsidR="00FE7061" w:rsidRPr="002E04BD" w:rsidRDefault="00FE7061" w:rsidP="00FE7061">
            <w:pPr>
              <w:pStyle w:val="Tabletext"/>
            </w:pPr>
            <w:r w:rsidRPr="002E04BD">
              <w:t>Dividends paid</w:t>
            </w:r>
          </w:p>
        </w:tc>
        <w:tc>
          <w:tcPr>
            <w:tcW w:w="1559" w:type="dxa"/>
            <w:shd w:val="clear" w:color="auto" w:fill="auto"/>
          </w:tcPr>
          <w:p w14:paraId="2B286980" w14:textId="2D76E3DD" w:rsidR="00FE7061" w:rsidRPr="009A7454" w:rsidRDefault="00FE7061" w:rsidP="00FE7061">
            <w:pPr>
              <w:pStyle w:val="TableFiguresBracketsBold"/>
            </w:pPr>
            <w:r w:rsidRPr="002E04BD">
              <w:t>(</w:t>
            </w:r>
            <w:r w:rsidR="00DB3680">
              <w:t>180</w:t>
            </w:r>
            <w:r w:rsidRPr="009A7454">
              <w:t>)</w:t>
            </w:r>
          </w:p>
        </w:tc>
        <w:tc>
          <w:tcPr>
            <w:tcW w:w="1418" w:type="dxa"/>
          </w:tcPr>
          <w:p w14:paraId="573C442C" w14:textId="451065D5" w:rsidR="00FE7061" w:rsidRPr="009A7454" w:rsidRDefault="00FE7061" w:rsidP="00FE7061">
            <w:pPr>
              <w:pStyle w:val="TableFiguresBrackets"/>
            </w:pPr>
            <w:r w:rsidRPr="009A7454">
              <w:t>(1</w:t>
            </w:r>
            <w:r w:rsidR="00DB3680">
              <w:t>79</w:t>
            </w:r>
            <w:r w:rsidRPr="009A7454">
              <w:t>)</w:t>
            </w:r>
          </w:p>
        </w:tc>
      </w:tr>
      <w:tr w:rsidR="005F6D8A" w:rsidRPr="00DB3680" w14:paraId="3DCCD0D4" w14:textId="77777777" w:rsidTr="00FE7061">
        <w:trPr>
          <w:trHeight w:hRule="exact" w:val="227"/>
        </w:trPr>
        <w:tc>
          <w:tcPr>
            <w:tcW w:w="7196" w:type="dxa"/>
            <w:shd w:val="clear" w:color="auto" w:fill="auto"/>
          </w:tcPr>
          <w:p w14:paraId="77BFA8AF" w14:textId="211F8056" w:rsidR="00FE7061" w:rsidRPr="002E04BD" w:rsidRDefault="00A47D38" w:rsidP="00FE7061">
            <w:pPr>
              <w:pStyle w:val="Tabletext"/>
            </w:pPr>
            <w:r>
              <w:t>Purchase</w:t>
            </w:r>
            <w:r w:rsidR="00FE7061" w:rsidRPr="002E04BD">
              <w:t xml:space="preserve"> and development of investment properties</w:t>
            </w:r>
          </w:p>
        </w:tc>
        <w:tc>
          <w:tcPr>
            <w:tcW w:w="1559" w:type="dxa"/>
            <w:shd w:val="clear" w:color="auto" w:fill="auto"/>
          </w:tcPr>
          <w:p w14:paraId="0EB73172" w14:textId="04B98E16" w:rsidR="00FE7061" w:rsidRPr="009A7454" w:rsidRDefault="00FE7061" w:rsidP="00FE7061">
            <w:pPr>
              <w:pStyle w:val="TableFiguresBracketsBold"/>
            </w:pPr>
            <w:r w:rsidRPr="002E04BD">
              <w:t>(1,</w:t>
            </w:r>
            <w:r w:rsidR="00DB3680">
              <w:t>706)</w:t>
            </w:r>
          </w:p>
        </w:tc>
        <w:tc>
          <w:tcPr>
            <w:tcW w:w="1418" w:type="dxa"/>
          </w:tcPr>
          <w:p w14:paraId="0F3F8208" w14:textId="5D8C9611" w:rsidR="00FE7061" w:rsidRPr="009A7454" w:rsidRDefault="00FE7061" w:rsidP="00FE7061">
            <w:pPr>
              <w:pStyle w:val="TableFiguresBrackets"/>
            </w:pPr>
            <w:r w:rsidRPr="009A7454">
              <w:t>(</w:t>
            </w:r>
            <w:r w:rsidR="00DB3680">
              <w:t>1,216</w:t>
            </w:r>
            <w:r w:rsidRPr="009A7454">
              <w:t>)</w:t>
            </w:r>
          </w:p>
        </w:tc>
      </w:tr>
      <w:tr w:rsidR="005F6D8A" w:rsidRPr="00DB3680" w14:paraId="3A4D85A9" w14:textId="77777777" w:rsidTr="00FE7061">
        <w:trPr>
          <w:trHeight w:hRule="exact" w:val="227"/>
        </w:trPr>
        <w:tc>
          <w:tcPr>
            <w:tcW w:w="7196" w:type="dxa"/>
            <w:shd w:val="clear" w:color="auto" w:fill="auto"/>
          </w:tcPr>
          <w:p w14:paraId="75741A2C" w14:textId="1FE41CAC" w:rsidR="00FE7061" w:rsidRPr="002E04BD" w:rsidRDefault="0040221E" w:rsidP="00FE7061">
            <w:pPr>
              <w:pStyle w:val="Tabletext"/>
            </w:pPr>
            <w:r w:rsidRPr="002E04BD">
              <w:t>Sale of investment properties</w:t>
            </w:r>
            <w:r w:rsidR="00FE7061" w:rsidRPr="002E04BD">
              <w:t xml:space="preserve"> </w:t>
            </w:r>
          </w:p>
        </w:tc>
        <w:tc>
          <w:tcPr>
            <w:tcW w:w="1559" w:type="dxa"/>
            <w:shd w:val="clear" w:color="auto" w:fill="auto"/>
          </w:tcPr>
          <w:p w14:paraId="021CFCEE" w14:textId="7565ED3A" w:rsidR="00FE7061" w:rsidRPr="002E04BD" w:rsidRDefault="00DB3680" w:rsidP="00FE7061">
            <w:pPr>
              <w:pStyle w:val="TableFiguresBold0"/>
            </w:pPr>
            <w:r>
              <w:t>491</w:t>
            </w:r>
          </w:p>
        </w:tc>
        <w:tc>
          <w:tcPr>
            <w:tcW w:w="1418" w:type="dxa"/>
          </w:tcPr>
          <w:p w14:paraId="5917A1CA" w14:textId="624ACF37" w:rsidR="00FE7061" w:rsidRPr="002E04BD" w:rsidRDefault="00DB3680" w:rsidP="00FE7061">
            <w:pPr>
              <w:pStyle w:val="TableFigures"/>
            </w:pPr>
            <w:r>
              <w:t>159</w:t>
            </w:r>
          </w:p>
        </w:tc>
      </w:tr>
      <w:tr w:rsidR="005F6D8A" w:rsidRPr="00DB3680" w14:paraId="6FD7DFA7" w14:textId="77777777" w:rsidTr="00FE7061">
        <w:trPr>
          <w:trHeight w:hRule="exact" w:val="227"/>
        </w:trPr>
        <w:tc>
          <w:tcPr>
            <w:tcW w:w="7196" w:type="dxa"/>
            <w:shd w:val="clear" w:color="auto" w:fill="auto"/>
          </w:tcPr>
          <w:p w14:paraId="4B0D656F" w14:textId="77777777" w:rsidR="00FE7061" w:rsidRPr="002E04BD" w:rsidRDefault="00FE7061" w:rsidP="00FE7061">
            <w:pPr>
              <w:pStyle w:val="Tabletext"/>
            </w:pPr>
            <w:r w:rsidRPr="002E04BD">
              <w:t>Acquisition of interests in property and other investments</w:t>
            </w:r>
          </w:p>
        </w:tc>
        <w:tc>
          <w:tcPr>
            <w:tcW w:w="1559" w:type="dxa"/>
            <w:shd w:val="clear" w:color="auto" w:fill="auto"/>
          </w:tcPr>
          <w:p w14:paraId="5BF92046" w14:textId="6AFC68A3" w:rsidR="00FE7061" w:rsidRPr="009A7454" w:rsidRDefault="00FE7061" w:rsidP="00FE7061">
            <w:pPr>
              <w:pStyle w:val="TableFiguresBracketsBold"/>
            </w:pPr>
            <w:r w:rsidRPr="002E04BD">
              <w:t>(</w:t>
            </w:r>
            <w:r w:rsidR="00DB3680">
              <w:t>12</w:t>
            </w:r>
            <w:r w:rsidRPr="009A7454">
              <w:t>)</w:t>
            </w:r>
          </w:p>
        </w:tc>
        <w:tc>
          <w:tcPr>
            <w:tcW w:w="1418" w:type="dxa"/>
          </w:tcPr>
          <w:p w14:paraId="672B2CB3" w14:textId="7047387D" w:rsidR="00FE7061" w:rsidRPr="009A7454" w:rsidRDefault="00FE7061" w:rsidP="00FE7061">
            <w:pPr>
              <w:pStyle w:val="TableFiguresBrackets"/>
            </w:pPr>
            <w:r w:rsidRPr="009A7454">
              <w:t>(</w:t>
            </w:r>
            <w:r w:rsidR="00DB3680">
              <w:t>4</w:t>
            </w:r>
            <w:r w:rsidRPr="009A7454">
              <w:t>)</w:t>
            </w:r>
          </w:p>
        </w:tc>
      </w:tr>
      <w:tr w:rsidR="005F6D8A" w:rsidRPr="00DB3680" w14:paraId="4A4E30E0" w14:textId="77777777" w:rsidTr="00FE7061">
        <w:trPr>
          <w:trHeight w:hRule="exact" w:val="227"/>
        </w:trPr>
        <w:tc>
          <w:tcPr>
            <w:tcW w:w="7196" w:type="dxa"/>
            <w:shd w:val="clear" w:color="auto" w:fill="auto"/>
          </w:tcPr>
          <w:p w14:paraId="47AC0A9F" w14:textId="428532DC" w:rsidR="00FE7061" w:rsidRPr="002E04BD" w:rsidRDefault="00FE7061" w:rsidP="00FE7061">
            <w:pPr>
              <w:pStyle w:val="Tabletext"/>
            </w:pPr>
            <w:r w:rsidRPr="002E04BD">
              <w:t>Net investment in joint ventures</w:t>
            </w:r>
          </w:p>
        </w:tc>
        <w:tc>
          <w:tcPr>
            <w:tcW w:w="1559" w:type="dxa"/>
            <w:shd w:val="clear" w:color="auto" w:fill="auto"/>
          </w:tcPr>
          <w:p w14:paraId="2E204077" w14:textId="774EF63D" w:rsidR="00FE7061" w:rsidRPr="002E04BD" w:rsidRDefault="00FE7061" w:rsidP="002A206B">
            <w:pPr>
              <w:pStyle w:val="TableFiguresBracketsBold"/>
            </w:pPr>
            <w:r w:rsidRPr="002E04BD">
              <w:t>(39)</w:t>
            </w:r>
          </w:p>
        </w:tc>
        <w:tc>
          <w:tcPr>
            <w:tcW w:w="1418" w:type="dxa"/>
          </w:tcPr>
          <w:p w14:paraId="1640DC1C" w14:textId="2B49727B" w:rsidR="00FE7061" w:rsidRPr="009A7454" w:rsidRDefault="00FE7061" w:rsidP="00FE7061">
            <w:pPr>
              <w:pStyle w:val="TableFiguresBrackets"/>
            </w:pPr>
            <w:r w:rsidRPr="002E04BD">
              <w:t>(</w:t>
            </w:r>
            <w:r w:rsidR="00DB3680">
              <w:t>40</w:t>
            </w:r>
            <w:r w:rsidRPr="009A7454">
              <w:t>)</w:t>
            </w:r>
          </w:p>
        </w:tc>
      </w:tr>
      <w:tr w:rsidR="005F6D8A" w:rsidRPr="00DB3680" w14:paraId="5E5EE3C2" w14:textId="77777777" w:rsidTr="00FE7061">
        <w:trPr>
          <w:trHeight w:hRule="exact" w:val="227"/>
        </w:trPr>
        <w:tc>
          <w:tcPr>
            <w:tcW w:w="7196" w:type="dxa"/>
            <w:shd w:val="clear" w:color="auto" w:fill="auto"/>
          </w:tcPr>
          <w:p w14:paraId="57C8C892" w14:textId="77777777" w:rsidR="00FE7061" w:rsidRPr="002E04BD" w:rsidRDefault="00FE7061" w:rsidP="00FE7061">
            <w:pPr>
              <w:pStyle w:val="Tabletext"/>
            </w:pPr>
            <w:r w:rsidRPr="002E04BD">
              <w:t xml:space="preserve">Net settlement of foreign exchange derivatives </w:t>
            </w:r>
          </w:p>
        </w:tc>
        <w:tc>
          <w:tcPr>
            <w:tcW w:w="1559" w:type="dxa"/>
            <w:shd w:val="clear" w:color="auto" w:fill="auto"/>
          </w:tcPr>
          <w:p w14:paraId="4CC3711D" w14:textId="3BB996F3" w:rsidR="00FE7061" w:rsidRPr="002E04BD" w:rsidRDefault="00DB3680" w:rsidP="002E04BD">
            <w:pPr>
              <w:pStyle w:val="TableFiguresBold0"/>
            </w:pPr>
            <w:r>
              <w:t>40</w:t>
            </w:r>
          </w:p>
        </w:tc>
        <w:tc>
          <w:tcPr>
            <w:tcW w:w="1418" w:type="dxa"/>
          </w:tcPr>
          <w:p w14:paraId="71941F7E" w14:textId="59E0BFF1" w:rsidR="00FE7061" w:rsidRPr="002E04BD" w:rsidRDefault="00DB3680" w:rsidP="00FE7061">
            <w:pPr>
              <w:pStyle w:val="TableFiguresBrackets"/>
            </w:pPr>
            <w:r>
              <w:t>(55)</w:t>
            </w:r>
          </w:p>
        </w:tc>
      </w:tr>
      <w:tr w:rsidR="005F6D8A" w:rsidRPr="00DB3680" w14:paraId="57A52694" w14:textId="77777777" w:rsidTr="00FE7061">
        <w:trPr>
          <w:trHeight w:hRule="exact" w:val="227"/>
        </w:trPr>
        <w:tc>
          <w:tcPr>
            <w:tcW w:w="7196" w:type="dxa"/>
            <w:shd w:val="clear" w:color="auto" w:fill="auto"/>
          </w:tcPr>
          <w:p w14:paraId="79547885" w14:textId="77777777" w:rsidR="00FE7061" w:rsidRPr="002E04BD" w:rsidRDefault="00FE7061" w:rsidP="00FE7061">
            <w:pPr>
              <w:pStyle w:val="Tabletext"/>
            </w:pPr>
            <w:r w:rsidRPr="002E04BD">
              <w:t>Proceeds from issue of ordinary shares</w:t>
            </w:r>
          </w:p>
        </w:tc>
        <w:tc>
          <w:tcPr>
            <w:tcW w:w="1559" w:type="dxa"/>
            <w:shd w:val="clear" w:color="auto" w:fill="auto"/>
          </w:tcPr>
          <w:p w14:paraId="38A072F7" w14:textId="1E306E53" w:rsidR="00FE7061" w:rsidRPr="002E04BD" w:rsidRDefault="00DB3680" w:rsidP="00FE7061">
            <w:pPr>
              <w:pStyle w:val="TableFiguresBold0"/>
            </w:pPr>
            <w:r>
              <w:t>1</w:t>
            </w:r>
          </w:p>
        </w:tc>
        <w:tc>
          <w:tcPr>
            <w:tcW w:w="1418" w:type="dxa"/>
          </w:tcPr>
          <w:p w14:paraId="5703C31B" w14:textId="43051D99" w:rsidR="00FE7061" w:rsidRPr="002E04BD" w:rsidRDefault="00DB3680" w:rsidP="00FE7061">
            <w:pPr>
              <w:pStyle w:val="TableFigures"/>
            </w:pPr>
            <w:r>
              <w:t>672</w:t>
            </w:r>
          </w:p>
        </w:tc>
      </w:tr>
      <w:tr w:rsidR="00DB3680" w:rsidRPr="00DB3680" w14:paraId="4CFBBFB8" w14:textId="77777777" w:rsidTr="00FE7061">
        <w:trPr>
          <w:trHeight w:hRule="exact" w:val="227"/>
        </w:trPr>
        <w:tc>
          <w:tcPr>
            <w:tcW w:w="7196" w:type="dxa"/>
            <w:shd w:val="clear" w:color="auto" w:fill="auto"/>
          </w:tcPr>
          <w:p w14:paraId="08CF4CF1" w14:textId="035E935E" w:rsidR="00DB3680" w:rsidRPr="008239CB" w:rsidRDefault="00DB3680" w:rsidP="00FE7061">
            <w:pPr>
              <w:pStyle w:val="Tabletext"/>
            </w:pPr>
            <w:r>
              <w:t>Purchase of non-controlling interest</w:t>
            </w:r>
          </w:p>
        </w:tc>
        <w:tc>
          <w:tcPr>
            <w:tcW w:w="1559" w:type="dxa"/>
            <w:shd w:val="clear" w:color="auto" w:fill="auto"/>
          </w:tcPr>
          <w:p w14:paraId="13C77712" w14:textId="769AB397" w:rsidR="00DB3680" w:rsidRPr="008239CB" w:rsidDel="00DB3680" w:rsidRDefault="00DB3680" w:rsidP="002E04BD">
            <w:pPr>
              <w:pStyle w:val="TableFiguresBracketsBold"/>
            </w:pPr>
            <w:r>
              <w:t>(12)</w:t>
            </w:r>
          </w:p>
        </w:tc>
        <w:tc>
          <w:tcPr>
            <w:tcW w:w="1418" w:type="dxa"/>
          </w:tcPr>
          <w:p w14:paraId="662FA5E2" w14:textId="27E8922E" w:rsidR="00DB3680" w:rsidRPr="008239CB" w:rsidDel="00DB3680" w:rsidRDefault="00DB3680" w:rsidP="00FE7061">
            <w:pPr>
              <w:pStyle w:val="TableFigures"/>
            </w:pPr>
            <w:r>
              <w:t>–</w:t>
            </w:r>
          </w:p>
        </w:tc>
      </w:tr>
      <w:tr w:rsidR="005F6D8A" w:rsidRPr="00DB3680" w14:paraId="1B2838E2" w14:textId="77777777" w:rsidTr="00FE7061">
        <w:trPr>
          <w:trHeight w:hRule="exact" w:val="227"/>
        </w:trPr>
        <w:tc>
          <w:tcPr>
            <w:tcW w:w="7196" w:type="dxa"/>
            <w:tcBorders>
              <w:bottom w:val="single" w:sz="4" w:space="0" w:color="A6A6A6"/>
            </w:tcBorders>
            <w:shd w:val="clear" w:color="auto" w:fill="auto"/>
          </w:tcPr>
          <w:p w14:paraId="75C5D334" w14:textId="77777777" w:rsidR="00FE7061" w:rsidRPr="002E04BD" w:rsidRDefault="00FE7061" w:rsidP="00FE7061">
            <w:pPr>
              <w:pStyle w:val="Tabletext"/>
            </w:pPr>
            <w:r w:rsidRPr="002E04BD">
              <w:t>Other items</w:t>
            </w:r>
          </w:p>
        </w:tc>
        <w:tc>
          <w:tcPr>
            <w:tcW w:w="1559" w:type="dxa"/>
            <w:tcBorders>
              <w:bottom w:val="single" w:sz="4" w:space="0" w:color="A6A6A6"/>
            </w:tcBorders>
            <w:shd w:val="clear" w:color="auto" w:fill="auto"/>
          </w:tcPr>
          <w:p w14:paraId="4144711E" w14:textId="364D604F" w:rsidR="00FE7061" w:rsidRPr="002E04BD" w:rsidRDefault="00D964CC" w:rsidP="00DC4F14">
            <w:pPr>
              <w:pStyle w:val="TableFiguresBracketsBold"/>
            </w:pPr>
            <w:r w:rsidRPr="002E04BD">
              <w:t>(</w:t>
            </w:r>
            <w:r w:rsidR="00DB3680">
              <w:t>8</w:t>
            </w:r>
            <w:r w:rsidRPr="002E04BD">
              <w:t>)</w:t>
            </w:r>
          </w:p>
        </w:tc>
        <w:tc>
          <w:tcPr>
            <w:tcW w:w="1418" w:type="dxa"/>
            <w:tcBorders>
              <w:bottom w:val="single" w:sz="4" w:space="0" w:color="A6A6A6"/>
            </w:tcBorders>
          </w:tcPr>
          <w:p w14:paraId="093D51F4" w14:textId="5174757D" w:rsidR="00FE7061" w:rsidRPr="002E04BD" w:rsidRDefault="00DB3680" w:rsidP="002E04BD">
            <w:pPr>
              <w:pStyle w:val="TableFiguresBrackets"/>
            </w:pPr>
            <w:r>
              <w:t>(4)</w:t>
            </w:r>
          </w:p>
        </w:tc>
      </w:tr>
      <w:tr w:rsidR="005F6D8A" w:rsidRPr="00DB3680" w14:paraId="660AD08A" w14:textId="77777777" w:rsidTr="00FE7061">
        <w:trPr>
          <w:trHeight w:hRule="exact" w:val="227"/>
        </w:trPr>
        <w:tc>
          <w:tcPr>
            <w:tcW w:w="7196" w:type="dxa"/>
            <w:tcBorders>
              <w:top w:val="single" w:sz="4" w:space="0" w:color="A6A6A6"/>
            </w:tcBorders>
            <w:shd w:val="clear" w:color="auto" w:fill="auto"/>
          </w:tcPr>
          <w:p w14:paraId="711AF75D" w14:textId="77777777" w:rsidR="00FE7061" w:rsidRPr="002E04BD" w:rsidRDefault="00FE7061" w:rsidP="00FE7061">
            <w:pPr>
              <w:pStyle w:val="Tabletext"/>
              <w:rPr>
                <w:b/>
                <w:bCs/>
              </w:rPr>
            </w:pPr>
            <w:r w:rsidRPr="002E04BD">
              <w:rPr>
                <w:b/>
                <w:bCs/>
              </w:rPr>
              <w:t>Net funds flow</w:t>
            </w:r>
          </w:p>
        </w:tc>
        <w:tc>
          <w:tcPr>
            <w:tcW w:w="1559" w:type="dxa"/>
            <w:tcBorders>
              <w:top w:val="single" w:sz="4" w:space="0" w:color="A6A6A6"/>
            </w:tcBorders>
            <w:shd w:val="clear" w:color="auto" w:fill="auto"/>
          </w:tcPr>
          <w:p w14:paraId="32908CA5" w14:textId="7BCC1E7D" w:rsidR="00FE7061" w:rsidRPr="009A7454" w:rsidRDefault="00D964CC" w:rsidP="00DC4F14">
            <w:pPr>
              <w:pStyle w:val="TableFiguresBracketsBold"/>
            </w:pPr>
            <w:r w:rsidRPr="002E04BD">
              <w:t>(</w:t>
            </w:r>
            <w:r w:rsidR="00DB3680">
              <w:t>1,114</w:t>
            </w:r>
            <w:r w:rsidRPr="009A7454">
              <w:t>)</w:t>
            </w:r>
          </w:p>
        </w:tc>
        <w:tc>
          <w:tcPr>
            <w:tcW w:w="1418" w:type="dxa"/>
            <w:tcBorders>
              <w:top w:val="single" w:sz="4" w:space="0" w:color="A6A6A6"/>
            </w:tcBorders>
          </w:tcPr>
          <w:p w14:paraId="40FDBDB3" w14:textId="60BA98B2" w:rsidR="00FE7061" w:rsidRPr="009A7454" w:rsidRDefault="00DB3680" w:rsidP="002E04BD">
            <w:pPr>
              <w:pStyle w:val="TableFiguresBrackets"/>
            </w:pPr>
            <w:r>
              <w:t>(468)</w:t>
            </w:r>
          </w:p>
        </w:tc>
      </w:tr>
      <w:tr w:rsidR="005F6D8A" w:rsidRPr="00DB3680" w14:paraId="77E3729D" w14:textId="77777777" w:rsidTr="00FE7061">
        <w:trPr>
          <w:trHeight w:hRule="exact" w:val="227"/>
        </w:trPr>
        <w:tc>
          <w:tcPr>
            <w:tcW w:w="7196" w:type="dxa"/>
            <w:shd w:val="clear" w:color="auto" w:fill="auto"/>
          </w:tcPr>
          <w:p w14:paraId="47EF2C5A" w14:textId="77777777" w:rsidR="00FE7061" w:rsidRPr="002E04BD" w:rsidDel="00AA3193" w:rsidRDefault="00FE7061" w:rsidP="00FE7061">
            <w:pPr>
              <w:pStyle w:val="Tabletext"/>
            </w:pPr>
            <w:r w:rsidRPr="002E04BD">
              <w:t>Non-cash movements</w:t>
            </w:r>
          </w:p>
        </w:tc>
        <w:tc>
          <w:tcPr>
            <w:tcW w:w="1559" w:type="dxa"/>
            <w:shd w:val="clear" w:color="auto" w:fill="auto"/>
          </w:tcPr>
          <w:p w14:paraId="3D8559F4" w14:textId="7180C518" w:rsidR="00FE7061" w:rsidRPr="009A7454" w:rsidDel="00AA3193" w:rsidRDefault="00F86FF3" w:rsidP="00FE7061">
            <w:pPr>
              <w:pStyle w:val="TableFiguresBracketsBold"/>
            </w:pPr>
            <w:r w:rsidRPr="002E04BD">
              <w:t>(</w:t>
            </w:r>
            <w:r w:rsidR="00DB3680">
              <w:t>3</w:t>
            </w:r>
            <w:r w:rsidRPr="009A7454">
              <w:t>)</w:t>
            </w:r>
          </w:p>
        </w:tc>
        <w:tc>
          <w:tcPr>
            <w:tcW w:w="1418" w:type="dxa"/>
          </w:tcPr>
          <w:p w14:paraId="3B6ED0FC" w14:textId="74162127" w:rsidR="00FE7061" w:rsidRPr="009A7454" w:rsidRDefault="00FE7061" w:rsidP="00FE7061">
            <w:pPr>
              <w:pStyle w:val="TableFiguresBrackets"/>
            </w:pPr>
            <w:r w:rsidRPr="009A7454">
              <w:t>(</w:t>
            </w:r>
            <w:r w:rsidR="00DB3680">
              <w:t>3</w:t>
            </w:r>
            <w:r w:rsidRPr="009A7454">
              <w:t>)</w:t>
            </w:r>
          </w:p>
        </w:tc>
      </w:tr>
      <w:tr w:rsidR="005F6D8A" w:rsidRPr="00DB3680" w14:paraId="4DFBE54B" w14:textId="77777777" w:rsidTr="00FE7061">
        <w:trPr>
          <w:trHeight w:hRule="exact" w:val="227"/>
        </w:trPr>
        <w:tc>
          <w:tcPr>
            <w:tcW w:w="7196" w:type="dxa"/>
            <w:shd w:val="clear" w:color="auto" w:fill="auto"/>
          </w:tcPr>
          <w:p w14:paraId="26A365D6" w14:textId="223F5E39" w:rsidR="00FE7061" w:rsidRPr="002E04BD" w:rsidRDefault="00FE7061" w:rsidP="00FE7061">
            <w:pPr>
              <w:pStyle w:val="Tabletext"/>
            </w:pPr>
            <w:r w:rsidRPr="002E04BD">
              <w:t>Exchange rate movements</w:t>
            </w:r>
          </w:p>
        </w:tc>
        <w:tc>
          <w:tcPr>
            <w:tcW w:w="1559" w:type="dxa"/>
            <w:shd w:val="clear" w:color="auto" w:fill="auto"/>
          </w:tcPr>
          <w:p w14:paraId="658692B0" w14:textId="1002C3B1" w:rsidR="00FE7061" w:rsidRPr="002E04BD" w:rsidRDefault="00DB3680" w:rsidP="002E04BD">
            <w:pPr>
              <w:pStyle w:val="TableFiguresBold0"/>
            </w:pPr>
            <w:r>
              <w:t>81</w:t>
            </w:r>
          </w:p>
        </w:tc>
        <w:tc>
          <w:tcPr>
            <w:tcW w:w="1418" w:type="dxa"/>
          </w:tcPr>
          <w:p w14:paraId="76B662DE" w14:textId="551A0DC7" w:rsidR="00FE7061" w:rsidRPr="002E04BD" w:rsidRDefault="00DB3680" w:rsidP="002E04BD">
            <w:pPr>
              <w:pStyle w:val="TableFiguresBrackets"/>
            </w:pPr>
            <w:r>
              <w:t>(31)</w:t>
            </w:r>
          </w:p>
        </w:tc>
      </w:tr>
      <w:tr w:rsidR="005F6D8A" w:rsidRPr="00DB3680" w14:paraId="156400C1" w14:textId="77777777" w:rsidTr="002A206B">
        <w:trPr>
          <w:trHeight w:hRule="exact" w:val="227"/>
        </w:trPr>
        <w:tc>
          <w:tcPr>
            <w:tcW w:w="7196" w:type="dxa"/>
            <w:shd w:val="clear" w:color="auto" w:fill="auto"/>
          </w:tcPr>
          <w:p w14:paraId="6BB0E459" w14:textId="07BEDC71" w:rsidR="00FE7061" w:rsidRPr="002E04BD" w:rsidDel="00AA3193" w:rsidRDefault="00FE7061" w:rsidP="00FE7061">
            <w:pPr>
              <w:pStyle w:val="Tabletext"/>
            </w:pPr>
            <w:r w:rsidRPr="002E04BD">
              <w:t>Gross debt acquired</w:t>
            </w:r>
          </w:p>
        </w:tc>
        <w:tc>
          <w:tcPr>
            <w:tcW w:w="1559" w:type="dxa"/>
            <w:shd w:val="clear" w:color="auto" w:fill="auto"/>
          </w:tcPr>
          <w:p w14:paraId="7C351926" w14:textId="638F7923" w:rsidR="00FE7061" w:rsidRPr="002E04BD" w:rsidDel="00AA3193" w:rsidRDefault="00DB3680" w:rsidP="002E04BD">
            <w:pPr>
              <w:pStyle w:val="TableFiguresBold0"/>
            </w:pPr>
            <w:r>
              <w:t>–</w:t>
            </w:r>
          </w:p>
        </w:tc>
        <w:tc>
          <w:tcPr>
            <w:tcW w:w="1418" w:type="dxa"/>
            <w:shd w:val="clear" w:color="auto" w:fill="auto"/>
          </w:tcPr>
          <w:p w14:paraId="27C8B2E0" w14:textId="1227187F" w:rsidR="00FE7061" w:rsidRPr="002E04BD" w:rsidRDefault="00DB3680" w:rsidP="002E04BD">
            <w:pPr>
              <w:pStyle w:val="TableFiguresBrackets"/>
            </w:pPr>
            <w:r>
              <w:t>(12)</w:t>
            </w:r>
          </w:p>
        </w:tc>
      </w:tr>
      <w:tr w:rsidR="005F6D8A" w:rsidRPr="00DB3680" w14:paraId="2BD9D0E1" w14:textId="77777777" w:rsidTr="00FE7061">
        <w:trPr>
          <w:trHeight w:hRule="exact" w:val="227"/>
        </w:trPr>
        <w:tc>
          <w:tcPr>
            <w:tcW w:w="7196" w:type="dxa"/>
            <w:tcBorders>
              <w:top w:val="single" w:sz="4" w:space="0" w:color="A6A6A6"/>
              <w:bottom w:val="single" w:sz="4" w:space="0" w:color="A6A6A6"/>
            </w:tcBorders>
            <w:shd w:val="clear" w:color="auto" w:fill="auto"/>
          </w:tcPr>
          <w:p w14:paraId="65333E8B" w14:textId="77777777" w:rsidR="00FE7061" w:rsidRPr="002E04BD" w:rsidDel="00AA3193" w:rsidRDefault="00FE7061" w:rsidP="00FE7061">
            <w:pPr>
              <w:pStyle w:val="Tabletext"/>
              <w:rPr>
                <w:b/>
                <w:bCs/>
              </w:rPr>
            </w:pPr>
            <w:r w:rsidRPr="002E04BD">
              <w:rPr>
                <w:b/>
                <w:bCs/>
              </w:rPr>
              <w:t>Closing net debt</w:t>
            </w:r>
          </w:p>
        </w:tc>
        <w:tc>
          <w:tcPr>
            <w:tcW w:w="1559" w:type="dxa"/>
            <w:tcBorders>
              <w:top w:val="single" w:sz="4" w:space="0" w:color="A6A6A6"/>
              <w:bottom w:val="single" w:sz="4" w:space="0" w:color="A6A6A6"/>
            </w:tcBorders>
            <w:shd w:val="clear" w:color="auto" w:fill="auto"/>
          </w:tcPr>
          <w:p w14:paraId="79F34890" w14:textId="00E37F61" w:rsidR="00FE7061" w:rsidRPr="009A7454" w:rsidDel="00AA3193" w:rsidRDefault="00FE7061" w:rsidP="00FE7061">
            <w:pPr>
              <w:pStyle w:val="TableFiguresBracketsBold"/>
            </w:pPr>
            <w:r w:rsidRPr="002E04BD">
              <w:t>(</w:t>
            </w:r>
            <w:r w:rsidR="00DB3680">
              <w:t>3,361</w:t>
            </w:r>
            <w:r w:rsidRPr="009A7454">
              <w:t>)</w:t>
            </w:r>
          </w:p>
        </w:tc>
        <w:tc>
          <w:tcPr>
            <w:tcW w:w="1418" w:type="dxa"/>
            <w:tcBorders>
              <w:top w:val="single" w:sz="4" w:space="0" w:color="A6A6A6"/>
              <w:bottom w:val="single" w:sz="4" w:space="0" w:color="A6A6A6"/>
            </w:tcBorders>
          </w:tcPr>
          <w:p w14:paraId="0FD849F2" w14:textId="329A6B67" w:rsidR="00FE7061" w:rsidRPr="002E04BD" w:rsidRDefault="00FE7061" w:rsidP="00FE7061">
            <w:pPr>
              <w:pStyle w:val="TableFiguresBrackets"/>
            </w:pPr>
            <w:r w:rsidRPr="009A7454">
              <w:t>(</w:t>
            </w:r>
            <w:r w:rsidR="00DB3680">
              <w:t>2,325</w:t>
            </w:r>
            <w:r w:rsidRPr="009A7454">
              <w:t>)</w:t>
            </w:r>
          </w:p>
        </w:tc>
      </w:tr>
    </w:tbl>
    <w:p w14:paraId="4D53C889" w14:textId="77777777" w:rsidR="005E793C" w:rsidRPr="00426F61" w:rsidRDefault="005E793C" w:rsidP="005E793C">
      <w:pPr>
        <w:pStyle w:val="Heading3"/>
      </w:pPr>
      <w:r w:rsidRPr="00426F61">
        <w:t>Capital expenditure</w:t>
      </w:r>
    </w:p>
    <w:p w14:paraId="72479F05" w14:textId="6A072DFD" w:rsidR="00426F61" w:rsidRDefault="00DB3680" w:rsidP="005E793C">
      <w:pPr>
        <w:pStyle w:val="Normal1"/>
      </w:pPr>
      <w:r w:rsidRPr="002E04BD">
        <w:t xml:space="preserve">The table below </w:t>
      </w:r>
      <w:r w:rsidR="00426F61" w:rsidRPr="00DB3680">
        <w:t>sets</w:t>
      </w:r>
      <w:r w:rsidR="00426F61">
        <w:t xml:space="preserve"> out analysis of the capital expenditure during the year. This includes acquisition and development spend, on an accruals basis, in respect of the Group’s wholly-owned investment and trading property portfolios, as well as the equivalent amounts for joint ventures, at share. </w:t>
      </w:r>
    </w:p>
    <w:p w14:paraId="36111E38" w14:textId="0AD1E30C" w:rsidR="00426F61" w:rsidRDefault="00426F61" w:rsidP="005E793C">
      <w:pPr>
        <w:pStyle w:val="Normal1"/>
      </w:pPr>
      <w:r>
        <w:t>Total spend for the year was £2,166 million, an increase of £619 million compared to 2020. More detail on</w:t>
      </w:r>
      <w:r w:rsidR="00E632E7">
        <w:t xml:space="preserve"> developments and </w:t>
      </w:r>
      <w:r>
        <w:t>acquisitions can be found in the</w:t>
      </w:r>
      <w:r w:rsidR="00E632E7">
        <w:t xml:space="preserve"> Portfolio</w:t>
      </w:r>
      <w:r>
        <w:t xml:space="preserve"> Update </w:t>
      </w:r>
      <w:r w:rsidR="00A47D38">
        <w:t xml:space="preserve">above. </w:t>
      </w:r>
      <w:r>
        <w:t xml:space="preserve"> </w:t>
      </w:r>
    </w:p>
    <w:p w14:paraId="0F262CD0" w14:textId="77777777" w:rsidR="00426F61" w:rsidRDefault="00426F61" w:rsidP="005E793C">
      <w:pPr>
        <w:pStyle w:val="Normal1"/>
      </w:pPr>
      <w:r>
        <w:t xml:space="preserve">Development capital expenditure of £649 million was spent in the year (2020: £531 million) across all our Business Units, particularly Southern Europe and National Logistics, reflecting our development-led growth strategy. </w:t>
      </w:r>
    </w:p>
    <w:p w14:paraId="16D6BB83" w14:textId="77777777" w:rsidR="00A06708" w:rsidRDefault="00426F61" w:rsidP="005E793C">
      <w:pPr>
        <w:pStyle w:val="Normal1"/>
      </w:pPr>
      <w:r>
        <w:t xml:space="preserve">Development spend incorporates interest capitalised of £10 million (2020: £8 million) including joint ventures at share. </w:t>
      </w:r>
    </w:p>
    <w:p w14:paraId="622045DD" w14:textId="25FB2B58" w:rsidR="00426F61" w:rsidRDefault="00426F61" w:rsidP="005E793C">
      <w:pPr>
        <w:pStyle w:val="Normal1"/>
      </w:pPr>
      <w:r>
        <w:t>Spend on existing completed properties, totalled £45 million (2020: £40 million), of which £30 million (2020: £24 million) was for major refurbishment, infrastructure and fit</w:t>
      </w:r>
      <w:r w:rsidR="00332F56">
        <w:t>-</w:t>
      </w:r>
      <w:r>
        <w:t>out costs prior to re-letting. The balance mainly comprises more minor refurbishment and fit-out costs, which equates to 4 per cent of Adjusted profit before tax and less than 1 per cent of total spend. Of the total spend on completed properties £5 million (2020: £3 million) increased lettable space.</w:t>
      </w:r>
    </w:p>
    <w:p w14:paraId="3E72ED95" w14:textId="5A11319D" w:rsidR="00A06708" w:rsidRDefault="00A06708" w:rsidP="005E793C">
      <w:pPr>
        <w:pStyle w:val="Normal1"/>
      </w:pPr>
    </w:p>
    <w:p w14:paraId="60A92E9F" w14:textId="556E7AC1" w:rsidR="00A06708" w:rsidRDefault="00A06708" w:rsidP="005E793C">
      <w:pPr>
        <w:pStyle w:val="Normal1"/>
      </w:pPr>
    </w:p>
    <w:p w14:paraId="0A6814A9" w14:textId="55ED4300" w:rsidR="00A06708" w:rsidRDefault="00A06708" w:rsidP="005E793C">
      <w:pPr>
        <w:pStyle w:val="Normal1"/>
      </w:pPr>
    </w:p>
    <w:p w14:paraId="0A304C44" w14:textId="79EA8A71" w:rsidR="00A06708" w:rsidRDefault="00A06708" w:rsidP="005E793C">
      <w:pPr>
        <w:pStyle w:val="Normal1"/>
      </w:pPr>
    </w:p>
    <w:p w14:paraId="35CE04AB" w14:textId="690197A4" w:rsidR="00A06708" w:rsidRDefault="00A06708" w:rsidP="005E793C">
      <w:pPr>
        <w:pStyle w:val="Normal1"/>
      </w:pPr>
    </w:p>
    <w:p w14:paraId="7D235035" w14:textId="4EC8F518" w:rsidR="000D399E" w:rsidRDefault="000D399E" w:rsidP="005E793C">
      <w:pPr>
        <w:pStyle w:val="Normal1"/>
      </w:pPr>
    </w:p>
    <w:p w14:paraId="0E6F6CAB" w14:textId="63A89284" w:rsidR="000D399E" w:rsidRDefault="000D399E" w:rsidP="005E793C">
      <w:pPr>
        <w:pStyle w:val="Normal1"/>
      </w:pPr>
    </w:p>
    <w:p w14:paraId="5509CD36" w14:textId="77777777" w:rsidR="000D399E" w:rsidRDefault="000D399E" w:rsidP="005E793C">
      <w:pPr>
        <w:pStyle w:val="Normal1"/>
      </w:pPr>
    </w:p>
    <w:p w14:paraId="7DA97825" w14:textId="697321B2" w:rsidR="00A06708" w:rsidRDefault="00A06708" w:rsidP="005E793C">
      <w:pPr>
        <w:pStyle w:val="Normal1"/>
      </w:pPr>
    </w:p>
    <w:p w14:paraId="00E0860E" w14:textId="77777777" w:rsidR="00A06708" w:rsidRDefault="00A06708" w:rsidP="005E793C">
      <w:pPr>
        <w:pStyle w:val="Normal1"/>
        <w:rPr>
          <w:color w:val="FF0000"/>
        </w:rPr>
      </w:pPr>
    </w:p>
    <w:p w14:paraId="12B9A972" w14:textId="77777777" w:rsidR="005E793C" w:rsidRPr="00DB3680" w:rsidRDefault="005E793C" w:rsidP="005E793C">
      <w:pPr>
        <w:pStyle w:val="Normal1"/>
      </w:pPr>
      <w:r w:rsidRPr="00DB3680">
        <w:rPr>
          <w:u w:val="single"/>
        </w:rPr>
        <w:lastRenderedPageBreak/>
        <w:t>EPRA capital expenditure analysis</w:t>
      </w:r>
    </w:p>
    <w:tbl>
      <w:tblPr>
        <w:tblW w:w="4926" w:type="pct"/>
        <w:tblLayout w:type="fixed"/>
        <w:tblCellMar>
          <w:left w:w="0" w:type="dxa"/>
          <w:right w:w="0" w:type="dxa"/>
        </w:tblCellMar>
        <w:tblLook w:val="01E0" w:firstRow="1" w:lastRow="1" w:firstColumn="1" w:lastColumn="1" w:noHBand="0" w:noVBand="0"/>
      </w:tblPr>
      <w:tblGrid>
        <w:gridCol w:w="4028"/>
        <w:gridCol w:w="1075"/>
        <w:gridCol w:w="1136"/>
        <w:gridCol w:w="986"/>
        <w:gridCol w:w="1031"/>
        <w:gridCol w:w="1031"/>
        <w:gridCol w:w="1025"/>
      </w:tblGrid>
      <w:tr w:rsidR="005F6D8A" w:rsidRPr="00DB3680" w14:paraId="68A486C4" w14:textId="77777777" w:rsidTr="00BA4E4C">
        <w:trPr>
          <w:trHeight w:val="113"/>
        </w:trPr>
        <w:tc>
          <w:tcPr>
            <w:tcW w:w="1953" w:type="pct"/>
            <w:shd w:val="clear" w:color="auto" w:fill="auto"/>
          </w:tcPr>
          <w:p w14:paraId="77A63BD3" w14:textId="77777777" w:rsidR="005E793C" w:rsidRPr="00DB3680" w:rsidRDefault="005E793C" w:rsidP="00E30618">
            <w:pPr>
              <w:pStyle w:val="TabletextBold"/>
              <w:spacing w:line="160" w:lineRule="atLeast"/>
              <w:rPr>
                <w:rFonts w:cs="Arial"/>
                <w:szCs w:val="18"/>
              </w:rPr>
            </w:pPr>
          </w:p>
        </w:tc>
        <w:tc>
          <w:tcPr>
            <w:tcW w:w="1550" w:type="pct"/>
            <w:gridSpan w:val="3"/>
            <w:tcBorders>
              <w:bottom w:val="single" w:sz="4" w:space="0" w:color="A6A6A6" w:themeColor="background1" w:themeShade="A6"/>
            </w:tcBorders>
          </w:tcPr>
          <w:p w14:paraId="3F51FD72" w14:textId="0AF45E3C" w:rsidR="005E793C" w:rsidRPr="00DB3680" w:rsidRDefault="005E793C" w:rsidP="00E30618">
            <w:pPr>
              <w:pStyle w:val="TableColHeadsBold0"/>
              <w:jc w:val="center"/>
            </w:pPr>
            <w:r w:rsidRPr="00DB3680">
              <w:t>20</w:t>
            </w:r>
            <w:r w:rsidR="00D43D2F" w:rsidRPr="00DB3680">
              <w:t>2</w:t>
            </w:r>
            <w:r w:rsidR="00DB3680" w:rsidRPr="00DB3680">
              <w:t>1</w:t>
            </w:r>
          </w:p>
        </w:tc>
        <w:tc>
          <w:tcPr>
            <w:tcW w:w="1497" w:type="pct"/>
            <w:gridSpan w:val="3"/>
            <w:tcBorders>
              <w:bottom w:val="single" w:sz="4" w:space="0" w:color="A6A6A6" w:themeColor="background1" w:themeShade="A6"/>
            </w:tcBorders>
          </w:tcPr>
          <w:p w14:paraId="4774D88D" w14:textId="37F1E74E" w:rsidR="005E793C" w:rsidRPr="00DB3680" w:rsidRDefault="005E793C" w:rsidP="00E30618">
            <w:pPr>
              <w:pStyle w:val="TableColHeadsBold0"/>
              <w:jc w:val="center"/>
              <w:rPr>
                <w:b w:val="0"/>
              </w:rPr>
            </w:pPr>
            <w:r w:rsidRPr="00DB3680">
              <w:rPr>
                <w:b w:val="0"/>
              </w:rPr>
              <w:t>20</w:t>
            </w:r>
            <w:r w:rsidR="00DB3680" w:rsidRPr="00DB3680">
              <w:rPr>
                <w:b w:val="0"/>
              </w:rPr>
              <w:t>20</w:t>
            </w:r>
          </w:p>
        </w:tc>
      </w:tr>
      <w:tr w:rsidR="005F6D8A" w:rsidRPr="00DB3680" w14:paraId="4FBB832D" w14:textId="77777777" w:rsidTr="00BA4E4C">
        <w:trPr>
          <w:trHeight w:val="510"/>
        </w:trPr>
        <w:tc>
          <w:tcPr>
            <w:tcW w:w="1953" w:type="pct"/>
            <w:tcBorders>
              <w:bottom w:val="single" w:sz="4" w:space="0" w:color="808080" w:themeColor="background1" w:themeShade="80"/>
            </w:tcBorders>
            <w:shd w:val="clear" w:color="auto" w:fill="auto"/>
          </w:tcPr>
          <w:p w14:paraId="0AD2FC7A" w14:textId="77777777" w:rsidR="005E793C" w:rsidRPr="00DB3680" w:rsidRDefault="005E793C" w:rsidP="00E30618">
            <w:pPr>
              <w:pStyle w:val="TabletextBold"/>
              <w:spacing w:line="160" w:lineRule="atLeast"/>
              <w:rPr>
                <w:rFonts w:cs="Arial"/>
                <w:szCs w:val="18"/>
              </w:rPr>
            </w:pPr>
          </w:p>
        </w:tc>
        <w:tc>
          <w:tcPr>
            <w:tcW w:w="521" w:type="pct"/>
            <w:tcBorders>
              <w:top w:val="single" w:sz="4" w:space="0" w:color="A6A6A6" w:themeColor="background1" w:themeShade="A6"/>
              <w:bottom w:val="single" w:sz="4" w:space="0" w:color="808080" w:themeColor="background1" w:themeShade="80"/>
            </w:tcBorders>
            <w:vAlign w:val="bottom"/>
          </w:tcPr>
          <w:p w14:paraId="5B2C7DAE" w14:textId="77777777" w:rsidR="005E793C" w:rsidRPr="00DB3680" w:rsidRDefault="005E793C" w:rsidP="00E30618">
            <w:pPr>
              <w:pStyle w:val="TableColHeadsLeft"/>
              <w:spacing w:line="160" w:lineRule="atLeast"/>
              <w:jc w:val="right"/>
              <w:rPr>
                <w:rFonts w:cs="Arial"/>
                <w:b/>
                <w:szCs w:val="18"/>
              </w:rPr>
            </w:pPr>
            <w:r w:rsidRPr="00DB3680">
              <w:rPr>
                <w:rFonts w:cs="Arial"/>
                <w:b/>
                <w:szCs w:val="18"/>
              </w:rPr>
              <w:t>Wholly owned</w:t>
            </w:r>
          </w:p>
          <w:p w14:paraId="54DE603D" w14:textId="77777777" w:rsidR="005E793C" w:rsidRPr="00DB3680" w:rsidRDefault="005E793C" w:rsidP="00E30618">
            <w:pPr>
              <w:pStyle w:val="TableColHeadsLeft"/>
              <w:spacing w:line="160" w:lineRule="atLeast"/>
              <w:jc w:val="right"/>
              <w:rPr>
                <w:rFonts w:cs="Arial"/>
                <w:b/>
                <w:szCs w:val="18"/>
              </w:rPr>
            </w:pPr>
            <w:r w:rsidRPr="00DB3680">
              <w:rPr>
                <w:rFonts w:cs="Arial"/>
                <w:b/>
                <w:szCs w:val="18"/>
              </w:rPr>
              <w:t>£m</w:t>
            </w:r>
          </w:p>
        </w:tc>
        <w:tc>
          <w:tcPr>
            <w:tcW w:w="551" w:type="pct"/>
            <w:tcBorders>
              <w:top w:val="single" w:sz="4" w:space="0" w:color="A6A6A6" w:themeColor="background1" w:themeShade="A6"/>
              <w:bottom w:val="single" w:sz="4" w:space="0" w:color="808080" w:themeColor="background1" w:themeShade="80"/>
            </w:tcBorders>
            <w:vAlign w:val="bottom"/>
          </w:tcPr>
          <w:p w14:paraId="721EF0CE" w14:textId="77777777" w:rsidR="005E793C" w:rsidRPr="00DB3680" w:rsidRDefault="005E793C" w:rsidP="00E30618">
            <w:pPr>
              <w:pStyle w:val="TableColHeadsLeft"/>
              <w:spacing w:line="160" w:lineRule="atLeast"/>
              <w:jc w:val="right"/>
              <w:rPr>
                <w:rFonts w:cs="Arial"/>
                <w:b/>
                <w:szCs w:val="18"/>
              </w:rPr>
            </w:pPr>
            <w:r w:rsidRPr="00DB3680">
              <w:rPr>
                <w:rFonts w:cs="Arial"/>
                <w:b/>
                <w:szCs w:val="18"/>
              </w:rPr>
              <w:t>Joint ventures</w:t>
            </w:r>
          </w:p>
          <w:p w14:paraId="2808F736" w14:textId="77777777" w:rsidR="005E793C" w:rsidRPr="00DB3680" w:rsidRDefault="005E793C" w:rsidP="00E30618">
            <w:pPr>
              <w:pStyle w:val="TableColHeadsLeft"/>
              <w:spacing w:line="160" w:lineRule="atLeast"/>
              <w:jc w:val="right"/>
              <w:rPr>
                <w:rFonts w:cs="Arial"/>
                <w:b/>
                <w:szCs w:val="18"/>
              </w:rPr>
            </w:pPr>
            <w:r w:rsidRPr="00DB3680">
              <w:rPr>
                <w:rFonts w:cs="Arial"/>
                <w:b/>
                <w:szCs w:val="18"/>
              </w:rPr>
              <w:t>£m</w:t>
            </w:r>
          </w:p>
        </w:tc>
        <w:tc>
          <w:tcPr>
            <w:tcW w:w="478" w:type="pct"/>
            <w:tcBorders>
              <w:top w:val="single" w:sz="4" w:space="0" w:color="A6A6A6" w:themeColor="background1" w:themeShade="A6"/>
              <w:bottom w:val="single" w:sz="4" w:space="0" w:color="808080" w:themeColor="background1" w:themeShade="80"/>
            </w:tcBorders>
            <w:vAlign w:val="bottom"/>
          </w:tcPr>
          <w:p w14:paraId="7B00AD80" w14:textId="77777777" w:rsidR="005E793C" w:rsidRPr="00DB3680" w:rsidRDefault="005E793C" w:rsidP="00E30618">
            <w:pPr>
              <w:pStyle w:val="TableColHeadsLeft"/>
              <w:spacing w:line="160" w:lineRule="atLeast"/>
              <w:jc w:val="right"/>
              <w:rPr>
                <w:rFonts w:cs="Arial"/>
                <w:b/>
                <w:szCs w:val="18"/>
              </w:rPr>
            </w:pPr>
            <w:r w:rsidRPr="00DB3680">
              <w:rPr>
                <w:rFonts w:cs="Arial"/>
                <w:b/>
                <w:szCs w:val="18"/>
              </w:rPr>
              <w:t>Total</w:t>
            </w:r>
          </w:p>
          <w:p w14:paraId="640D145D" w14:textId="77777777" w:rsidR="005E793C" w:rsidRPr="00DB3680" w:rsidRDefault="005E793C" w:rsidP="00E30618">
            <w:pPr>
              <w:pStyle w:val="TableColHeadsLeft"/>
              <w:spacing w:line="160" w:lineRule="atLeast"/>
              <w:jc w:val="right"/>
              <w:rPr>
                <w:rFonts w:cs="Arial"/>
                <w:b/>
                <w:szCs w:val="18"/>
              </w:rPr>
            </w:pPr>
            <w:r w:rsidRPr="00DB3680">
              <w:rPr>
                <w:rFonts w:cs="Arial"/>
                <w:b/>
                <w:szCs w:val="18"/>
              </w:rPr>
              <w:t>£m</w:t>
            </w:r>
          </w:p>
        </w:tc>
        <w:tc>
          <w:tcPr>
            <w:tcW w:w="500" w:type="pct"/>
            <w:tcBorders>
              <w:top w:val="single" w:sz="4" w:space="0" w:color="A6A6A6" w:themeColor="background1" w:themeShade="A6"/>
              <w:bottom w:val="single" w:sz="4" w:space="0" w:color="808080" w:themeColor="background1" w:themeShade="80"/>
            </w:tcBorders>
            <w:vAlign w:val="bottom"/>
          </w:tcPr>
          <w:p w14:paraId="64D32034" w14:textId="77777777" w:rsidR="005E793C" w:rsidRPr="00DB3680" w:rsidRDefault="005E793C" w:rsidP="00E30618">
            <w:pPr>
              <w:pStyle w:val="TableColHeadsLeft"/>
              <w:spacing w:line="160" w:lineRule="atLeast"/>
              <w:jc w:val="right"/>
              <w:rPr>
                <w:rFonts w:cs="Arial"/>
                <w:szCs w:val="18"/>
              </w:rPr>
            </w:pPr>
            <w:r w:rsidRPr="00DB3680">
              <w:rPr>
                <w:rFonts w:cs="Arial"/>
                <w:szCs w:val="18"/>
              </w:rPr>
              <w:t>Wholly owned</w:t>
            </w:r>
          </w:p>
          <w:p w14:paraId="128764BA" w14:textId="77777777" w:rsidR="005E793C" w:rsidRPr="00DB3680" w:rsidRDefault="005E793C" w:rsidP="00E30618">
            <w:pPr>
              <w:pStyle w:val="TableColHeadsLeft"/>
              <w:spacing w:line="160" w:lineRule="atLeast"/>
              <w:jc w:val="right"/>
              <w:rPr>
                <w:rFonts w:cs="Arial"/>
                <w:szCs w:val="18"/>
              </w:rPr>
            </w:pPr>
            <w:r w:rsidRPr="00DB3680">
              <w:rPr>
                <w:rFonts w:cs="Arial"/>
                <w:szCs w:val="18"/>
              </w:rPr>
              <w:t>£m</w:t>
            </w:r>
          </w:p>
        </w:tc>
        <w:tc>
          <w:tcPr>
            <w:tcW w:w="500" w:type="pct"/>
            <w:tcBorders>
              <w:top w:val="single" w:sz="4" w:space="0" w:color="A6A6A6" w:themeColor="background1" w:themeShade="A6"/>
              <w:bottom w:val="single" w:sz="4" w:space="0" w:color="808080" w:themeColor="background1" w:themeShade="80"/>
            </w:tcBorders>
            <w:shd w:val="clear" w:color="auto" w:fill="auto"/>
            <w:vAlign w:val="bottom"/>
          </w:tcPr>
          <w:p w14:paraId="6F2FF461" w14:textId="77777777" w:rsidR="005E793C" w:rsidRPr="00DB3680" w:rsidRDefault="005E793C" w:rsidP="00E30618">
            <w:pPr>
              <w:pStyle w:val="TableColHeadsLeft"/>
              <w:spacing w:line="160" w:lineRule="atLeast"/>
              <w:jc w:val="right"/>
              <w:rPr>
                <w:rFonts w:cs="Arial"/>
                <w:szCs w:val="18"/>
              </w:rPr>
            </w:pPr>
            <w:r w:rsidRPr="00DB3680">
              <w:rPr>
                <w:rFonts w:cs="Arial"/>
                <w:szCs w:val="18"/>
              </w:rPr>
              <w:t>Joint ventures</w:t>
            </w:r>
          </w:p>
          <w:p w14:paraId="1DBF3203" w14:textId="77777777" w:rsidR="005E793C" w:rsidRPr="00DB3680" w:rsidRDefault="005E793C" w:rsidP="00E30618">
            <w:pPr>
              <w:pStyle w:val="TableColHeadsLeft"/>
              <w:spacing w:line="160" w:lineRule="atLeast"/>
              <w:jc w:val="right"/>
              <w:rPr>
                <w:rFonts w:cs="Arial"/>
                <w:szCs w:val="18"/>
              </w:rPr>
            </w:pPr>
            <w:r w:rsidRPr="00DB3680">
              <w:rPr>
                <w:rFonts w:cs="Arial"/>
                <w:szCs w:val="18"/>
              </w:rPr>
              <w:t>£m</w:t>
            </w:r>
          </w:p>
        </w:tc>
        <w:tc>
          <w:tcPr>
            <w:tcW w:w="497" w:type="pct"/>
            <w:tcBorders>
              <w:top w:val="single" w:sz="4" w:space="0" w:color="A6A6A6" w:themeColor="background1" w:themeShade="A6"/>
              <w:bottom w:val="single" w:sz="4" w:space="0" w:color="808080" w:themeColor="background1" w:themeShade="80"/>
            </w:tcBorders>
            <w:shd w:val="clear" w:color="auto" w:fill="auto"/>
            <w:vAlign w:val="bottom"/>
          </w:tcPr>
          <w:p w14:paraId="4AEE71D5" w14:textId="77777777" w:rsidR="005E793C" w:rsidRPr="00DB3680" w:rsidRDefault="005E793C" w:rsidP="00E30618">
            <w:pPr>
              <w:pStyle w:val="TableColHeadsLeft"/>
              <w:spacing w:line="160" w:lineRule="atLeast"/>
              <w:jc w:val="right"/>
              <w:rPr>
                <w:rFonts w:cs="Arial"/>
                <w:szCs w:val="18"/>
              </w:rPr>
            </w:pPr>
            <w:r w:rsidRPr="00DB3680">
              <w:rPr>
                <w:rFonts w:cs="Arial"/>
                <w:szCs w:val="18"/>
              </w:rPr>
              <w:t>Total</w:t>
            </w:r>
          </w:p>
          <w:p w14:paraId="3891E2ED" w14:textId="77777777" w:rsidR="005E793C" w:rsidRPr="00DB3680" w:rsidRDefault="005E793C" w:rsidP="00E30618">
            <w:pPr>
              <w:pStyle w:val="TableColHeadsLeft"/>
              <w:spacing w:line="160" w:lineRule="atLeast"/>
              <w:jc w:val="right"/>
              <w:rPr>
                <w:rFonts w:cs="Arial"/>
                <w:szCs w:val="18"/>
              </w:rPr>
            </w:pPr>
            <w:r w:rsidRPr="00DB3680">
              <w:rPr>
                <w:rFonts w:cs="Arial"/>
                <w:szCs w:val="18"/>
              </w:rPr>
              <w:t>£m</w:t>
            </w:r>
          </w:p>
        </w:tc>
      </w:tr>
      <w:tr w:rsidR="005F6D8A" w:rsidRPr="00DB3680" w14:paraId="49025830" w14:textId="77777777" w:rsidTr="00E30618">
        <w:trPr>
          <w:trHeight w:val="227"/>
        </w:trPr>
        <w:tc>
          <w:tcPr>
            <w:tcW w:w="1953" w:type="pct"/>
            <w:tcBorders>
              <w:top w:val="single" w:sz="4" w:space="0" w:color="808080" w:themeColor="background1" w:themeShade="80"/>
            </w:tcBorders>
            <w:shd w:val="clear" w:color="auto" w:fill="auto"/>
            <w:vAlign w:val="bottom"/>
          </w:tcPr>
          <w:p w14:paraId="67A43075" w14:textId="77777777" w:rsidR="00D43D2F" w:rsidRPr="00DB3680" w:rsidRDefault="00D43D2F" w:rsidP="00D43D2F">
            <w:pPr>
              <w:pStyle w:val="Tabletext"/>
            </w:pPr>
            <w:r w:rsidRPr="00DB3680">
              <w:t>Acquisitions</w:t>
            </w:r>
          </w:p>
        </w:tc>
        <w:tc>
          <w:tcPr>
            <w:tcW w:w="521" w:type="pct"/>
            <w:tcBorders>
              <w:top w:val="single" w:sz="4" w:space="0" w:color="808080" w:themeColor="background1" w:themeShade="80"/>
            </w:tcBorders>
            <w:vAlign w:val="bottom"/>
          </w:tcPr>
          <w:p w14:paraId="20E3F3EA" w14:textId="61FFCBF1" w:rsidR="00D43D2F" w:rsidRPr="00DB3680" w:rsidRDefault="00DB3680" w:rsidP="00D43D2F">
            <w:pPr>
              <w:pStyle w:val="TableFiguresBold0"/>
            </w:pPr>
            <w:r>
              <w:t>1,280</w:t>
            </w:r>
            <w:r w:rsidRPr="00DB3680">
              <w:rPr>
                <w:vertAlign w:val="superscript"/>
              </w:rPr>
              <w:t>1</w:t>
            </w:r>
          </w:p>
        </w:tc>
        <w:tc>
          <w:tcPr>
            <w:tcW w:w="551" w:type="pct"/>
            <w:tcBorders>
              <w:top w:val="single" w:sz="4" w:space="0" w:color="808080" w:themeColor="background1" w:themeShade="80"/>
            </w:tcBorders>
            <w:vAlign w:val="bottom"/>
          </w:tcPr>
          <w:p w14:paraId="641111B3" w14:textId="19774B56" w:rsidR="00D43D2F" w:rsidRPr="00DB3680" w:rsidRDefault="00DB3680" w:rsidP="00D43D2F">
            <w:pPr>
              <w:pStyle w:val="TableFiguresBold0"/>
            </w:pPr>
            <w:r>
              <w:t>159</w:t>
            </w:r>
          </w:p>
        </w:tc>
        <w:tc>
          <w:tcPr>
            <w:tcW w:w="478" w:type="pct"/>
            <w:tcBorders>
              <w:top w:val="single" w:sz="4" w:space="0" w:color="808080" w:themeColor="background1" w:themeShade="80"/>
            </w:tcBorders>
            <w:vAlign w:val="bottom"/>
          </w:tcPr>
          <w:p w14:paraId="7DE0FAFB" w14:textId="30FFFF27" w:rsidR="00D43D2F" w:rsidRPr="00DB3680" w:rsidRDefault="00DB3680" w:rsidP="00D43D2F">
            <w:pPr>
              <w:pStyle w:val="TableFiguresBold0"/>
            </w:pPr>
            <w:r>
              <w:t>1,43</w:t>
            </w:r>
            <w:r w:rsidR="00BF1633">
              <w:t>9</w:t>
            </w:r>
            <w:r w:rsidR="00BF1633" w:rsidRPr="00BA4E4C">
              <w:rPr>
                <w:sz w:val="16"/>
                <w:szCs w:val="22"/>
                <w:vertAlign w:val="superscript"/>
              </w:rPr>
              <w:t>7</w:t>
            </w:r>
          </w:p>
        </w:tc>
        <w:tc>
          <w:tcPr>
            <w:tcW w:w="500" w:type="pct"/>
            <w:tcBorders>
              <w:top w:val="single" w:sz="4" w:space="0" w:color="808080" w:themeColor="background1" w:themeShade="80"/>
            </w:tcBorders>
            <w:vAlign w:val="bottom"/>
          </w:tcPr>
          <w:p w14:paraId="3B097229" w14:textId="6781B50F" w:rsidR="00D43D2F" w:rsidRPr="00DB3680" w:rsidRDefault="00DB3680" w:rsidP="00D43D2F">
            <w:pPr>
              <w:pStyle w:val="TableFigures"/>
            </w:pPr>
            <w:r>
              <w:t>858</w:t>
            </w:r>
            <w:r w:rsidR="0057277C" w:rsidRPr="002E04BD">
              <w:rPr>
                <w:vertAlign w:val="superscript"/>
              </w:rPr>
              <w:t>1</w:t>
            </w:r>
          </w:p>
        </w:tc>
        <w:tc>
          <w:tcPr>
            <w:tcW w:w="500" w:type="pct"/>
            <w:tcBorders>
              <w:top w:val="single" w:sz="4" w:space="0" w:color="808080" w:themeColor="background1" w:themeShade="80"/>
            </w:tcBorders>
            <w:shd w:val="clear" w:color="auto" w:fill="auto"/>
            <w:vAlign w:val="bottom"/>
          </w:tcPr>
          <w:p w14:paraId="746D55D9" w14:textId="05CB67D8" w:rsidR="00D43D2F" w:rsidRPr="00DB3680" w:rsidRDefault="00DB3680" w:rsidP="00D43D2F">
            <w:pPr>
              <w:pStyle w:val="TableFigures"/>
            </w:pPr>
            <w:r>
              <w:t>82</w:t>
            </w:r>
          </w:p>
        </w:tc>
        <w:tc>
          <w:tcPr>
            <w:tcW w:w="497" w:type="pct"/>
            <w:tcBorders>
              <w:top w:val="single" w:sz="4" w:space="0" w:color="808080" w:themeColor="background1" w:themeShade="80"/>
            </w:tcBorders>
            <w:shd w:val="clear" w:color="auto" w:fill="auto"/>
            <w:vAlign w:val="bottom"/>
          </w:tcPr>
          <w:p w14:paraId="21836690" w14:textId="67EC530F" w:rsidR="00D43D2F" w:rsidRPr="00DB3680" w:rsidRDefault="00DB3680" w:rsidP="00D43D2F">
            <w:pPr>
              <w:pStyle w:val="TableFigures"/>
            </w:pPr>
            <w:r>
              <w:t>940</w:t>
            </w:r>
          </w:p>
        </w:tc>
      </w:tr>
      <w:tr w:rsidR="005F6D8A" w:rsidRPr="00DB3680" w14:paraId="6E2224E6" w14:textId="77777777" w:rsidTr="00E30618">
        <w:trPr>
          <w:trHeight w:val="227"/>
        </w:trPr>
        <w:tc>
          <w:tcPr>
            <w:tcW w:w="1953" w:type="pct"/>
            <w:shd w:val="clear" w:color="auto" w:fill="auto"/>
            <w:vAlign w:val="bottom"/>
          </w:tcPr>
          <w:p w14:paraId="79FDF3EA" w14:textId="77777777" w:rsidR="00D43D2F" w:rsidRPr="00DB3680" w:rsidRDefault="00D43D2F" w:rsidP="00D43D2F">
            <w:pPr>
              <w:pStyle w:val="Tabletext"/>
            </w:pPr>
            <w:r w:rsidRPr="00DB3680">
              <w:t>Development</w:t>
            </w:r>
            <w:r w:rsidRPr="00DB3680">
              <w:rPr>
                <w:vertAlign w:val="superscript"/>
              </w:rPr>
              <w:t>4</w:t>
            </w:r>
          </w:p>
        </w:tc>
        <w:tc>
          <w:tcPr>
            <w:tcW w:w="521" w:type="pct"/>
            <w:vAlign w:val="bottom"/>
          </w:tcPr>
          <w:p w14:paraId="1E8346FB" w14:textId="6220D209" w:rsidR="00D43D2F" w:rsidRPr="00DB3680" w:rsidRDefault="00DB3680" w:rsidP="00D43D2F">
            <w:pPr>
              <w:pStyle w:val="TableFiguresBold0"/>
            </w:pPr>
            <w:r w:rsidRPr="00DB3680">
              <w:t>588</w:t>
            </w:r>
            <w:r w:rsidR="00D964CC" w:rsidRPr="00DB3680">
              <w:rPr>
                <w:vertAlign w:val="superscript"/>
              </w:rPr>
              <w:t>2</w:t>
            </w:r>
          </w:p>
        </w:tc>
        <w:tc>
          <w:tcPr>
            <w:tcW w:w="551" w:type="pct"/>
            <w:vAlign w:val="bottom"/>
          </w:tcPr>
          <w:p w14:paraId="2D46BF1C" w14:textId="46389DAE" w:rsidR="00D43D2F" w:rsidRPr="00DB3680" w:rsidRDefault="00DB3680" w:rsidP="00D43D2F">
            <w:pPr>
              <w:pStyle w:val="TableFiguresBold0"/>
            </w:pPr>
            <w:r>
              <w:t>61</w:t>
            </w:r>
          </w:p>
        </w:tc>
        <w:tc>
          <w:tcPr>
            <w:tcW w:w="478" w:type="pct"/>
            <w:vAlign w:val="bottom"/>
          </w:tcPr>
          <w:p w14:paraId="0E1E6A4B" w14:textId="5598270B" w:rsidR="00D43D2F" w:rsidRPr="00DB3680" w:rsidRDefault="00DB3680" w:rsidP="00D43D2F">
            <w:pPr>
              <w:pStyle w:val="TableFiguresBold0"/>
            </w:pPr>
            <w:r>
              <w:t>649</w:t>
            </w:r>
          </w:p>
        </w:tc>
        <w:tc>
          <w:tcPr>
            <w:tcW w:w="500" w:type="pct"/>
            <w:vAlign w:val="bottom"/>
          </w:tcPr>
          <w:p w14:paraId="3FE07FE9" w14:textId="4DDED042" w:rsidR="00D43D2F" w:rsidRPr="00DB3680" w:rsidRDefault="00DB3680" w:rsidP="00D43D2F">
            <w:pPr>
              <w:pStyle w:val="TableFigures"/>
            </w:pPr>
            <w:r>
              <w:t>485</w:t>
            </w:r>
            <w:r w:rsidR="0057277C" w:rsidRPr="002E04BD">
              <w:rPr>
                <w:vertAlign w:val="superscript"/>
              </w:rPr>
              <w:t>2</w:t>
            </w:r>
          </w:p>
        </w:tc>
        <w:tc>
          <w:tcPr>
            <w:tcW w:w="500" w:type="pct"/>
            <w:shd w:val="clear" w:color="auto" w:fill="auto"/>
            <w:vAlign w:val="bottom"/>
          </w:tcPr>
          <w:p w14:paraId="2297DE1F" w14:textId="3F42A55B" w:rsidR="00D43D2F" w:rsidRPr="00DB3680" w:rsidRDefault="00DB3680" w:rsidP="00D43D2F">
            <w:pPr>
              <w:pStyle w:val="TableFigures"/>
            </w:pPr>
            <w:r>
              <w:t>46</w:t>
            </w:r>
          </w:p>
        </w:tc>
        <w:tc>
          <w:tcPr>
            <w:tcW w:w="497" w:type="pct"/>
            <w:shd w:val="clear" w:color="auto" w:fill="auto"/>
            <w:vAlign w:val="bottom"/>
          </w:tcPr>
          <w:p w14:paraId="373101E3" w14:textId="75E75B0B" w:rsidR="00D43D2F" w:rsidRPr="00DB3680" w:rsidRDefault="00DB3680" w:rsidP="00D43D2F">
            <w:pPr>
              <w:pStyle w:val="TableFigures"/>
            </w:pPr>
            <w:r>
              <w:t>531</w:t>
            </w:r>
          </w:p>
        </w:tc>
      </w:tr>
      <w:tr w:rsidR="005F6D8A" w:rsidRPr="00DB3680" w14:paraId="2A4E3B3C" w14:textId="77777777" w:rsidTr="00E30618">
        <w:trPr>
          <w:trHeight w:val="230"/>
        </w:trPr>
        <w:tc>
          <w:tcPr>
            <w:tcW w:w="1953" w:type="pct"/>
            <w:shd w:val="clear" w:color="auto" w:fill="auto"/>
            <w:vAlign w:val="bottom"/>
          </w:tcPr>
          <w:p w14:paraId="2EEE77AD" w14:textId="5A888BA4" w:rsidR="00D43D2F" w:rsidRPr="00DB3680" w:rsidRDefault="00D43D2F" w:rsidP="00D43D2F">
            <w:pPr>
              <w:pStyle w:val="Tabletext"/>
            </w:pPr>
            <w:r w:rsidRPr="00DB3680">
              <w:t>Completed properties</w:t>
            </w:r>
            <w:r w:rsidRPr="00DB3680">
              <w:rPr>
                <w:vertAlign w:val="superscript"/>
              </w:rPr>
              <w:t>6</w:t>
            </w:r>
          </w:p>
        </w:tc>
        <w:tc>
          <w:tcPr>
            <w:tcW w:w="521" w:type="pct"/>
            <w:vAlign w:val="bottom"/>
          </w:tcPr>
          <w:p w14:paraId="0D7205E3" w14:textId="4C028773" w:rsidR="00D43D2F" w:rsidRPr="00DB3680" w:rsidRDefault="00DB3680" w:rsidP="00D43D2F">
            <w:pPr>
              <w:pStyle w:val="TableFiguresBold0"/>
            </w:pPr>
            <w:r>
              <w:t>35</w:t>
            </w:r>
            <w:r w:rsidRPr="002E04BD">
              <w:rPr>
                <w:sz w:val="16"/>
                <w:szCs w:val="22"/>
                <w:vertAlign w:val="superscript"/>
              </w:rPr>
              <w:t>3</w:t>
            </w:r>
          </w:p>
        </w:tc>
        <w:tc>
          <w:tcPr>
            <w:tcW w:w="551" w:type="pct"/>
            <w:vAlign w:val="bottom"/>
          </w:tcPr>
          <w:p w14:paraId="6A58875D" w14:textId="5BA35C4C" w:rsidR="00D43D2F" w:rsidRPr="00DB3680" w:rsidRDefault="00DB3680" w:rsidP="00D43D2F">
            <w:pPr>
              <w:pStyle w:val="TableFiguresBold0"/>
            </w:pPr>
            <w:r>
              <w:t>10</w:t>
            </w:r>
          </w:p>
        </w:tc>
        <w:tc>
          <w:tcPr>
            <w:tcW w:w="478" w:type="pct"/>
            <w:vAlign w:val="bottom"/>
          </w:tcPr>
          <w:p w14:paraId="614DF9F0" w14:textId="45370254" w:rsidR="00D43D2F" w:rsidRPr="00DB3680" w:rsidRDefault="00DB3680" w:rsidP="00D43D2F">
            <w:pPr>
              <w:pStyle w:val="TableFiguresBold0"/>
            </w:pPr>
            <w:r>
              <w:t>45</w:t>
            </w:r>
          </w:p>
        </w:tc>
        <w:tc>
          <w:tcPr>
            <w:tcW w:w="500" w:type="pct"/>
            <w:vAlign w:val="bottom"/>
          </w:tcPr>
          <w:p w14:paraId="077A4F65" w14:textId="77E85CCC" w:rsidR="00D43D2F" w:rsidRPr="00DB3680" w:rsidRDefault="00DB3680" w:rsidP="00D43D2F">
            <w:pPr>
              <w:pStyle w:val="TableFigures"/>
            </w:pPr>
            <w:r>
              <w:t>34</w:t>
            </w:r>
            <w:r w:rsidR="0057277C" w:rsidRPr="002E04BD">
              <w:rPr>
                <w:vertAlign w:val="superscript"/>
              </w:rPr>
              <w:t>3</w:t>
            </w:r>
          </w:p>
        </w:tc>
        <w:tc>
          <w:tcPr>
            <w:tcW w:w="500" w:type="pct"/>
            <w:shd w:val="clear" w:color="auto" w:fill="auto"/>
            <w:vAlign w:val="bottom"/>
          </w:tcPr>
          <w:p w14:paraId="7A449C0C" w14:textId="24650243" w:rsidR="00D43D2F" w:rsidRPr="00DB3680" w:rsidRDefault="00DB3680" w:rsidP="00D43D2F">
            <w:pPr>
              <w:pStyle w:val="TableFigures"/>
            </w:pPr>
            <w:r>
              <w:t>6</w:t>
            </w:r>
          </w:p>
        </w:tc>
        <w:tc>
          <w:tcPr>
            <w:tcW w:w="497" w:type="pct"/>
            <w:shd w:val="clear" w:color="auto" w:fill="auto"/>
            <w:vAlign w:val="bottom"/>
          </w:tcPr>
          <w:p w14:paraId="352367B4" w14:textId="4A6C3896" w:rsidR="00D43D2F" w:rsidRPr="00DB3680" w:rsidRDefault="00DB3680" w:rsidP="00D43D2F">
            <w:pPr>
              <w:pStyle w:val="TableFigures"/>
            </w:pPr>
            <w:r>
              <w:t>40</w:t>
            </w:r>
          </w:p>
        </w:tc>
      </w:tr>
      <w:tr w:rsidR="005F6D8A" w:rsidRPr="00DB3680" w14:paraId="06C3A791" w14:textId="77777777" w:rsidTr="00E30618">
        <w:trPr>
          <w:trHeight w:val="227"/>
        </w:trPr>
        <w:tc>
          <w:tcPr>
            <w:tcW w:w="1953" w:type="pct"/>
            <w:tcBorders>
              <w:bottom w:val="single" w:sz="4" w:space="0" w:color="808080" w:themeColor="background1" w:themeShade="80"/>
            </w:tcBorders>
            <w:shd w:val="clear" w:color="auto" w:fill="auto"/>
            <w:vAlign w:val="bottom"/>
          </w:tcPr>
          <w:p w14:paraId="16433448" w14:textId="77777777" w:rsidR="00D43D2F" w:rsidRPr="00DB3680" w:rsidRDefault="00D43D2F" w:rsidP="00D43D2F">
            <w:pPr>
              <w:pStyle w:val="Tabletext"/>
            </w:pPr>
            <w:r w:rsidRPr="00DB3680">
              <w:t>Other</w:t>
            </w:r>
            <w:r w:rsidRPr="00DB3680">
              <w:rPr>
                <w:vertAlign w:val="superscript"/>
              </w:rPr>
              <w:t>5</w:t>
            </w:r>
          </w:p>
        </w:tc>
        <w:tc>
          <w:tcPr>
            <w:tcW w:w="521" w:type="pct"/>
            <w:tcBorders>
              <w:bottom w:val="single" w:sz="4" w:space="0" w:color="808080" w:themeColor="background1" w:themeShade="80"/>
            </w:tcBorders>
            <w:vAlign w:val="bottom"/>
          </w:tcPr>
          <w:p w14:paraId="2B396C93" w14:textId="414D319B" w:rsidR="00D43D2F" w:rsidRPr="00DB3680" w:rsidRDefault="00DB3680" w:rsidP="00D43D2F">
            <w:pPr>
              <w:pStyle w:val="TableFiguresBold0"/>
            </w:pPr>
            <w:r>
              <w:t>22</w:t>
            </w:r>
          </w:p>
        </w:tc>
        <w:tc>
          <w:tcPr>
            <w:tcW w:w="551" w:type="pct"/>
            <w:tcBorders>
              <w:bottom w:val="single" w:sz="4" w:space="0" w:color="808080" w:themeColor="background1" w:themeShade="80"/>
            </w:tcBorders>
            <w:vAlign w:val="bottom"/>
          </w:tcPr>
          <w:p w14:paraId="550702A4" w14:textId="5324BDA9" w:rsidR="00D43D2F" w:rsidRPr="00DB3680" w:rsidRDefault="00DB3680" w:rsidP="00D43D2F">
            <w:pPr>
              <w:pStyle w:val="TableFiguresBold0"/>
            </w:pPr>
            <w:r>
              <w:t>11</w:t>
            </w:r>
          </w:p>
        </w:tc>
        <w:tc>
          <w:tcPr>
            <w:tcW w:w="478" w:type="pct"/>
            <w:tcBorders>
              <w:bottom w:val="single" w:sz="4" w:space="0" w:color="808080" w:themeColor="background1" w:themeShade="80"/>
            </w:tcBorders>
            <w:vAlign w:val="bottom"/>
          </w:tcPr>
          <w:p w14:paraId="08FD331C" w14:textId="256284B3" w:rsidR="00D43D2F" w:rsidRPr="00DB3680" w:rsidRDefault="00DB3680" w:rsidP="00D43D2F">
            <w:pPr>
              <w:pStyle w:val="TableFiguresBold0"/>
            </w:pPr>
            <w:r>
              <w:t>33</w:t>
            </w:r>
          </w:p>
        </w:tc>
        <w:tc>
          <w:tcPr>
            <w:tcW w:w="500" w:type="pct"/>
            <w:tcBorders>
              <w:bottom w:val="single" w:sz="4" w:space="0" w:color="808080" w:themeColor="background1" w:themeShade="80"/>
            </w:tcBorders>
            <w:vAlign w:val="bottom"/>
          </w:tcPr>
          <w:p w14:paraId="749E715D" w14:textId="75B4BDB8" w:rsidR="00D43D2F" w:rsidRPr="00DB3680" w:rsidRDefault="00DB3680" w:rsidP="00D43D2F">
            <w:pPr>
              <w:pStyle w:val="TableFigures"/>
            </w:pPr>
            <w:r>
              <w:t>27</w:t>
            </w:r>
          </w:p>
        </w:tc>
        <w:tc>
          <w:tcPr>
            <w:tcW w:w="500" w:type="pct"/>
            <w:tcBorders>
              <w:bottom w:val="single" w:sz="4" w:space="0" w:color="808080" w:themeColor="background1" w:themeShade="80"/>
            </w:tcBorders>
            <w:shd w:val="clear" w:color="auto" w:fill="auto"/>
            <w:vAlign w:val="bottom"/>
          </w:tcPr>
          <w:p w14:paraId="7D7005D3" w14:textId="589A11F0" w:rsidR="00D43D2F" w:rsidRPr="00DB3680" w:rsidRDefault="00DB3680" w:rsidP="00D43D2F">
            <w:pPr>
              <w:pStyle w:val="TableFigures"/>
            </w:pPr>
            <w:r>
              <w:t>9</w:t>
            </w:r>
          </w:p>
        </w:tc>
        <w:tc>
          <w:tcPr>
            <w:tcW w:w="497" w:type="pct"/>
            <w:tcBorders>
              <w:bottom w:val="single" w:sz="4" w:space="0" w:color="808080" w:themeColor="background1" w:themeShade="80"/>
            </w:tcBorders>
            <w:shd w:val="clear" w:color="auto" w:fill="auto"/>
            <w:vAlign w:val="bottom"/>
          </w:tcPr>
          <w:p w14:paraId="4D9C7865" w14:textId="5A065B0C" w:rsidR="00D43D2F" w:rsidRPr="00DB3680" w:rsidRDefault="00DB3680" w:rsidP="00D43D2F">
            <w:pPr>
              <w:pStyle w:val="TableFigures"/>
            </w:pPr>
            <w:r>
              <w:t>36</w:t>
            </w:r>
          </w:p>
        </w:tc>
      </w:tr>
      <w:tr w:rsidR="00D43D2F" w:rsidRPr="00DB3680" w14:paraId="65A0711F" w14:textId="77777777" w:rsidTr="00E30618">
        <w:trPr>
          <w:trHeight w:val="227"/>
        </w:trPr>
        <w:tc>
          <w:tcPr>
            <w:tcW w:w="1953" w:type="pct"/>
            <w:tcBorders>
              <w:top w:val="single" w:sz="4" w:space="0" w:color="808080" w:themeColor="background1" w:themeShade="80"/>
              <w:bottom w:val="single" w:sz="4" w:space="0" w:color="808080" w:themeColor="background1" w:themeShade="80"/>
            </w:tcBorders>
            <w:shd w:val="clear" w:color="auto" w:fill="auto"/>
            <w:vAlign w:val="bottom"/>
          </w:tcPr>
          <w:p w14:paraId="1B00163B" w14:textId="77777777" w:rsidR="00D43D2F" w:rsidRPr="00DB3680" w:rsidRDefault="00D43D2F" w:rsidP="00D43D2F">
            <w:pPr>
              <w:pStyle w:val="Tabletext"/>
              <w:rPr>
                <w:b/>
                <w:bCs/>
              </w:rPr>
            </w:pPr>
            <w:r w:rsidRPr="00DB3680">
              <w:rPr>
                <w:b/>
                <w:bCs/>
              </w:rPr>
              <w:t>Total</w:t>
            </w:r>
          </w:p>
        </w:tc>
        <w:tc>
          <w:tcPr>
            <w:tcW w:w="521" w:type="pct"/>
            <w:tcBorders>
              <w:top w:val="single" w:sz="4" w:space="0" w:color="808080" w:themeColor="background1" w:themeShade="80"/>
              <w:bottom w:val="single" w:sz="4" w:space="0" w:color="808080" w:themeColor="background1" w:themeShade="80"/>
            </w:tcBorders>
            <w:vAlign w:val="bottom"/>
          </w:tcPr>
          <w:p w14:paraId="6D61A3E2" w14:textId="6C67066A" w:rsidR="00D43D2F" w:rsidRPr="00DB3680" w:rsidRDefault="00DB3680" w:rsidP="00D43D2F">
            <w:pPr>
              <w:pStyle w:val="TableFiguresBold0"/>
            </w:pPr>
            <w:r>
              <w:t>1,925</w:t>
            </w:r>
          </w:p>
        </w:tc>
        <w:tc>
          <w:tcPr>
            <w:tcW w:w="551" w:type="pct"/>
            <w:tcBorders>
              <w:top w:val="single" w:sz="4" w:space="0" w:color="808080" w:themeColor="background1" w:themeShade="80"/>
              <w:bottom w:val="single" w:sz="4" w:space="0" w:color="808080" w:themeColor="background1" w:themeShade="80"/>
            </w:tcBorders>
            <w:vAlign w:val="bottom"/>
          </w:tcPr>
          <w:p w14:paraId="55D8F5C2" w14:textId="685BEB33" w:rsidR="00D43D2F" w:rsidRPr="00DB3680" w:rsidRDefault="00DB3680" w:rsidP="00D43D2F">
            <w:pPr>
              <w:pStyle w:val="TableFiguresBold0"/>
            </w:pPr>
            <w:r>
              <w:t>241</w:t>
            </w:r>
          </w:p>
        </w:tc>
        <w:tc>
          <w:tcPr>
            <w:tcW w:w="478" w:type="pct"/>
            <w:tcBorders>
              <w:top w:val="single" w:sz="4" w:space="0" w:color="808080" w:themeColor="background1" w:themeShade="80"/>
              <w:bottom w:val="single" w:sz="4" w:space="0" w:color="808080" w:themeColor="background1" w:themeShade="80"/>
            </w:tcBorders>
            <w:vAlign w:val="bottom"/>
          </w:tcPr>
          <w:p w14:paraId="7F58F99A" w14:textId="336BA6E5" w:rsidR="00D43D2F" w:rsidRPr="00DB3680" w:rsidRDefault="00DB3680" w:rsidP="00D43D2F">
            <w:pPr>
              <w:pStyle w:val="TableFiguresBold0"/>
            </w:pPr>
            <w:r>
              <w:t>2,166</w:t>
            </w:r>
          </w:p>
        </w:tc>
        <w:tc>
          <w:tcPr>
            <w:tcW w:w="500" w:type="pct"/>
            <w:tcBorders>
              <w:top w:val="single" w:sz="4" w:space="0" w:color="808080" w:themeColor="background1" w:themeShade="80"/>
              <w:bottom w:val="single" w:sz="4" w:space="0" w:color="808080" w:themeColor="background1" w:themeShade="80"/>
            </w:tcBorders>
            <w:vAlign w:val="bottom"/>
          </w:tcPr>
          <w:p w14:paraId="136C78E4" w14:textId="640A1099" w:rsidR="00D43D2F" w:rsidRPr="00DB3680" w:rsidRDefault="00DB3680" w:rsidP="00D43D2F">
            <w:pPr>
              <w:pStyle w:val="TableFigures"/>
            </w:pPr>
            <w:r>
              <w:t>1,404</w:t>
            </w:r>
          </w:p>
        </w:tc>
        <w:tc>
          <w:tcPr>
            <w:tcW w:w="500" w:type="pct"/>
            <w:tcBorders>
              <w:top w:val="single" w:sz="4" w:space="0" w:color="808080" w:themeColor="background1" w:themeShade="80"/>
              <w:bottom w:val="single" w:sz="4" w:space="0" w:color="808080" w:themeColor="background1" w:themeShade="80"/>
            </w:tcBorders>
            <w:shd w:val="clear" w:color="auto" w:fill="auto"/>
            <w:vAlign w:val="bottom"/>
          </w:tcPr>
          <w:p w14:paraId="436684B1" w14:textId="4760E410" w:rsidR="00D43D2F" w:rsidRPr="00DB3680" w:rsidRDefault="00DB3680" w:rsidP="00D43D2F">
            <w:pPr>
              <w:pStyle w:val="TableFigures"/>
            </w:pPr>
            <w:r>
              <w:t>143</w:t>
            </w:r>
          </w:p>
        </w:tc>
        <w:tc>
          <w:tcPr>
            <w:tcW w:w="497" w:type="pct"/>
            <w:tcBorders>
              <w:top w:val="single" w:sz="4" w:space="0" w:color="808080" w:themeColor="background1" w:themeShade="80"/>
              <w:bottom w:val="single" w:sz="4" w:space="0" w:color="808080" w:themeColor="background1" w:themeShade="80"/>
            </w:tcBorders>
            <w:shd w:val="clear" w:color="auto" w:fill="auto"/>
            <w:vAlign w:val="bottom"/>
          </w:tcPr>
          <w:p w14:paraId="4EFD472D" w14:textId="3F8D4BF7" w:rsidR="00D43D2F" w:rsidRPr="00DB3680" w:rsidRDefault="00DB3680" w:rsidP="00D43D2F">
            <w:pPr>
              <w:pStyle w:val="TableFigures"/>
            </w:pPr>
            <w:r>
              <w:t>1,547</w:t>
            </w:r>
          </w:p>
        </w:tc>
      </w:tr>
    </w:tbl>
    <w:p w14:paraId="5720A20E" w14:textId="77777777" w:rsidR="005E793C" w:rsidRPr="00426F61" w:rsidRDefault="005E793C" w:rsidP="005E793C">
      <w:pPr>
        <w:pStyle w:val="FootnotesNoSpace"/>
        <w:rPr>
          <w:i w:val="0"/>
          <w:color w:val="FF0000"/>
          <w:highlight w:val="yellow"/>
        </w:rPr>
      </w:pPr>
    </w:p>
    <w:p w14:paraId="4D9BA21F" w14:textId="703B42C2" w:rsidR="001F03F8" w:rsidRPr="00A47D38" w:rsidRDefault="00DB3680" w:rsidP="00DB3680">
      <w:pPr>
        <w:pStyle w:val="FootnotesNoSpace"/>
      </w:pPr>
      <w:r>
        <w:t xml:space="preserve">1 Being £1,272 million investment property and £8 million trading property (2020: £824 million and £34 million </w:t>
      </w:r>
      <w:r w:rsidRPr="00A47D38">
        <w:t xml:space="preserve">respectively) see </w:t>
      </w:r>
      <w:r w:rsidRPr="002E04BD">
        <w:t>Note 1</w:t>
      </w:r>
      <w:r w:rsidR="00A47D38" w:rsidRPr="00A47D38">
        <w:t>2</w:t>
      </w:r>
      <w:r w:rsidRPr="00A47D38">
        <w:t xml:space="preserve">. </w:t>
      </w:r>
    </w:p>
    <w:p w14:paraId="00C03975" w14:textId="2C7D044A" w:rsidR="001F03F8" w:rsidRPr="00A47D38" w:rsidRDefault="00DB3680" w:rsidP="00DB3680">
      <w:pPr>
        <w:pStyle w:val="FootnotesNoSpace"/>
      </w:pPr>
      <w:r w:rsidRPr="00A47D38">
        <w:t xml:space="preserve">2 Being £571 million investment property and £17 million trading property (2020: £471 million and £14 million respectively) see </w:t>
      </w:r>
      <w:r w:rsidRPr="002E04BD">
        <w:t>Note 1</w:t>
      </w:r>
      <w:r w:rsidR="00A47D38" w:rsidRPr="00A47D38">
        <w:t>2</w:t>
      </w:r>
      <w:r w:rsidRPr="00A47D38">
        <w:t xml:space="preserve">. </w:t>
      </w:r>
    </w:p>
    <w:p w14:paraId="7AE313FD" w14:textId="531A4F71" w:rsidR="001F03F8" w:rsidRDefault="00DB3680" w:rsidP="00DB3680">
      <w:pPr>
        <w:pStyle w:val="FootnotesNoSpace"/>
      </w:pPr>
      <w:r w:rsidRPr="00A47D38">
        <w:t xml:space="preserve">3 Being £35 million investment property and £nil trading property (2020: £34 million and £nil respectively) see </w:t>
      </w:r>
      <w:r w:rsidRPr="002E04BD">
        <w:t>Note 1</w:t>
      </w:r>
      <w:r w:rsidR="00A47D38" w:rsidRPr="002E04BD">
        <w:t>2</w:t>
      </w:r>
      <w:r w:rsidRPr="002E04BD">
        <w:t>.</w:t>
      </w:r>
      <w:r>
        <w:t xml:space="preserve"> </w:t>
      </w:r>
    </w:p>
    <w:p w14:paraId="5B2125E6" w14:textId="3366839C" w:rsidR="001F03F8" w:rsidRDefault="00DB3680" w:rsidP="00DB3680">
      <w:pPr>
        <w:pStyle w:val="FootnotesNoSpace"/>
      </w:pPr>
      <w:r>
        <w:t xml:space="preserve">4 Includes wholly-owned capitalised interest of £9 million (2020: £7 million) as further analysed in Note </w:t>
      </w:r>
      <w:r w:rsidR="00A47D38">
        <w:t>8</w:t>
      </w:r>
      <w:r>
        <w:t xml:space="preserve"> and share of joint venture capitalised interest of £1 million (2020: £1 million). </w:t>
      </w:r>
    </w:p>
    <w:p w14:paraId="20CEF832" w14:textId="77777777" w:rsidR="001F03F8" w:rsidRDefault="00DB3680" w:rsidP="00DB3680">
      <w:pPr>
        <w:pStyle w:val="FootnotesNoSpace"/>
      </w:pPr>
      <w:r>
        <w:t xml:space="preserve">5 Tenant incentives, letting fees and rental guarantees and other items. </w:t>
      </w:r>
    </w:p>
    <w:p w14:paraId="093A202B" w14:textId="77777777" w:rsidR="001F03F8" w:rsidRDefault="00DB3680" w:rsidP="00DB3680">
      <w:pPr>
        <w:pStyle w:val="FootnotesNoSpace"/>
      </w:pPr>
      <w:r>
        <w:t xml:space="preserve">6 Being £40 million expenditure used for enhancing existing space (2020: £37 million) and £5 million used for creation of additional lettable space (2020: £3 million). </w:t>
      </w:r>
    </w:p>
    <w:p w14:paraId="0017C41F" w14:textId="1C33C1A1" w:rsidR="005E793C" w:rsidRPr="005F6D8A" w:rsidRDefault="00DB3680" w:rsidP="00DB3680">
      <w:pPr>
        <w:pStyle w:val="FootnotesNoSpace"/>
        <w:rPr>
          <w:color w:val="FF0000"/>
          <w:highlight w:val="yellow"/>
        </w:rPr>
      </w:pPr>
      <w:r>
        <w:t>7 Total acquisitions completed in 2021</w:t>
      </w:r>
      <w:r w:rsidR="00A47D38">
        <w:t xml:space="preserve"> detailed in the Investment Update above, </w:t>
      </w:r>
      <w:r>
        <w:t>of £1,323 million</w:t>
      </w:r>
      <w:r w:rsidR="00A47D38">
        <w:t xml:space="preserve"> (</w:t>
      </w:r>
      <w:r w:rsidR="00960216">
        <w:t xml:space="preserve">being </w:t>
      </w:r>
      <w:r w:rsidR="00A47D38">
        <w:t>asset acquisitions of £997 million and land acquisitions of £326 million)</w:t>
      </w:r>
      <w:r>
        <w:t xml:space="preserve"> excludes share of assets acquired by SELP from SEGRO of £116 million (all of which was completed property).</w:t>
      </w:r>
    </w:p>
    <w:p w14:paraId="2ACB7BE1" w14:textId="7E86FCF5" w:rsidR="005E793C" w:rsidRPr="00E82529" w:rsidRDefault="004F207F" w:rsidP="00E82529">
      <w:pPr>
        <w:pStyle w:val="Heading1"/>
      </w:pPr>
      <w:r w:rsidRPr="00E82529">
        <w:t>FINANCING</w:t>
      </w:r>
    </w:p>
    <w:p w14:paraId="63DFB4FC" w14:textId="556B0ACE" w:rsidR="00E82529" w:rsidRDefault="00E82529" w:rsidP="005E793C">
      <w:pPr>
        <w:pStyle w:val="Normal1"/>
      </w:pPr>
      <w:r>
        <w:t xml:space="preserve">SEGRO took the opportunity in 2021 to extend </w:t>
      </w:r>
      <w:r w:rsidR="00DF0087">
        <w:t xml:space="preserve">the </w:t>
      </w:r>
      <w:r>
        <w:t>duration</w:t>
      </w:r>
      <w:r w:rsidR="00DF0087">
        <w:t xml:space="preserve"> of</w:t>
      </w:r>
      <w:r>
        <w:t xml:space="preserve"> both syndicated and bilateral revolving credit facilities. Commitments for both syndicated and bilateral facilities total €1.2 billion and </w:t>
      </w:r>
      <w:r w:rsidR="00090EFB">
        <w:t>they</w:t>
      </w:r>
      <w:r>
        <w:t xml:space="preserve"> mature in May 2026. In September, SEGRO issued a debut green €500 million 10-year unsecured euro bond with a very attractive coupon of just 0.5 per cent. Proceeds were used to finance </w:t>
      </w:r>
      <w:r w:rsidR="00090EFB">
        <w:t xml:space="preserve">and re-finance </w:t>
      </w:r>
      <w:r>
        <w:t xml:space="preserve">eligible green projects in accordance with SEGRO’s Green Finance Framework. In December, SEGRO entered into an additional €750 million syndicated term loan facility due to mature in December 2023. </w:t>
      </w:r>
    </w:p>
    <w:p w14:paraId="5EED5DC8" w14:textId="06C57579" w:rsidR="00E82529" w:rsidRDefault="00E82529" w:rsidP="005E793C">
      <w:pPr>
        <w:pStyle w:val="Normal1"/>
      </w:pPr>
      <w:r>
        <w:t xml:space="preserve">SELP combined two separate syndicated revolving credit facilities into a single facility of €500 million. It also took the opportunity to extend </w:t>
      </w:r>
      <w:r w:rsidR="00DF0087">
        <w:t xml:space="preserve">the </w:t>
      </w:r>
      <w:r>
        <w:t>maturity to May 2025. SELP also issued its debut green €500 million 8-year unsecured euro bond. Proceeds of the bond were used to finance</w:t>
      </w:r>
      <w:r w:rsidR="00090EFB">
        <w:t xml:space="preserve"> and re-finance </w:t>
      </w:r>
      <w:r>
        <w:t xml:space="preserve">eligible green projects outlined in SEGRO’s Green Finance Framework. </w:t>
      </w:r>
    </w:p>
    <w:p w14:paraId="7F933547" w14:textId="35AB83FE" w:rsidR="00E82529" w:rsidRDefault="00E82529" w:rsidP="005E793C">
      <w:pPr>
        <w:pStyle w:val="Normal1"/>
      </w:pPr>
      <w:r>
        <w:t>Both SEGRO and SELP had positive credit rating changes during the year. SEGRO’s Fitch senior unsecured debt rating increased by a notch</w:t>
      </w:r>
      <w:r w:rsidR="00090EFB">
        <w:t xml:space="preserve"> from </w:t>
      </w:r>
      <w:r>
        <w:t>A</w:t>
      </w:r>
      <w:r w:rsidR="00090EFB">
        <w:t>-</w:t>
      </w:r>
      <w:r>
        <w:t xml:space="preserve"> </w:t>
      </w:r>
      <w:r w:rsidR="00090EFB">
        <w:t>to</w:t>
      </w:r>
      <w:r>
        <w:t xml:space="preserve"> A. SEGRO’s issuer default rating also increased by a notch from BBB+ to A-. SELP’s Fitch senior unsecured debt rating increased by a notch from BBB+ to A-. In addition, Moody’s affirmed SELP’s long-term issuer rating of Baa2. </w:t>
      </w:r>
    </w:p>
    <w:p w14:paraId="575ACBB2" w14:textId="0FF377F9" w:rsidR="00E82529" w:rsidRDefault="00E82529" w:rsidP="005E793C">
      <w:pPr>
        <w:pStyle w:val="Normal1"/>
      </w:pPr>
      <w:r>
        <w:t>As at 31 December 2021, the gross borrowings of SEGRO Group and its share of gross borrowings in joint ventures totalled £4,268 million (31 December 2020: £3,201 million), of which only £8 million (31 December 2020: £</w:t>
      </w:r>
      <w:r w:rsidR="00A13D18">
        <w:t>17</w:t>
      </w:r>
      <w:r>
        <w:t xml:space="preserve"> million) are secured by way of legal charges over specific assets. The remainder of gross borrowings are unsecured. Cash and cash equivalent balances were £67 million (31 December 2020: £113 million). Average debt maturity was 8.6 years (31 December 2020: 9.9 years) and average cost of debt (excluding non-cash interest and commitment fees) was 1.5 per cent (31 December 2020: 1.6 per cent). </w:t>
      </w:r>
    </w:p>
    <w:p w14:paraId="6DF7A473" w14:textId="34E27F80" w:rsidR="00E82529" w:rsidRDefault="00E82529" w:rsidP="005E793C">
      <w:pPr>
        <w:pStyle w:val="Normal1"/>
      </w:pPr>
      <w:r>
        <w:t>Funds available to SEGRO Group (including its share of joint venture funds) at 31 December 2021 totalled £1,105 million (31 December 2020: £1,189 million), comprising £67 million cash and short-term investments and £1,038 million of undrawn credit facilities of which only £8 million was uncommitted. Cash and cash equivalent balances, together with the Group’s interest rate and foreign exchange derivatives portfolio, are spread amongst a strong group of banks, all of which have a credit rating of A- or better.</w:t>
      </w:r>
    </w:p>
    <w:p w14:paraId="7042202C" w14:textId="33D92D8C" w:rsidR="00A06708" w:rsidRDefault="00A06708" w:rsidP="005E793C">
      <w:pPr>
        <w:pStyle w:val="Normal1"/>
      </w:pPr>
    </w:p>
    <w:p w14:paraId="2DB52D8D" w14:textId="1AA13DF6" w:rsidR="00A06708" w:rsidRDefault="00A06708" w:rsidP="005E793C">
      <w:pPr>
        <w:pStyle w:val="Normal1"/>
      </w:pPr>
    </w:p>
    <w:p w14:paraId="36D2C1A3" w14:textId="4E5B57B1" w:rsidR="00A06708" w:rsidRDefault="00A06708" w:rsidP="005E793C">
      <w:pPr>
        <w:pStyle w:val="Normal1"/>
      </w:pPr>
    </w:p>
    <w:p w14:paraId="213FF419" w14:textId="2D8431E8" w:rsidR="00A06708" w:rsidRDefault="00A06708" w:rsidP="005E793C">
      <w:pPr>
        <w:pStyle w:val="Normal1"/>
      </w:pPr>
    </w:p>
    <w:p w14:paraId="6B0CBE67" w14:textId="77777777" w:rsidR="00A06708" w:rsidRDefault="00A06708" w:rsidP="005E793C">
      <w:pPr>
        <w:pStyle w:val="Normal1"/>
      </w:pPr>
    </w:p>
    <w:p w14:paraId="017B241E" w14:textId="2A61A536" w:rsidR="005E793C" w:rsidRPr="00E84097" w:rsidRDefault="005E793C" w:rsidP="005E793C">
      <w:pPr>
        <w:spacing w:after="120" w:line="276" w:lineRule="auto"/>
        <w:jc w:val="both"/>
        <w:rPr>
          <w:szCs w:val="20"/>
          <w:u w:val="single"/>
        </w:rPr>
      </w:pPr>
      <w:r w:rsidRPr="00E84097">
        <w:rPr>
          <w:szCs w:val="20"/>
          <w:u w:val="single"/>
        </w:rPr>
        <w:lastRenderedPageBreak/>
        <w:t xml:space="preserve">Financial </w:t>
      </w:r>
      <w:r w:rsidR="004F207F" w:rsidRPr="00E84097">
        <w:rPr>
          <w:szCs w:val="20"/>
          <w:u w:val="single"/>
        </w:rPr>
        <w:t>Position and Funding</w:t>
      </w:r>
    </w:p>
    <w:tbl>
      <w:tblPr>
        <w:tblStyle w:val="TableGrid"/>
        <w:tblW w:w="0" w:type="auto"/>
        <w:tblLook w:val="04A0" w:firstRow="1" w:lastRow="0" w:firstColumn="1" w:lastColumn="0" w:noHBand="0" w:noVBand="1"/>
      </w:tblPr>
      <w:tblGrid>
        <w:gridCol w:w="3540"/>
        <w:gridCol w:w="1731"/>
        <w:gridCol w:w="1732"/>
        <w:gridCol w:w="1732"/>
        <w:gridCol w:w="1732"/>
      </w:tblGrid>
      <w:tr w:rsidR="005F6D8A" w:rsidRPr="00E84097" w14:paraId="1E79DF74" w14:textId="77777777" w:rsidTr="00E30618">
        <w:tc>
          <w:tcPr>
            <w:tcW w:w="3540" w:type="dxa"/>
          </w:tcPr>
          <w:p w14:paraId="6C255522" w14:textId="77777777" w:rsidR="005E793C" w:rsidRPr="00E84097" w:rsidRDefault="005E793C" w:rsidP="00E30618">
            <w:pPr>
              <w:spacing w:after="0" w:line="276" w:lineRule="auto"/>
              <w:rPr>
                <w:rFonts w:cs="Arial"/>
                <w:b/>
                <w:sz w:val="18"/>
                <w:szCs w:val="18"/>
              </w:rPr>
            </w:pPr>
          </w:p>
        </w:tc>
        <w:tc>
          <w:tcPr>
            <w:tcW w:w="3463" w:type="dxa"/>
            <w:gridSpan w:val="2"/>
            <w:tcBorders>
              <w:bottom w:val="single" w:sz="4" w:space="0" w:color="808080" w:themeColor="background1" w:themeShade="80"/>
            </w:tcBorders>
          </w:tcPr>
          <w:p w14:paraId="6F3FE911" w14:textId="3A95F50A" w:rsidR="005E793C" w:rsidRPr="00E84097" w:rsidRDefault="004F207F" w:rsidP="00E30618">
            <w:pPr>
              <w:spacing w:after="0" w:line="276" w:lineRule="auto"/>
              <w:jc w:val="center"/>
              <w:rPr>
                <w:rFonts w:cs="Arial"/>
                <w:b/>
                <w:sz w:val="18"/>
                <w:szCs w:val="18"/>
              </w:rPr>
            </w:pPr>
            <w:r w:rsidRPr="00E84097">
              <w:rPr>
                <w:rFonts w:cs="Arial"/>
                <w:b/>
                <w:sz w:val="18"/>
                <w:szCs w:val="18"/>
              </w:rPr>
              <w:t xml:space="preserve">31 December </w:t>
            </w:r>
            <w:r w:rsidR="000E0F23" w:rsidRPr="00E84097">
              <w:rPr>
                <w:rFonts w:cs="Arial"/>
                <w:b/>
                <w:sz w:val="18"/>
                <w:szCs w:val="18"/>
              </w:rPr>
              <w:t>20</w:t>
            </w:r>
            <w:r w:rsidRPr="00E84097">
              <w:rPr>
                <w:rFonts w:cs="Arial"/>
                <w:b/>
                <w:sz w:val="18"/>
                <w:szCs w:val="18"/>
              </w:rPr>
              <w:t>2</w:t>
            </w:r>
            <w:r w:rsidR="00E84097" w:rsidRPr="00E84097">
              <w:rPr>
                <w:rFonts w:cs="Arial"/>
                <w:b/>
                <w:sz w:val="18"/>
                <w:szCs w:val="18"/>
              </w:rPr>
              <w:t>1</w:t>
            </w:r>
          </w:p>
        </w:tc>
        <w:tc>
          <w:tcPr>
            <w:tcW w:w="3464" w:type="dxa"/>
            <w:gridSpan w:val="2"/>
            <w:tcBorders>
              <w:bottom w:val="single" w:sz="4" w:space="0" w:color="808080" w:themeColor="background1" w:themeShade="80"/>
            </w:tcBorders>
          </w:tcPr>
          <w:p w14:paraId="01DD3654" w14:textId="5B14F89C" w:rsidR="005E793C" w:rsidRPr="00E84097" w:rsidRDefault="004F207F" w:rsidP="00E30618">
            <w:pPr>
              <w:spacing w:after="0" w:line="276" w:lineRule="auto"/>
              <w:jc w:val="center"/>
              <w:rPr>
                <w:rFonts w:cs="Arial"/>
                <w:sz w:val="18"/>
                <w:szCs w:val="18"/>
              </w:rPr>
            </w:pPr>
            <w:r w:rsidRPr="00E84097">
              <w:rPr>
                <w:rFonts w:cs="Arial"/>
                <w:sz w:val="18"/>
                <w:szCs w:val="18"/>
              </w:rPr>
              <w:t xml:space="preserve">31 December </w:t>
            </w:r>
            <w:r w:rsidR="000E0F23" w:rsidRPr="00E84097">
              <w:rPr>
                <w:rFonts w:cs="Arial"/>
                <w:sz w:val="18"/>
                <w:szCs w:val="18"/>
              </w:rPr>
              <w:t>20</w:t>
            </w:r>
            <w:r w:rsidR="00E84097" w:rsidRPr="00E84097">
              <w:rPr>
                <w:rFonts w:cs="Arial"/>
                <w:sz w:val="18"/>
                <w:szCs w:val="18"/>
              </w:rPr>
              <w:t>20</w:t>
            </w:r>
          </w:p>
        </w:tc>
      </w:tr>
      <w:tr w:rsidR="005F6D8A" w:rsidRPr="00E84097" w14:paraId="44D3C4B9" w14:textId="77777777" w:rsidTr="00E30618">
        <w:tc>
          <w:tcPr>
            <w:tcW w:w="3540" w:type="dxa"/>
            <w:tcBorders>
              <w:bottom w:val="single" w:sz="4" w:space="0" w:color="808080" w:themeColor="background1" w:themeShade="80"/>
            </w:tcBorders>
          </w:tcPr>
          <w:p w14:paraId="447E1BB1" w14:textId="77777777" w:rsidR="005E793C" w:rsidRPr="00E84097" w:rsidRDefault="005E793C" w:rsidP="00E30618">
            <w:pPr>
              <w:spacing w:after="0" w:line="276" w:lineRule="auto"/>
              <w:rPr>
                <w:rFonts w:cs="Arial"/>
                <w:b/>
                <w:sz w:val="18"/>
                <w:szCs w:val="18"/>
              </w:rPr>
            </w:pPr>
          </w:p>
        </w:tc>
        <w:tc>
          <w:tcPr>
            <w:tcW w:w="1731" w:type="dxa"/>
            <w:tcBorders>
              <w:top w:val="single" w:sz="4" w:space="0" w:color="808080" w:themeColor="background1" w:themeShade="80"/>
              <w:bottom w:val="single" w:sz="4" w:space="0" w:color="808080" w:themeColor="background1" w:themeShade="80"/>
            </w:tcBorders>
          </w:tcPr>
          <w:p w14:paraId="34F928C6" w14:textId="77777777" w:rsidR="005E793C" w:rsidRPr="00E84097" w:rsidRDefault="005E793C" w:rsidP="00E30618">
            <w:pPr>
              <w:spacing w:after="0" w:line="276" w:lineRule="auto"/>
              <w:jc w:val="right"/>
              <w:rPr>
                <w:rFonts w:cs="Arial"/>
                <w:b/>
                <w:sz w:val="18"/>
                <w:szCs w:val="18"/>
              </w:rPr>
            </w:pPr>
            <w:r w:rsidRPr="00E84097">
              <w:rPr>
                <w:rFonts w:cs="Arial"/>
                <w:b/>
                <w:sz w:val="18"/>
                <w:szCs w:val="18"/>
              </w:rPr>
              <w:t>SEGRO Group</w:t>
            </w:r>
          </w:p>
        </w:tc>
        <w:tc>
          <w:tcPr>
            <w:tcW w:w="1732" w:type="dxa"/>
            <w:tcBorders>
              <w:top w:val="single" w:sz="4" w:space="0" w:color="808080" w:themeColor="background1" w:themeShade="80"/>
              <w:bottom w:val="single" w:sz="4" w:space="0" w:color="808080" w:themeColor="background1" w:themeShade="80"/>
            </w:tcBorders>
          </w:tcPr>
          <w:p w14:paraId="559DF4BE" w14:textId="77777777" w:rsidR="005E793C" w:rsidRPr="00E84097" w:rsidRDefault="005E793C" w:rsidP="00E30618">
            <w:pPr>
              <w:spacing w:after="0" w:line="276" w:lineRule="auto"/>
              <w:jc w:val="right"/>
              <w:rPr>
                <w:rFonts w:cs="Arial"/>
                <w:b/>
                <w:sz w:val="18"/>
                <w:szCs w:val="18"/>
              </w:rPr>
            </w:pPr>
            <w:r w:rsidRPr="00E84097">
              <w:rPr>
                <w:rFonts w:cs="Arial"/>
                <w:b/>
                <w:sz w:val="18"/>
                <w:szCs w:val="18"/>
              </w:rPr>
              <w:t>SEGRO Group and JVs at share</w:t>
            </w:r>
          </w:p>
        </w:tc>
        <w:tc>
          <w:tcPr>
            <w:tcW w:w="1732" w:type="dxa"/>
            <w:tcBorders>
              <w:top w:val="single" w:sz="4" w:space="0" w:color="808080" w:themeColor="background1" w:themeShade="80"/>
              <w:bottom w:val="single" w:sz="4" w:space="0" w:color="808080" w:themeColor="background1" w:themeShade="80"/>
            </w:tcBorders>
          </w:tcPr>
          <w:p w14:paraId="27C2FB6F" w14:textId="77777777" w:rsidR="005E793C" w:rsidRPr="00E84097" w:rsidRDefault="005E793C" w:rsidP="00E30618">
            <w:pPr>
              <w:spacing w:after="0" w:line="276" w:lineRule="auto"/>
              <w:jc w:val="right"/>
              <w:rPr>
                <w:rFonts w:cs="Arial"/>
                <w:sz w:val="18"/>
                <w:szCs w:val="18"/>
              </w:rPr>
            </w:pPr>
            <w:r w:rsidRPr="00E84097">
              <w:rPr>
                <w:rFonts w:cs="Arial"/>
                <w:sz w:val="18"/>
                <w:szCs w:val="18"/>
              </w:rPr>
              <w:t>SEGRO Group</w:t>
            </w:r>
          </w:p>
        </w:tc>
        <w:tc>
          <w:tcPr>
            <w:tcW w:w="1732" w:type="dxa"/>
            <w:tcBorders>
              <w:top w:val="single" w:sz="4" w:space="0" w:color="808080" w:themeColor="background1" w:themeShade="80"/>
              <w:bottom w:val="single" w:sz="4" w:space="0" w:color="808080" w:themeColor="background1" w:themeShade="80"/>
            </w:tcBorders>
          </w:tcPr>
          <w:p w14:paraId="7E34A611" w14:textId="77777777" w:rsidR="005E793C" w:rsidRPr="00E84097" w:rsidRDefault="005E793C" w:rsidP="00E30618">
            <w:pPr>
              <w:spacing w:after="0" w:line="276" w:lineRule="auto"/>
              <w:jc w:val="right"/>
              <w:rPr>
                <w:rFonts w:cs="Arial"/>
                <w:sz w:val="18"/>
                <w:szCs w:val="18"/>
              </w:rPr>
            </w:pPr>
            <w:r w:rsidRPr="00E84097">
              <w:rPr>
                <w:rFonts w:cs="Arial"/>
                <w:sz w:val="18"/>
                <w:szCs w:val="18"/>
              </w:rPr>
              <w:t>SEGRO Group and JVs at share</w:t>
            </w:r>
          </w:p>
        </w:tc>
      </w:tr>
      <w:tr w:rsidR="005F6D8A" w:rsidRPr="00E84097" w14:paraId="64B6C4E4" w14:textId="77777777" w:rsidTr="00E30618">
        <w:tc>
          <w:tcPr>
            <w:tcW w:w="3540" w:type="dxa"/>
            <w:tcBorders>
              <w:top w:val="single" w:sz="4" w:space="0" w:color="808080" w:themeColor="background1" w:themeShade="80"/>
            </w:tcBorders>
          </w:tcPr>
          <w:p w14:paraId="0B2ED270" w14:textId="77777777" w:rsidR="004F207F" w:rsidRPr="00E84097" w:rsidRDefault="004F207F" w:rsidP="004F207F">
            <w:pPr>
              <w:spacing w:after="0" w:line="276" w:lineRule="auto"/>
              <w:rPr>
                <w:rFonts w:cs="Arial"/>
                <w:sz w:val="18"/>
                <w:szCs w:val="18"/>
              </w:rPr>
            </w:pPr>
            <w:r w:rsidRPr="00E84097">
              <w:rPr>
                <w:rFonts w:cs="Arial"/>
                <w:sz w:val="18"/>
                <w:szCs w:val="18"/>
              </w:rPr>
              <w:t>Net borrowings (£m)</w:t>
            </w:r>
          </w:p>
        </w:tc>
        <w:tc>
          <w:tcPr>
            <w:tcW w:w="1731" w:type="dxa"/>
            <w:tcBorders>
              <w:top w:val="single" w:sz="4" w:space="0" w:color="808080" w:themeColor="background1" w:themeShade="80"/>
            </w:tcBorders>
          </w:tcPr>
          <w:p w14:paraId="1E4BD560" w14:textId="4F907F29" w:rsidR="004F207F" w:rsidRPr="00E84097" w:rsidRDefault="00E84097" w:rsidP="002A206B">
            <w:pPr>
              <w:pStyle w:val="TableFiguresBold0"/>
            </w:pPr>
            <w:r>
              <w:t>3,361</w:t>
            </w:r>
          </w:p>
        </w:tc>
        <w:tc>
          <w:tcPr>
            <w:tcW w:w="1732" w:type="dxa"/>
            <w:tcBorders>
              <w:top w:val="single" w:sz="4" w:space="0" w:color="808080" w:themeColor="background1" w:themeShade="80"/>
            </w:tcBorders>
          </w:tcPr>
          <w:p w14:paraId="5E4590AD" w14:textId="764107E6" w:rsidR="004F207F" w:rsidRPr="00E84097" w:rsidRDefault="00E84097" w:rsidP="002A206B">
            <w:pPr>
              <w:pStyle w:val="TableFiguresBold0"/>
            </w:pPr>
            <w:r>
              <w:t>4,201</w:t>
            </w:r>
          </w:p>
        </w:tc>
        <w:tc>
          <w:tcPr>
            <w:tcW w:w="1732" w:type="dxa"/>
            <w:tcBorders>
              <w:top w:val="single" w:sz="4" w:space="0" w:color="808080" w:themeColor="background1" w:themeShade="80"/>
            </w:tcBorders>
          </w:tcPr>
          <w:p w14:paraId="2DCC1DA8" w14:textId="4478FE0A" w:rsidR="004F207F" w:rsidRPr="00E84097" w:rsidRDefault="00E84097" w:rsidP="004F207F">
            <w:pPr>
              <w:pStyle w:val="TableFigures"/>
            </w:pPr>
            <w:r>
              <w:t>2,325</w:t>
            </w:r>
          </w:p>
        </w:tc>
        <w:tc>
          <w:tcPr>
            <w:tcW w:w="1732" w:type="dxa"/>
            <w:tcBorders>
              <w:top w:val="single" w:sz="4" w:space="0" w:color="808080" w:themeColor="background1" w:themeShade="80"/>
            </w:tcBorders>
          </w:tcPr>
          <w:p w14:paraId="0A9A8396" w14:textId="4D478CF2" w:rsidR="004F207F" w:rsidRPr="00E84097" w:rsidRDefault="00E84097" w:rsidP="004F207F">
            <w:pPr>
              <w:pStyle w:val="TableFigures"/>
            </w:pPr>
            <w:r>
              <w:t>3,088</w:t>
            </w:r>
          </w:p>
        </w:tc>
      </w:tr>
      <w:tr w:rsidR="005F6D8A" w:rsidRPr="00E84097" w14:paraId="7B79044E" w14:textId="77777777" w:rsidTr="00E30618">
        <w:tc>
          <w:tcPr>
            <w:tcW w:w="3540" w:type="dxa"/>
          </w:tcPr>
          <w:p w14:paraId="52AC4FE5" w14:textId="77777777" w:rsidR="004F207F" w:rsidRPr="00E84097" w:rsidRDefault="004F207F" w:rsidP="004F207F">
            <w:pPr>
              <w:spacing w:after="0" w:line="276" w:lineRule="auto"/>
              <w:rPr>
                <w:rFonts w:cs="Arial"/>
                <w:sz w:val="18"/>
                <w:szCs w:val="18"/>
              </w:rPr>
            </w:pPr>
            <w:r w:rsidRPr="00E84097">
              <w:rPr>
                <w:rFonts w:cs="Arial"/>
                <w:sz w:val="18"/>
                <w:szCs w:val="18"/>
              </w:rPr>
              <w:t>Available cash and undrawn facilities (£m)</w:t>
            </w:r>
          </w:p>
        </w:tc>
        <w:tc>
          <w:tcPr>
            <w:tcW w:w="1731" w:type="dxa"/>
          </w:tcPr>
          <w:p w14:paraId="3781E1B4" w14:textId="42901D1B" w:rsidR="004F207F" w:rsidRPr="00E84097" w:rsidRDefault="00E84097" w:rsidP="002A206B">
            <w:pPr>
              <w:pStyle w:val="TableFiguresBold0"/>
            </w:pPr>
            <w:r>
              <w:t>893</w:t>
            </w:r>
          </w:p>
        </w:tc>
        <w:tc>
          <w:tcPr>
            <w:tcW w:w="1732" w:type="dxa"/>
          </w:tcPr>
          <w:p w14:paraId="0CBC843F" w14:textId="02CB51FE" w:rsidR="004F207F" w:rsidRPr="00E84097" w:rsidRDefault="00E84097" w:rsidP="002A206B">
            <w:pPr>
              <w:pStyle w:val="TableFiguresBold0"/>
            </w:pPr>
            <w:r>
              <w:t>1,105</w:t>
            </w:r>
          </w:p>
        </w:tc>
        <w:tc>
          <w:tcPr>
            <w:tcW w:w="1732" w:type="dxa"/>
          </w:tcPr>
          <w:p w14:paraId="372A0DCC" w14:textId="52BCB641" w:rsidR="004F207F" w:rsidRPr="00E84097" w:rsidRDefault="00E84097" w:rsidP="004F207F">
            <w:pPr>
              <w:pStyle w:val="TableFigures"/>
            </w:pPr>
            <w:r>
              <w:t>1,061</w:t>
            </w:r>
          </w:p>
        </w:tc>
        <w:tc>
          <w:tcPr>
            <w:tcW w:w="1732" w:type="dxa"/>
          </w:tcPr>
          <w:p w14:paraId="63602BB1" w14:textId="5B28AF85" w:rsidR="004F207F" w:rsidRPr="00E84097" w:rsidRDefault="00E84097" w:rsidP="004F207F">
            <w:pPr>
              <w:pStyle w:val="TableFigures"/>
            </w:pPr>
            <w:r>
              <w:t>1,189</w:t>
            </w:r>
          </w:p>
        </w:tc>
      </w:tr>
      <w:tr w:rsidR="005F6D8A" w:rsidRPr="00E84097" w14:paraId="7E2A24FD" w14:textId="77777777" w:rsidTr="00E30618">
        <w:tc>
          <w:tcPr>
            <w:tcW w:w="3540" w:type="dxa"/>
          </w:tcPr>
          <w:p w14:paraId="6CA730D3" w14:textId="77777777" w:rsidR="004F207F" w:rsidRPr="00E84097" w:rsidRDefault="004F207F" w:rsidP="004F207F">
            <w:pPr>
              <w:spacing w:after="0" w:line="276" w:lineRule="auto"/>
              <w:rPr>
                <w:rFonts w:cs="Arial"/>
                <w:sz w:val="18"/>
                <w:szCs w:val="18"/>
              </w:rPr>
            </w:pPr>
            <w:r w:rsidRPr="00E84097">
              <w:rPr>
                <w:rFonts w:cs="Arial"/>
                <w:sz w:val="18"/>
                <w:szCs w:val="18"/>
              </w:rPr>
              <w:t>Balance sheet gearing (%)</w:t>
            </w:r>
          </w:p>
        </w:tc>
        <w:tc>
          <w:tcPr>
            <w:tcW w:w="1731" w:type="dxa"/>
          </w:tcPr>
          <w:p w14:paraId="6508FEAB" w14:textId="20457C3C" w:rsidR="004F207F" w:rsidRPr="00E84097" w:rsidRDefault="00E84097" w:rsidP="002A206B">
            <w:pPr>
              <w:pStyle w:val="TableFiguresBold0"/>
            </w:pPr>
            <w:r>
              <w:t>25</w:t>
            </w:r>
          </w:p>
        </w:tc>
        <w:tc>
          <w:tcPr>
            <w:tcW w:w="1732" w:type="dxa"/>
          </w:tcPr>
          <w:p w14:paraId="251ED53E" w14:textId="77777777" w:rsidR="004F207F" w:rsidRPr="00E84097" w:rsidRDefault="004F207F" w:rsidP="002A206B">
            <w:pPr>
              <w:pStyle w:val="TableFiguresBold0"/>
            </w:pPr>
            <w:r w:rsidRPr="00E84097">
              <w:t>N/A</w:t>
            </w:r>
          </w:p>
        </w:tc>
        <w:tc>
          <w:tcPr>
            <w:tcW w:w="1732" w:type="dxa"/>
          </w:tcPr>
          <w:p w14:paraId="2AE76D50" w14:textId="7C3F49D2" w:rsidR="004F207F" w:rsidRPr="00E84097" w:rsidRDefault="00E84097" w:rsidP="004F207F">
            <w:pPr>
              <w:pStyle w:val="TableFigures"/>
            </w:pPr>
            <w:r>
              <w:t>24</w:t>
            </w:r>
          </w:p>
        </w:tc>
        <w:tc>
          <w:tcPr>
            <w:tcW w:w="1732" w:type="dxa"/>
          </w:tcPr>
          <w:p w14:paraId="0B595BF9" w14:textId="5E0E801A" w:rsidR="004F207F" w:rsidRPr="00E84097" w:rsidRDefault="004F207F" w:rsidP="004F207F">
            <w:pPr>
              <w:pStyle w:val="TableFigures"/>
            </w:pPr>
            <w:r w:rsidRPr="00E84097">
              <w:t>N/A</w:t>
            </w:r>
          </w:p>
        </w:tc>
      </w:tr>
      <w:tr w:rsidR="005F6D8A" w:rsidRPr="00E84097" w14:paraId="5CA5CE2D" w14:textId="77777777" w:rsidTr="00E30618">
        <w:tc>
          <w:tcPr>
            <w:tcW w:w="3540" w:type="dxa"/>
          </w:tcPr>
          <w:p w14:paraId="31D9ED54" w14:textId="77777777" w:rsidR="004F207F" w:rsidRPr="00E84097" w:rsidRDefault="004F207F" w:rsidP="004F207F">
            <w:pPr>
              <w:spacing w:after="0" w:line="276" w:lineRule="auto"/>
              <w:rPr>
                <w:rFonts w:cs="Arial"/>
                <w:sz w:val="18"/>
                <w:szCs w:val="18"/>
              </w:rPr>
            </w:pPr>
            <w:r w:rsidRPr="00E84097">
              <w:rPr>
                <w:rFonts w:cs="Arial"/>
                <w:sz w:val="18"/>
                <w:szCs w:val="18"/>
              </w:rPr>
              <w:t>Loan to value ratio (%)</w:t>
            </w:r>
          </w:p>
        </w:tc>
        <w:tc>
          <w:tcPr>
            <w:tcW w:w="1731" w:type="dxa"/>
          </w:tcPr>
          <w:p w14:paraId="10728D41" w14:textId="7BE2303B" w:rsidR="004F207F" w:rsidRPr="00E84097" w:rsidRDefault="00E84097" w:rsidP="002A206B">
            <w:pPr>
              <w:pStyle w:val="TableFiguresBold0"/>
            </w:pPr>
            <w:r>
              <w:t>22</w:t>
            </w:r>
          </w:p>
        </w:tc>
        <w:tc>
          <w:tcPr>
            <w:tcW w:w="1732" w:type="dxa"/>
          </w:tcPr>
          <w:p w14:paraId="15A1B302" w14:textId="01417980" w:rsidR="004F207F" w:rsidRPr="00E84097" w:rsidRDefault="00E84097">
            <w:pPr>
              <w:pStyle w:val="TableFiguresBold0"/>
            </w:pPr>
            <w:r>
              <w:t>23</w:t>
            </w:r>
          </w:p>
        </w:tc>
        <w:tc>
          <w:tcPr>
            <w:tcW w:w="1732" w:type="dxa"/>
          </w:tcPr>
          <w:p w14:paraId="775D16A2" w14:textId="566AC17E" w:rsidR="004F207F" w:rsidRPr="00E84097" w:rsidRDefault="00E84097" w:rsidP="004F207F">
            <w:pPr>
              <w:pStyle w:val="TableFigures"/>
            </w:pPr>
            <w:r>
              <w:t>22</w:t>
            </w:r>
          </w:p>
        </w:tc>
        <w:tc>
          <w:tcPr>
            <w:tcW w:w="1732" w:type="dxa"/>
          </w:tcPr>
          <w:p w14:paraId="493A4CEC" w14:textId="739B822C" w:rsidR="004F207F" w:rsidRPr="00E84097" w:rsidRDefault="00E84097" w:rsidP="004F207F">
            <w:pPr>
              <w:pStyle w:val="TableFigures"/>
            </w:pPr>
            <w:r>
              <w:t>24</w:t>
            </w:r>
          </w:p>
        </w:tc>
      </w:tr>
      <w:tr w:rsidR="005F6D8A" w:rsidRPr="00E84097" w14:paraId="6575167A" w14:textId="77777777" w:rsidTr="00E30618">
        <w:tc>
          <w:tcPr>
            <w:tcW w:w="3540" w:type="dxa"/>
          </w:tcPr>
          <w:p w14:paraId="5FE38962" w14:textId="77777777" w:rsidR="004F207F" w:rsidRPr="00E84097" w:rsidRDefault="004F207F" w:rsidP="004F207F">
            <w:pPr>
              <w:spacing w:after="0" w:line="276" w:lineRule="auto"/>
              <w:rPr>
                <w:rFonts w:cs="Arial"/>
                <w:sz w:val="18"/>
                <w:szCs w:val="18"/>
              </w:rPr>
            </w:pPr>
            <w:r w:rsidRPr="00E84097">
              <w:rPr>
                <w:rFonts w:cs="Arial"/>
                <w:sz w:val="18"/>
                <w:szCs w:val="18"/>
              </w:rPr>
              <w:t>Weighted average cost of debt</w:t>
            </w:r>
            <w:r w:rsidRPr="00E84097">
              <w:rPr>
                <w:rFonts w:cs="Arial"/>
                <w:sz w:val="18"/>
                <w:szCs w:val="18"/>
                <w:vertAlign w:val="superscript"/>
              </w:rPr>
              <w:t>1</w:t>
            </w:r>
            <w:r w:rsidRPr="00E84097">
              <w:rPr>
                <w:rFonts w:cs="Arial"/>
                <w:sz w:val="18"/>
                <w:szCs w:val="18"/>
              </w:rPr>
              <w:t xml:space="preserve"> (%)</w:t>
            </w:r>
          </w:p>
        </w:tc>
        <w:tc>
          <w:tcPr>
            <w:tcW w:w="1731" w:type="dxa"/>
          </w:tcPr>
          <w:p w14:paraId="371A6A2A" w14:textId="76100C40" w:rsidR="004F207F" w:rsidRPr="00E84097" w:rsidRDefault="00E84097" w:rsidP="002A206B">
            <w:pPr>
              <w:pStyle w:val="TableFiguresBold0"/>
            </w:pPr>
            <w:r>
              <w:t>1.5</w:t>
            </w:r>
          </w:p>
        </w:tc>
        <w:tc>
          <w:tcPr>
            <w:tcW w:w="1732" w:type="dxa"/>
          </w:tcPr>
          <w:p w14:paraId="0B67A6E0" w14:textId="1695AC43" w:rsidR="004F207F" w:rsidRPr="00E84097" w:rsidRDefault="00E84097">
            <w:pPr>
              <w:pStyle w:val="TableFiguresBold0"/>
            </w:pPr>
            <w:r>
              <w:t>1.5</w:t>
            </w:r>
          </w:p>
        </w:tc>
        <w:tc>
          <w:tcPr>
            <w:tcW w:w="1732" w:type="dxa"/>
          </w:tcPr>
          <w:p w14:paraId="22799C25" w14:textId="71DC3B5A" w:rsidR="004F207F" w:rsidRPr="00E84097" w:rsidRDefault="00E84097" w:rsidP="004F207F">
            <w:pPr>
              <w:pStyle w:val="TableFigures"/>
            </w:pPr>
            <w:r>
              <w:t>1.7</w:t>
            </w:r>
          </w:p>
        </w:tc>
        <w:tc>
          <w:tcPr>
            <w:tcW w:w="1732" w:type="dxa"/>
          </w:tcPr>
          <w:p w14:paraId="2E67F6D5" w14:textId="3A306262" w:rsidR="004F207F" w:rsidRPr="00E84097" w:rsidRDefault="00E84097" w:rsidP="004F207F">
            <w:pPr>
              <w:pStyle w:val="TableFigures"/>
            </w:pPr>
            <w:r>
              <w:t>1.6</w:t>
            </w:r>
          </w:p>
        </w:tc>
      </w:tr>
      <w:tr w:rsidR="005F6D8A" w:rsidRPr="00E84097" w14:paraId="71315E74" w14:textId="77777777" w:rsidTr="00E30618">
        <w:tc>
          <w:tcPr>
            <w:tcW w:w="3540" w:type="dxa"/>
          </w:tcPr>
          <w:p w14:paraId="57EC4300" w14:textId="77777777" w:rsidR="004F207F" w:rsidRPr="00E84097" w:rsidRDefault="004F207F" w:rsidP="004F207F">
            <w:pPr>
              <w:spacing w:after="0" w:line="276" w:lineRule="auto"/>
              <w:rPr>
                <w:rFonts w:cs="Arial"/>
                <w:sz w:val="18"/>
                <w:szCs w:val="18"/>
              </w:rPr>
            </w:pPr>
            <w:r w:rsidRPr="00E84097">
              <w:rPr>
                <w:rFonts w:cs="Arial"/>
                <w:sz w:val="18"/>
                <w:szCs w:val="18"/>
              </w:rPr>
              <w:t>Interest cover</w:t>
            </w:r>
            <w:r w:rsidRPr="00E84097">
              <w:rPr>
                <w:rFonts w:cs="Arial"/>
                <w:sz w:val="18"/>
                <w:szCs w:val="18"/>
                <w:vertAlign w:val="superscript"/>
              </w:rPr>
              <w:t>2</w:t>
            </w:r>
            <w:r w:rsidRPr="00E84097">
              <w:rPr>
                <w:rFonts w:cs="Arial"/>
                <w:sz w:val="18"/>
                <w:szCs w:val="18"/>
              </w:rPr>
              <w:t xml:space="preserve"> (times)</w:t>
            </w:r>
          </w:p>
        </w:tc>
        <w:tc>
          <w:tcPr>
            <w:tcW w:w="1731" w:type="dxa"/>
          </w:tcPr>
          <w:p w14:paraId="1DD33A6F" w14:textId="579F7ED5" w:rsidR="004F207F" w:rsidRPr="00E84097" w:rsidRDefault="00E84097" w:rsidP="002A206B">
            <w:pPr>
              <w:pStyle w:val="TableFiguresBold0"/>
            </w:pPr>
            <w:r>
              <w:t>7.0</w:t>
            </w:r>
          </w:p>
        </w:tc>
        <w:tc>
          <w:tcPr>
            <w:tcW w:w="1732" w:type="dxa"/>
          </w:tcPr>
          <w:p w14:paraId="4B756939" w14:textId="031EFB12" w:rsidR="004F207F" w:rsidRPr="00E84097" w:rsidRDefault="00E84097" w:rsidP="002A206B">
            <w:pPr>
              <w:pStyle w:val="TableFiguresBold0"/>
            </w:pPr>
            <w:r>
              <w:t>6.9</w:t>
            </w:r>
          </w:p>
        </w:tc>
        <w:tc>
          <w:tcPr>
            <w:tcW w:w="1732" w:type="dxa"/>
          </w:tcPr>
          <w:p w14:paraId="725292AF" w14:textId="2E171E3B" w:rsidR="004F207F" w:rsidRPr="00E84097" w:rsidRDefault="00E84097" w:rsidP="004F207F">
            <w:pPr>
              <w:pStyle w:val="TableFigures"/>
            </w:pPr>
            <w:r>
              <w:t>6.6</w:t>
            </w:r>
          </w:p>
        </w:tc>
        <w:tc>
          <w:tcPr>
            <w:tcW w:w="1732" w:type="dxa"/>
          </w:tcPr>
          <w:p w14:paraId="64D241C0" w14:textId="41EBF69A" w:rsidR="004F207F" w:rsidRPr="00E84097" w:rsidRDefault="00E84097" w:rsidP="004F207F">
            <w:pPr>
              <w:pStyle w:val="TableFigures"/>
            </w:pPr>
            <w:r>
              <w:t>6.5</w:t>
            </w:r>
          </w:p>
        </w:tc>
      </w:tr>
      <w:tr w:rsidR="00E84097" w:rsidRPr="00E84097" w14:paraId="43C16B7A" w14:textId="77777777" w:rsidTr="00E30618">
        <w:tc>
          <w:tcPr>
            <w:tcW w:w="3540" w:type="dxa"/>
            <w:tcBorders>
              <w:bottom w:val="single" w:sz="8" w:space="0" w:color="808080" w:themeColor="background1" w:themeShade="80"/>
            </w:tcBorders>
          </w:tcPr>
          <w:p w14:paraId="0E018413" w14:textId="77777777" w:rsidR="004F207F" w:rsidRPr="00E84097" w:rsidRDefault="004F207F" w:rsidP="004F207F">
            <w:pPr>
              <w:spacing w:after="0" w:line="276" w:lineRule="auto"/>
              <w:rPr>
                <w:rFonts w:cs="Arial"/>
                <w:sz w:val="18"/>
                <w:szCs w:val="18"/>
              </w:rPr>
            </w:pPr>
            <w:r w:rsidRPr="00E84097">
              <w:rPr>
                <w:rFonts w:cs="Arial"/>
                <w:sz w:val="18"/>
                <w:szCs w:val="18"/>
              </w:rPr>
              <w:t>Average duration of debt (years)</w:t>
            </w:r>
          </w:p>
        </w:tc>
        <w:tc>
          <w:tcPr>
            <w:tcW w:w="1731" w:type="dxa"/>
            <w:tcBorders>
              <w:bottom w:val="single" w:sz="8" w:space="0" w:color="808080" w:themeColor="background1" w:themeShade="80"/>
            </w:tcBorders>
          </w:tcPr>
          <w:p w14:paraId="6B349129" w14:textId="38C863D6" w:rsidR="004F207F" w:rsidRPr="00E84097" w:rsidRDefault="00E84097" w:rsidP="002A206B">
            <w:pPr>
              <w:pStyle w:val="TableFiguresBold0"/>
            </w:pPr>
            <w:r>
              <w:t>9.6</w:t>
            </w:r>
          </w:p>
        </w:tc>
        <w:tc>
          <w:tcPr>
            <w:tcW w:w="1732" w:type="dxa"/>
            <w:tcBorders>
              <w:bottom w:val="single" w:sz="8" w:space="0" w:color="808080" w:themeColor="background1" w:themeShade="80"/>
            </w:tcBorders>
          </w:tcPr>
          <w:p w14:paraId="5AB1BDF1" w14:textId="4603757D" w:rsidR="004F207F" w:rsidRPr="00E84097" w:rsidRDefault="00E84097" w:rsidP="002A206B">
            <w:pPr>
              <w:pStyle w:val="TableFiguresBold0"/>
            </w:pPr>
            <w:r>
              <w:t>8.6</w:t>
            </w:r>
          </w:p>
        </w:tc>
        <w:tc>
          <w:tcPr>
            <w:tcW w:w="1732" w:type="dxa"/>
            <w:tcBorders>
              <w:bottom w:val="single" w:sz="8" w:space="0" w:color="808080" w:themeColor="background1" w:themeShade="80"/>
            </w:tcBorders>
          </w:tcPr>
          <w:p w14:paraId="6FD09DB1" w14:textId="79C3DEFF" w:rsidR="004F207F" w:rsidRPr="00E84097" w:rsidRDefault="00E84097" w:rsidP="004F207F">
            <w:pPr>
              <w:pStyle w:val="TableFigures"/>
            </w:pPr>
            <w:r>
              <w:t>11.7</w:t>
            </w:r>
          </w:p>
        </w:tc>
        <w:tc>
          <w:tcPr>
            <w:tcW w:w="1732" w:type="dxa"/>
            <w:tcBorders>
              <w:bottom w:val="single" w:sz="8" w:space="0" w:color="808080" w:themeColor="background1" w:themeShade="80"/>
            </w:tcBorders>
          </w:tcPr>
          <w:p w14:paraId="313E72A8" w14:textId="5A8CCB96" w:rsidR="004F207F" w:rsidRPr="00E84097" w:rsidRDefault="00E84097" w:rsidP="004F207F">
            <w:pPr>
              <w:pStyle w:val="TableFigures"/>
            </w:pPr>
            <w:r>
              <w:t>9.9</w:t>
            </w:r>
          </w:p>
        </w:tc>
      </w:tr>
    </w:tbl>
    <w:p w14:paraId="6E44F5FE" w14:textId="03FA0C6C" w:rsidR="005E793C" w:rsidRPr="00E84097" w:rsidRDefault="005E793C" w:rsidP="005E793C">
      <w:pPr>
        <w:pStyle w:val="FootnotesNoSpace"/>
        <w:spacing w:before="240"/>
        <w:rPr>
          <w:i w:val="0"/>
        </w:rPr>
      </w:pPr>
      <w:r w:rsidRPr="00E84097">
        <w:rPr>
          <w:i w:val="0"/>
        </w:rPr>
        <w:t xml:space="preserve">1 Based on gross debt, excluding commitment fees and </w:t>
      </w:r>
      <w:r w:rsidR="00B50AFD" w:rsidRPr="00E84097">
        <w:rPr>
          <w:i w:val="0"/>
        </w:rPr>
        <w:t>non-cash interest</w:t>
      </w:r>
      <w:r w:rsidRPr="00E84097">
        <w:rPr>
          <w:i w:val="0"/>
        </w:rPr>
        <w:t>.</w:t>
      </w:r>
    </w:p>
    <w:p w14:paraId="669E06D5" w14:textId="77777777" w:rsidR="005E793C" w:rsidRPr="00E84097" w:rsidRDefault="005E793C" w:rsidP="005E793C">
      <w:pPr>
        <w:pStyle w:val="FootnotesNoSpace"/>
        <w:spacing w:after="240"/>
        <w:rPr>
          <w:i w:val="0"/>
        </w:rPr>
      </w:pPr>
      <w:r w:rsidRPr="00E84097">
        <w:rPr>
          <w:i w:val="0"/>
        </w:rPr>
        <w:t>2 Net rental income/Adjusted net finance costs (before capitalisation).</w:t>
      </w:r>
    </w:p>
    <w:p w14:paraId="5779196E" w14:textId="195E7A28" w:rsidR="005E793C" w:rsidRPr="00E82529" w:rsidRDefault="005E793C" w:rsidP="00E82529">
      <w:pPr>
        <w:pStyle w:val="Heading3"/>
      </w:pPr>
      <w:r w:rsidRPr="00E82529">
        <w:t>TREASURY POLICIES AND GOVERNANCE</w:t>
      </w:r>
    </w:p>
    <w:p w14:paraId="6F47F972" w14:textId="77777777" w:rsidR="00E82529" w:rsidRDefault="00E82529" w:rsidP="005E793C">
      <w:pPr>
        <w:pStyle w:val="Normal1"/>
      </w:pPr>
      <w:r>
        <w:t>The Group Treasury function operates within a formal policy covering all aspects of treasury activity, including funding, counterparty exposure and management of interest rate, currency and liquidity risks. Group Treasury reports on compliance with these policies on a quarterly basis and policies are reviewed regularly by the Board</w:t>
      </w:r>
    </w:p>
    <w:p w14:paraId="0E6AD016" w14:textId="7A061F86" w:rsidR="005E793C" w:rsidRPr="00E82529" w:rsidRDefault="005E793C" w:rsidP="005E793C">
      <w:pPr>
        <w:pStyle w:val="Heading3"/>
        <w:spacing w:before="240" w:after="120"/>
        <w:rPr>
          <w:szCs w:val="20"/>
        </w:rPr>
      </w:pPr>
      <w:r w:rsidRPr="00E82529">
        <w:rPr>
          <w:szCs w:val="20"/>
        </w:rPr>
        <w:t>GEARING AND FINANCIAL COVENANTS</w:t>
      </w:r>
    </w:p>
    <w:p w14:paraId="4080BDA5" w14:textId="7A6BDEFB" w:rsidR="00E82529" w:rsidRDefault="00A13D18" w:rsidP="005E793C">
      <w:pPr>
        <w:pStyle w:val="Normal1"/>
      </w:pPr>
      <w:r>
        <w:t>We consider t</w:t>
      </w:r>
      <w:r w:rsidR="00E82529">
        <w:t xml:space="preserve">he key leverage metric for SEGRO </w:t>
      </w:r>
      <w:r>
        <w:t xml:space="preserve">to be </w:t>
      </w:r>
      <w:r w:rsidR="00E82529">
        <w:t xml:space="preserve">proportionally consolidated (‘look-through’) loan to value ratio (LTV) which incorporates assets and net debt on SEGRO’s balance sheet and SEGRO’s share of assets and net debt on the balance sheets of its joint ventures. The LTV at 31 December 2021 on this basis was 23 per cent (31 December 2020: 24 per cent). </w:t>
      </w:r>
    </w:p>
    <w:p w14:paraId="568422AD" w14:textId="77777777" w:rsidR="00A06708" w:rsidRDefault="00E82529" w:rsidP="005E793C">
      <w:pPr>
        <w:pStyle w:val="Normal1"/>
      </w:pPr>
      <w:r>
        <w:t xml:space="preserve">SEGRO’s borrowings contain gearing covenants based on Group net debt and net asset value, excluding debt in joint ventures. The gearing ratio of the Group at 31 December 2021, as defined within the principal debt funding arrangements of the Group, was 25 per cent (31 December 2020: 24 per cent). This is significantly lower than the Group’s tightest financial gearing covenant within these debt facilities of 160 per cent. </w:t>
      </w:r>
    </w:p>
    <w:p w14:paraId="65B0786B" w14:textId="068A743B" w:rsidR="00A06708" w:rsidRDefault="00E82529" w:rsidP="005E793C">
      <w:pPr>
        <w:pStyle w:val="Normal1"/>
      </w:pPr>
      <w:r>
        <w:t xml:space="preserve">Property valuations would need to fall by around 63 per cent from their 31 December 2021 values to reach the gearing covenant threshold of 160 per cent. A 63 per cent fall in property values would equate to an LTV ratio of approximately 62 per cent. </w:t>
      </w:r>
    </w:p>
    <w:p w14:paraId="6DCC3C7E" w14:textId="0945846D" w:rsidR="00E82529" w:rsidRDefault="00E82529" w:rsidP="005E793C">
      <w:pPr>
        <w:pStyle w:val="Normal1"/>
        <w:rPr>
          <w:color w:val="FF0000"/>
        </w:rPr>
      </w:pPr>
      <w:r>
        <w:t xml:space="preserve">The Group’s other key financial covenant within its principal debt funding arrangements is interest cover, requiring that net interest before capitalisation be covered at least 1.25 times by net property rental income. At 31 December 2021, the Group comfortably met this ratio at </w:t>
      </w:r>
      <w:r w:rsidR="00A06708">
        <w:t>seven</w:t>
      </w:r>
      <w:r>
        <w:t xml:space="preserve"> times. Net property rental income would need to fall by around 82 per cent from 2021 levels to reach the interest cover covenant threshold of 1.25 times. On a proportionally consolidated basis, including joint ventures, the interest cover ratio was </w:t>
      </w:r>
      <w:r w:rsidR="00EC5FDC">
        <w:t>seven</w:t>
      </w:r>
      <w:r>
        <w:t xml:space="preserve"> times.</w:t>
      </w:r>
    </w:p>
    <w:p w14:paraId="3CD0DF9A" w14:textId="77777777" w:rsidR="00E82529" w:rsidRDefault="00E82529" w:rsidP="005E793C">
      <w:pPr>
        <w:pStyle w:val="Normal1"/>
      </w:pPr>
      <w:r>
        <w:t xml:space="preserve">We mitigate the risk of over-gearing the Company and breaching debt covenants by carefully monitoring the impact of investment decisions on our LTV and by stress testing our balance sheet to potential changes in property values. </w:t>
      </w:r>
    </w:p>
    <w:p w14:paraId="22B778CE" w14:textId="1756306F" w:rsidR="00E82529" w:rsidRDefault="00E82529" w:rsidP="005E793C">
      <w:pPr>
        <w:pStyle w:val="Normal1"/>
      </w:pPr>
      <w:r>
        <w:t xml:space="preserve">Our intention for the foreseeable future is to maintain our LTV at around 30 per cent. This provides the flexibility to take advantage of investment opportunities arising and ensures significant headroom compared </w:t>
      </w:r>
      <w:r w:rsidR="00A13D18">
        <w:t>against</w:t>
      </w:r>
      <w:r>
        <w:t xml:space="preserve"> our tightest gearing covenants should property values decline. The weighted average maturity of the gross borrowings of the Group (including joint ventures at share) was 8.6 years. </w:t>
      </w:r>
    </w:p>
    <w:p w14:paraId="510599A0" w14:textId="08C95917" w:rsidR="00E82529" w:rsidRDefault="00E82529" w:rsidP="005E793C">
      <w:pPr>
        <w:pStyle w:val="Normal1"/>
        <w:rPr>
          <w:color w:val="FF0000"/>
        </w:rPr>
      </w:pPr>
      <w:r>
        <w:t xml:space="preserve">The Group’s debt has a range of maturities. The nearest of which is SEGRO’s </w:t>
      </w:r>
      <w:r w:rsidR="00A13D18">
        <w:t xml:space="preserve">syndicated </w:t>
      </w:r>
      <w:r>
        <w:t xml:space="preserve">term loan facility and that matures in </w:t>
      </w:r>
      <w:r w:rsidR="00A13D18">
        <w:t xml:space="preserve">December </w:t>
      </w:r>
      <w:r>
        <w:t>2023. There are no material Group bond maturities until 2024. This long average debt maturity translates into a favourable, well spread debt funding maturity profile which reduces future refinancing risk.</w:t>
      </w:r>
    </w:p>
    <w:p w14:paraId="0062C980" w14:textId="77777777" w:rsidR="000D399E" w:rsidRDefault="000D399E" w:rsidP="005E793C">
      <w:pPr>
        <w:pStyle w:val="Heading3"/>
      </w:pPr>
    </w:p>
    <w:p w14:paraId="6054CD66" w14:textId="741262BC" w:rsidR="005E793C" w:rsidRPr="00E82529" w:rsidRDefault="005E793C" w:rsidP="005E793C">
      <w:pPr>
        <w:pStyle w:val="Heading3"/>
      </w:pPr>
      <w:r w:rsidRPr="00E82529">
        <w:t xml:space="preserve">INTEREST RATE RISK  </w:t>
      </w:r>
    </w:p>
    <w:p w14:paraId="69310A89" w14:textId="77777777" w:rsidR="00E82529" w:rsidRDefault="00E82529" w:rsidP="005E793C">
      <w:pPr>
        <w:pStyle w:val="Normal1"/>
      </w:pPr>
      <w:r>
        <w:t xml:space="preserve">The Group’s interest rate risk policy is designed to ensure that we limit our exposure to volatility in interest rates. The policy states that between 50 and 100 per cent of net borrowings (including the Group’s share of borrowings in joint ventures) should be at fixed or capped rates, including the impact of derivative financial instruments. </w:t>
      </w:r>
    </w:p>
    <w:p w14:paraId="2F9E1D0B" w14:textId="77777777" w:rsidR="00E82529" w:rsidRDefault="00E82529" w:rsidP="005E793C">
      <w:pPr>
        <w:pStyle w:val="Normal1"/>
      </w:pPr>
      <w:r>
        <w:t xml:space="preserve">At 31 December 2021, including the impact of derivative instruments, 65 per cent (2020: 70 per cent) of the net borrowings of the Group (including the Group’s share of borrowings within joint ventures) were at fixed or capped rates. </w:t>
      </w:r>
    </w:p>
    <w:p w14:paraId="548BB16F" w14:textId="77777777" w:rsidR="00E82529" w:rsidRDefault="00E82529" w:rsidP="005E793C">
      <w:pPr>
        <w:pStyle w:val="Normal1"/>
      </w:pPr>
      <w:r>
        <w:t xml:space="preserve">The fixed only level of debt is 46 per cent at 31 December 2021 (31 December 2020: 44 per cent). </w:t>
      </w:r>
    </w:p>
    <w:p w14:paraId="6AD37C2A" w14:textId="608CBF81" w:rsidR="00E82529" w:rsidRDefault="00E82529" w:rsidP="005E793C">
      <w:pPr>
        <w:pStyle w:val="Normal1"/>
      </w:pPr>
      <w:r>
        <w:t>As a result of the fixed rate cover in place, if short-term interest rates had been 1</w:t>
      </w:r>
      <w:r w:rsidR="00A13D18">
        <w:t>00 basis points</w:t>
      </w:r>
      <w:r>
        <w:t xml:space="preserve"> higher throughout the year to 31 December 2021, the adjusted net finance cost of the Group would have increased by approximately £17 million representing around 5 per cent of Adjusted profit after tax. </w:t>
      </w:r>
    </w:p>
    <w:p w14:paraId="31BF13E5" w14:textId="0E22DF0C" w:rsidR="00E82529" w:rsidRDefault="00E82529" w:rsidP="005E793C">
      <w:pPr>
        <w:pStyle w:val="Normal1"/>
        <w:rPr>
          <w:color w:val="FF0000"/>
        </w:rPr>
      </w:pPr>
      <w:r>
        <w:t>The Group elects not to hedge account its interest rate derivatives portfolio. Therefore, movements in its fair value are taken to the income statement but, in accordance with EPRA Best Practices Recommendations Guidelines, these gains and losses are eliminated from Adjusted profit after tax.</w:t>
      </w:r>
    </w:p>
    <w:p w14:paraId="72838886" w14:textId="77777777" w:rsidR="005E793C" w:rsidRPr="00E82529" w:rsidRDefault="005E793C" w:rsidP="005E793C">
      <w:pPr>
        <w:pStyle w:val="Heading3"/>
        <w:spacing w:before="240" w:after="120"/>
        <w:rPr>
          <w:szCs w:val="20"/>
        </w:rPr>
      </w:pPr>
      <w:r w:rsidRPr="00E82529">
        <w:rPr>
          <w:szCs w:val="20"/>
        </w:rPr>
        <w:t>FOREIGN CURRENCY TRANSLATION RISK</w:t>
      </w:r>
    </w:p>
    <w:p w14:paraId="4891A675" w14:textId="129BA603" w:rsidR="00E82529" w:rsidRDefault="00E82529" w:rsidP="005E793C">
      <w:pPr>
        <w:pStyle w:val="Normal1"/>
      </w:pPr>
      <w:r>
        <w:t>The Group has minimal transactional foreign currency exposure,</w:t>
      </w:r>
      <w:r w:rsidR="00822963">
        <w:t xml:space="preserve"> </w:t>
      </w:r>
      <w:r>
        <w:t xml:space="preserve">but does have a potentially significant currency translation exposure arising on the conversion of its substantial foreign currency denominated assets (mainly euro) and euro denominated earnings into sterling in the Group consolidated accounts. </w:t>
      </w:r>
    </w:p>
    <w:p w14:paraId="564232FD" w14:textId="77777777" w:rsidR="00E82529" w:rsidRDefault="00E82529" w:rsidP="005E793C">
      <w:pPr>
        <w:pStyle w:val="Normal1"/>
      </w:pPr>
      <w:r>
        <w:t xml:space="preserve">The Group seeks to limit its exposure to volatility in foreign exchange rates by hedging its foreign currency gross assets using either borrowings or derivative instruments. The Group targets a hedging range of between the last reported LTV ratio (31 December 2021: 23 per cent) and 100 per cent. At 31 December 2021, the Group was 62 per cent hedged by gross foreign currency denominated liabilities (31 December 2020: 61 per cent). </w:t>
      </w:r>
    </w:p>
    <w:p w14:paraId="6F7AAD5F" w14:textId="77777777" w:rsidR="00E82529" w:rsidRDefault="00E82529" w:rsidP="005E793C">
      <w:pPr>
        <w:pStyle w:val="Normal1"/>
      </w:pPr>
      <w:r>
        <w:t xml:space="preserve">Including the impact of forward foreign exchange and currency swap contracts used to hedge foreign currency denominated net assets, if the value of the other currencies in which the Group operates at 31 December 2021 weakened by 10 per cent against sterling (to €1.31, in the case of euros), net assets would have decreased by approximately £183 million and there would have been a reduction in gearing of approximately 1.5 per cent and in the LTV of 1.1 per cent. </w:t>
      </w:r>
    </w:p>
    <w:p w14:paraId="52AD74B4" w14:textId="44AB020E" w:rsidR="00E82529" w:rsidRDefault="00E82529" w:rsidP="005E793C">
      <w:pPr>
        <w:pStyle w:val="Normal1"/>
        <w:rPr>
          <w:color w:val="FF0000"/>
        </w:rPr>
      </w:pPr>
      <w:r>
        <w:t>The average exchange rate used to translate euro denominated earnings generated during 2021 into sterling within the consolidated income statement of the Group was €1.16: £1. Based on the hedging position at 31 December 2021, and assuming that this position had applied throughout 2021, if the euro had been 10 per cent weaker than the average exchange rate (€1.28: £1), Adjusted profit after tax for the year would have been approximately £12 million (3.4 per cent) lower than reported. If it had been 10 per cent stronger, Adjusted profit after tax for the year would have been approximately £15 million (4.3 per cent) higher than reported.</w:t>
      </w:r>
    </w:p>
    <w:p w14:paraId="6DDDCDF0" w14:textId="77777777" w:rsidR="005E793C" w:rsidRPr="00E82529" w:rsidRDefault="005E793C" w:rsidP="005E793C">
      <w:pPr>
        <w:pStyle w:val="Heading3"/>
        <w:spacing w:before="240" w:after="120"/>
        <w:rPr>
          <w:szCs w:val="20"/>
        </w:rPr>
      </w:pPr>
      <w:r w:rsidRPr="00E82529">
        <w:rPr>
          <w:szCs w:val="20"/>
        </w:rPr>
        <w:t>GOING CONCERN</w:t>
      </w:r>
    </w:p>
    <w:p w14:paraId="71169ED7" w14:textId="77777777" w:rsidR="00E82529" w:rsidRDefault="00E82529" w:rsidP="00E82529">
      <w:pPr>
        <w:pStyle w:val="Normal1"/>
      </w:pPr>
      <w:r>
        <w:t xml:space="preserve">As noted in the Financial Position and Financing section above, the Group has significant available liquidity to meet its capital commitments, a long-dated debt maturity profile and substantial headroom against financial covenants. </w:t>
      </w:r>
    </w:p>
    <w:p w14:paraId="73E2418E" w14:textId="77777777" w:rsidR="00E82529" w:rsidRDefault="00E82529" w:rsidP="00E82529">
      <w:pPr>
        <w:pStyle w:val="Normal1"/>
        <w:numPr>
          <w:ilvl w:val="0"/>
          <w:numId w:val="39"/>
        </w:numPr>
      </w:pPr>
      <w:r>
        <w:t>In 2021 the Group has extended the term of its €1.2 billion of bank facilities to 2026 and secured an additional €750 million 2-year bank facility to finance acquisitions.</w:t>
      </w:r>
    </w:p>
    <w:p w14:paraId="0D099268" w14:textId="4AF5FE1F" w:rsidR="00E82529" w:rsidRDefault="00E82529" w:rsidP="00E82529">
      <w:pPr>
        <w:pStyle w:val="Normal1"/>
        <w:numPr>
          <w:ilvl w:val="0"/>
          <w:numId w:val="39"/>
        </w:numPr>
      </w:pPr>
      <w:r>
        <w:t xml:space="preserve">The </w:t>
      </w:r>
      <w:r w:rsidR="00332F56">
        <w:t>G</w:t>
      </w:r>
      <w:r>
        <w:t xml:space="preserve">roup executed its inaugural euro bond, opening a further deep pool of debt capital. </w:t>
      </w:r>
    </w:p>
    <w:p w14:paraId="0CE12814" w14:textId="4261EF92" w:rsidR="00E82529" w:rsidRDefault="00E100A9" w:rsidP="00E82529">
      <w:pPr>
        <w:pStyle w:val="Normal1"/>
        <w:numPr>
          <w:ilvl w:val="0"/>
          <w:numId w:val="39"/>
        </w:numPr>
      </w:pPr>
      <w:r>
        <w:t>Group c</w:t>
      </w:r>
      <w:r w:rsidR="00E82529">
        <w:t>ash and available committed facilities at 31 December 2021 were £</w:t>
      </w:r>
      <w:r w:rsidR="008D0470">
        <w:t>886</w:t>
      </w:r>
      <w:r w:rsidR="00E82529">
        <w:t xml:space="preserve"> million.</w:t>
      </w:r>
    </w:p>
    <w:p w14:paraId="2300EBDF" w14:textId="77777777" w:rsidR="00EC5FDC" w:rsidRDefault="00EC5FDC" w:rsidP="00BA4E4C">
      <w:pPr>
        <w:pStyle w:val="Normal1"/>
        <w:ind w:left="720"/>
      </w:pPr>
    </w:p>
    <w:p w14:paraId="6A87C7BA" w14:textId="5A22D1C3" w:rsidR="00E82529" w:rsidRDefault="00E82529" w:rsidP="00E82529">
      <w:pPr>
        <w:pStyle w:val="Normal1"/>
        <w:numPr>
          <w:ilvl w:val="0"/>
          <w:numId w:val="39"/>
        </w:numPr>
      </w:pPr>
      <w:r>
        <w:lastRenderedPageBreak/>
        <w:t>The Group continuously monitors its liquidity position compared to committed and expected capital and operating expenses on a rolling forward 18</w:t>
      </w:r>
      <w:r w:rsidR="00EC5FDC">
        <w:t>-</w:t>
      </w:r>
      <w:r>
        <w:t xml:space="preserve">month basis. The quantum of committed capital expenditure at any point in time is typically low due to the short timeframe to construct warehouse buildings. </w:t>
      </w:r>
    </w:p>
    <w:p w14:paraId="611D53B8" w14:textId="42309B11" w:rsidR="00E82529" w:rsidRDefault="00E82529" w:rsidP="00E82529">
      <w:pPr>
        <w:pStyle w:val="Normal1"/>
        <w:numPr>
          <w:ilvl w:val="0"/>
          <w:numId w:val="39"/>
        </w:numPr>
      </w:pPr>
      <w:r>
        <w:t xml:space="preserve">The Group also regularly stress-tests its financial covenants. As noted above, at 31 December 2021, property values would need to fall by around 63 per cent before breaching the gearing covenant. In terms of interest cover, net rental income would need to fall by 82 per cent before breaching the interest cover covenant. Both would be significantly in excess of the Group’s experience during the </w:t>
      </w:r>
      <w:r w:rsidR="00A13D18">
        <w:t xml:space="preserve">global </w:t>
      </w:r>
      <w:r>
        <w:t xml:space="preserve">financial crisis and its experience in 2021. </w:t>
      </w:r>
    </w:p>
    <w:p w14:paraId="0B054515" w14:textId="76060C93" w:rsidR="00E82529" w:rsidRPr="00E82529" w:rsidRDefault="00E82529" w:rsidP="00E82529">
      <w:pPr>
        <w:pStyle w:val="Normal1"/>
      </w:pPr>
      <w:r>
        <w:t>Having made enquiries and having considered the principal risks facing the Group, including liquidity and solvency risks, and material uncertainties, the Directors have a reasonable expectation that the Company and the Group have adequate resources to continue in operational existence for the foreseeable future (a period of at least 12 months from the date of approval of the financial statements). Accordingly, they continue to adopt the going concern basis in preparing these financial statements.</w:t>
      </w:r>
    </w:p>
    <w:p w14:paraId="3DF19004" w14:textId="5D732101" w:rsidR="005E793C" w:rsidRPr="00E82529" w:rsidRDefault="005E793C" w:rsidP="005E793C">
      <w:pPr>
        <w:pStyle w:val="Heading3"/>
      </w:pPr>
      <w:r w:rsidRPr="00E82529">
        <w:t>DIVIDEND INCREASE REFLECTS A STRONG YEAR AND CONFIDENCE FOR THE FUTURE</w:t>
      </w:r>
    </w:p>
    <w:p w14:paraId="6DBF0F13" w14:textId="177296D2" w:rsidR="00E82529" w:rsidRDefault="00E82529" w:rsidP="005E793C">
      <w:pPr>
        <w:pStyle w:val="Normal1"/>
      </w:pPr>
      <w:r>
        <w:t>Under the UK REIT rules, we are required to pay out 90 per cent of UK-sourced, tax-exempt rental profits as a ‘Property Income Distribution’ (PID). Since we also receive income from our properties in Continental Europe, our total dividend should normally exceed this minimum level and we target a pay</w:t>
      </w:r>
      <w:r w:rsidR="00822963">
        <w:t>-</w:t>
      </w:r>
      <w:r>
        <w:t xml:space="preserve">out ratio of 85 to 95 per cent of Adjusted profit after tax. We aim to deliver a progressive and sustainable dividend which grows in line with our profitability in order to achieve our goal of being a leading income-focused REIT. </w:t>
      </w:r>
    </w:p>
    <w:p w14:paraId="32471D27" w14:textId="77777777" w:rsidR="00E82529" w:rsidRDefault="00E82529" w:rsidP="005E793C">
      <w:pPr>
        <w:pStyle w:val="Normal1"/>
      </w:pPr>
      <w:r>
        <w:t xml:space="preserve">The Board has concluded that it is appropriate to recommend an increase in the final dividend per share by 1.7 pence to 16.9 pence (2020: 15.2 pence) which will be paid as a PID. The Board’s recommendation is subject to approval by shareholders at the Annual General Meeting, in which event the final dividend will be paid on 4 May 2022 to shareholders on the register at the close of business on 19 March 2022. </w:t>
      </w:r>
    </w:p>
    <w:p w14:paraId="117A7795" w14:textId="79FD20F7" w:rsidR="00E82529" w:rsidRDefault="00E82529" w:rsidP="00E82529">
      <w:pPr>
        <w:pStyle w:val="Normal1"/>
      </w:pPr>
      <w:r>
        <w:t>In considering the final dividend, the Board took into account:</w:t>
      </w:r>
    </w:p>
    <w:p w14:paraId="7AE95282" w14:textId="2210B78E" w:rsidR="00E82529" w:rsidRDefault="00E82529" w:rsidP="00E82529">
      <w:pPr>
        <w:pStyle w:val="Normal1"/>
        <w:numPr>
          <w:ilvl w:val="0"/>
          <w:numId w:val="41"/>
        </w:numPr>
      </w:pPr>
      <w:r>
        <w:t>the policy of targeting a pay</w:t>
      </w:r>
      <w:r w:rsidR="00822963">
        <w:t>-</w:t>
      </w:r>
      <w:r>
        <w:t xml:space="preserve">out ratio of between 85 and 95 per cent of Adjusted profit after tax; </w:t>
      </w:r>
    </w:p>
    <w:p w14:paraId="303E2C70" w14:textId="77777777" w:rsidR="00E82529" w:rsidRDefault="00E82529" w:rsidP="00E82529">
      <w:pPr>
        <w:pStyle w:val="Normal1"/>
        <w:numPr>
          <w:ilvl w:val="0"/>
          <w:numId w:val="41"/>
        </w:numPr>
      </w:pPr>
      <w:r>
        <w:t>the desire to ensure that the dividend is sustainable and progressive throughout the cycle; and</w:t>
      </w:r>
    </w:p>
    <w:p w14:paraId="71D98547" w14:textId="77777777" w:rsidR="00E82529" w:rsidRDefault="00E82529" w:rsidP="00E82529">
      <w:pPr>
        <w:pStyle w:val="Normal1"/>
        <w:numPr>
          <w:ilvl w:val="0"/>
          <w:numId w:val="41"/>
        </w:numPr>
      </w:pPr>
      <w:r>
        <w:t xml:space="preserve">the results for 2021 and the outlook for earnings. </w:t>
      </w:r>
    </w:p>
    <w:p w14:paraId="5C73CC71" w14:textId="5DB9ABA6" w:rsidR="00E82529" w:rsidRDefault="00E82529" w:rsidP="00E82529">
      <w:pPr>
        <w:pStyle w:val="Normal1"/>
      </w:pPr>
      <w:r>
        <w:t>The total dividend for the year will, therefore, be 24.3 pence, a rise of 10 per cent versus 2020 (22.1 pence) and represents distribution of 8</w:t>
      </w:r>
      <w:r w:rsidR="00A47D38">
        <w:t>4</w:t>
      </w:r>
      <w:r>
        <w:t xml:space="preserve"> per cent of Adjusted profit after tax. </w:t>
      </w:r>
    </w:p>
    <w:p w14:paraId="73D9A3F8" w14:textId="2AB0D1F7" w:rsidR="00E82529" w:rsidRPr="00E82529" w:rsidRDefault="00E82529" w:rsidP="00E82529">
      <w:pPr>
        <w:pStyle w:val="Normal1"/>
      </w:pPr>
      <w:r>
        <w:t>The Board has decided to retain a scrip dividend option for the 2021 final dividend, allowing shareholders to choose whether to receive the dividend in cash or new shares. In 2021, 36 per cent of the 2020 final dividend and 31 per cent of the 2021 interim dividend was paid in new shares, equating to £94 million of cash retained on the balance sheet.</w:t>
      </w:r>
    </w:p>
    <w:p w14:paraId="36F9B950" w14:textId="77777777" w:rsidR="005E793C" w:rsidRPr="005F6D8A" w:rsidRDefault="005E793C" w:rsidP="005E793C">
      <w:pPr>
        <w:spacing w:after="0" w:line="240" w:lineRule="auto"/>
        <w:rPr>
          <w:color w:val="FF0000"/>
        </w:rPr>
      </w:pPr>
      <w:r w:rsidRPr="005F6D8A">
        <w:rPr>
          <w:color w:val="FF0000"/>
        </w:rPr>
        <w:br w:type="page"/>
      </w:r>
    </w:p>
    <w:p w14:paraId="25471319" w14:textId="77777777" w:rsidR="005E793C" w:rsidRPr="007A419C" w:rsidRDefault="005E793C" w:rsidP="005E793C">
      <w:pPr>
        <w:pStyle w:val="Heading1"/>
      </w:pPr>
      <w:bookmarkStart w:id="2" w:name="_Hlk433616"/>
      <w:r w:rsidRPr="007A419C">
        <w:lastRenderedPageBreak/>
        <w:t>STATEMENT OF PRINCIPAL RISKS</w:t>
      </w:r>
    </w:p>
    <w:p w14:paraId="1ED8E01A" w14:textId="36FADC4B" w:rsidR="007A419C" w:rsidRDefault="007A419C" w:rsidP="005E793C">
      <w:pPr>
        <w:pStyle w:val="Normal1"/>
      </w:pPr>
      <w:r>
        <w:t>For SEGRO, effective risk management is a cornerstone of how we operate in order to deliver our strategy of growth in a sustainable way</w:t>
      </w:r>
      <w:r w:rsidR="00303F88">
        <w:t>,</w:t>
      </w:r>
      <w:r>
        <w:t xml:space="preserve"> both now and in the long term. Against the backdrop of the continually evolving pandemic, coupled with fluidity of the geopolitical and macroeconomic environment, the business has continued to perform strongly</w:t>
      </w:r>
      <w:r w:rsidR="00303F88">
        <w:t>,</w:t>
      </w:r>
      <w:r>
        <w:t xml:space="preserve"> in demanding operating circumstances. This is due, in no small part, to the underpin provided by our risk process, which is embedded throughout our business</w:t>
      </w:r>
      <w:r w:rsidR="00303F88">
        <w:t>,</w:t>
      </w:r>
      <w:r>
        <w:t xml:space="preserve"> to enable appropriate and responsive decision making. </w:t>
      </w:r>
    </w:p>
    <w:p w14:paraId="5ED66BBB" w14:textId="77777777" w:rsidR="007A419C" w:rsidRDefault="007A419C" w:rsidP="007A419C">
      <w:pPr>
        <w:pStyle w:val="Heading3"/>
      </w:pPr>
      <w:r>
        <w:t xml:space="preserve">ACTIVITY IN THE YEAR </w:t>
      </w:r>
    </w:p>
    <w:p w14:paraId="68E8D1EB" w14:textId="04D61244" w:rsidR="007A419C" w:rsidRDefault="007A419C" w:rsidP="005E793C">
      <w:pPr>
        <w:pStyle w:val="Normal1"/>
      </w:pPr>
      <w:r>
        <w:t xml:space="preserve">The Group Risk Committee is made up of members of senior management and has met three times during the year. The members of the Committee have </w:t>
      </w:r>
      <w:r w:rsidR="00303F88">
        <w:t xml:space="preserve">detailed </w:t>
      </w:r>
      <w:r>
        <w:t>knowledge of</w:t>
      </w:r>
      <w:r w:rsidR="00303F88">
        <w:t>,</w:t>
      </w:r>
      <w:r>
        <w:t xml:space="preserve"> and expertise in operational, financial, legal and corporate aspects of </w:t>
      </w:r>
      <w:r w:rsidR="00702017">
        <w:t xml:space="preserve">our </w:t>
      </w:r>
      <w:r>
        <w:t xml:space="preserve">business ensuring we are well positioned to undertake our responsibility of overseeing the work of the risk management function on behalf of the Executive Committee. </w:t>
      </w:r>
    </w:p>
    <w:p w14:paraId="4FE4DB5F" w14:textId="57FB2254" w:rsidR="007A419C" w:rsidRDefault="007A419C" w:rsidP="005E793C">
      <w:pPr>
        <w:pStyle w:val="Normal1"/>
      </w:pPr>
      <w:r>
        <w:t xml:space="preserve">The Head of Risk and his team report on updates to the risk register following </w:t>
      </w:r>
      <w:r w:rsidR="00303F88">
        <w:t xml:space="preserve">a </w:t>
      </w:r>
      <w:r>
        <w:t xml:space="preserve">full risk review process which includes meetings with each risk manager and executive risk owner, consideration of changes to risk policy and appetite (see below), scrutiny of the external and internal </w:t>
      </w:r>
      <w:r w:rsidR="00303F88">
        <w:t xml:space="preserve">operating </w:t>
      </w:r>
      <w:r>
        <w:t xml:space="preserve">environments, coordination of the risk management process and consequential external reporting. During the year the team has benefitted from input from the </w:t>
      </w:r>
      <w:r w:rsidR="008944EE">
        <w:t xml:space="preserve">newly appointed </w:t>
      </w:r>
      <w:r>
        <w:t xml:space="preserve">Group Insurance Manager which has enabled a fresh pair of eyes to provide additional rigour and challenge. We have also taken the opportunity to review our internal Key Risk Indicators to ensure they are proportionate and appropriate for the business today. </w:t>
      </w:r>
      <w:r w:rsidR="005B1E5B">
        <w:t>As a consequence</w:t>
      </w:r>
      <w:r w:rsidR="00822963">
        <w:t>,</w:t>
      </w:r>
      <w:r w:rsidR="005B1E5B">
        <w:t xml:space="preserve"> w</w:t>
      </w:r>
      <w:r>
        <w:t>e have deemed it appropriate to increase our acceptable appetite for appropriate land holding</w:t>
      </w:r>
      <w:r w:rsidR="00303F88">
        <w:t>s</w:t>
      </w:r>
      <w:r>
        <w:t xml:space="preserve"> in light of the </w:t>
      </w:r>
      <w:r w:rsidR="00303F88">
        <w:t>favourable market conditions</w:t>
      </w:r>
      <w:r>
        <w:t xml:space="preserve">. </w:t>
      </w:r>
    </w:p>
    <w:p w14:paraId="1123A1E2" w14:textId="211F4034" w:rsidR="007A419C" w:rsidRDefault="007A419C" w:rsidP="005E793C">
      <w:pPr>
        <w:pStyle w:val="Normal1"/>
      </w:pPr>
      <w:r>
        <w:t xml:space="preserve">The process has identified risks whose profile is increasing, in particular environmental sustainability and major event (including cyber) as detailed further below. In addition, the </w:t>
      </w:r>
      <w:r w:rsidR="00303F88">
        <w:t>d</w:t>
      </w:r>
      <w:r>
        <w:t xml:space="preserve">isruptive Brexit risk was removed as a Principal Risk following the </w:t>
      </w:r>
      <w:r w:rsidR="00303F88">
        <w:t xml:space="preserve">evolution of events during the year. </w:t>
      </w:r>
      <w:r>
        <w:t xml:space="preserve"> </w:t>
      </w:r>
    </w:p>
    <w:p w14:paraId="49443497" w14:textId="77777777" w:rsidR="007A419C" w:rsidRDefault="007A419C" w:rsidP="005E793C">
      <w:pPr>
        <w:pStyle w:val="Normal1"/>
      </w:pPr>
      <w:r>
        <w:t xml:space="preserve">Details of particular areas of interest to the Risk Committee are detailed below: </w:t>
      </w:r>
    </w:p>
    <w:p w14:paraId="6662B7FE" w14:textId="77777777" w:rsidR="007A419C" w:rsidRDefault="007A419C" w:rsidP="007A419C">
      <w:pPr>
        <w:pStyle w:val="Heading3"/>
      </w:pPr>
      <w:r>
        <w:t xml:space="preserve">Major event/business disruption </w:t>
      </w:r>
    </w:p>
    <w:p w14:paraId="76041B6E" w14:textId="1675DBF9" w:rsidR="007A419C" w:rsidRDefault="007A419C" w:rsidP="005E793C">
      <w:pPr>
        <w:pStyle w:val="Normal1"/>
      </w:pPr>
      <w:r>
        <w:t xml:space="preserve">The impact of the pandemic continues to evolve and influence our risk landscape. Whilst the risk of virus variants and further restrictions remain, we have adapted our business both from an employee perspective and operationally to adjust to a “new normal” and remain agile in our response to the risks as they arise. Our experiences over the last two years will be invaluable should there be further challenges </w:t>
      </w:r>
      <w:r w:rsidR="00303F88">
        <w:t xml:space="preserve">due </w:t>
      </w:r>
      <w:r>
        <w:t xml:space="preserve">to the pandemic. </w:t>
      </w:r>
    </w:p>
    <w:p w14:paraId="2970B1FE" w14:textId="55091445" w:rsidR="007A419C" w:rsidRDefault="007A419C" w:rsidP="005E793C">
      <w:pPr>
        <w:pStyle w:val="Normal1"/>
      </w:pPr>
      <w:r>
        <w:t>During the year, the Group’s Board and relevant committees continued to meet regularly to identify, consider and discuss Covid-19 related risks and mitigations as they arose and evolved. Areas of particular concern included not only on our opera</w:t>
      </w:r>
      <w:r w:rsidR="00303F88">
        <w:t xml:space="preserve">tions </w:t>
      </w:r>
      <w:r>
        <w:t xml:space="preserve">but on our people. This included changes to the working environment whilst both in the office and working from home which occurred at various points during the year across our locations. </w:t>
      </w:r>
    </w:p>
    <w:p w14:paraId="2A1DA7E0" w14:textId="0C82BE20" w:rsidR="007A419C" w:rsidRDefault="007A419C" w:rsidP="005E793C">
      <w:pPr>
        <w:pStyle w:val="Normal1"/>
        <w:rPr>
          <w:color w:val="FF0000"/>
        </w:rPr>
      </w:pPr>
      <w:r>
        <w:t xml:space="preserve">In addition to the pandemic, we remain vigilant to cyber and other IT </w:t>
      </w:r>
      <w:r w:rsidR="00303F88">
        <w:t xml:space="preserve">related </w:t>
      </w:r>
      <w:r>
        <w:t>issues which could result in disruption to our business, loss of data and/or reputational damage. We use both in-house resources and external specialists to review and test our controls and processes. Employees are given regular updates and mandatory training to maintain vigilance and awareness. We also have in place detailed business continuity and disaster recovery plans which are regularly tested and reviewed which</w:t>
      </w:r>
      <w:r w:rsidR="00BF526A">
        <w:t xml:space="preserve"> are enacted should a significant event occur. </w:t>
      </w:r>
    </w:p>
    <w:p w14:paraId="2961599F" w14:textId="77777777" w:rsidR="007A419C" w:rsidRDefault="007A419C" w:rsidP="007A419C">
      <w:pPr>
        <w:pStyle w:val="Heading3"/>
      </w:pPr>
      <w:r>
        <w:t xml:space="preserve">Environmental Sustainability and Climate Change </w:t>
      </w:r>
    </w:p>
    <w:p w14:paraId="20CD0BCE" w14:textId="77777777" w:rsidR="007A419C" w:rsidRDefault="007A419C" w:rsidP="007A419C">
      <w:pPr>
        <w:pStyle w:val="Normal1"/>
      </w:pPr>
      <w:r>
        <w:t xml:space="preserve">Environmental sustainability is an increasingly important risk for the business. </w:t>
      </w:r>
    </w:p>
    <w:p w14:paraId="7496796C" w14:textId="48B1CDAB" w:rsidR="007A419C" w:rsidRDefault="007A419C" w:rsidP="007A419C">
      <w:pPr>
        <w:pStyle w:val="Normal1"/>
      </w:pPr>
      <w:r>
        <w:t>The risk includes the short to medium-term impacts including transitional changes (for example, legislation and financial) which we closely monitor</w:t>
      </w:r>
      <w:r w:rsidR="00303F88">
        <w:t>,</w:t>
      </w:r>
      <w:r>
        <w:t xml:space="preserve"> as well as the long-term emerging risk of climate change (for example, physical changes including the increased likelihood of</w:t>
      </w:r>
      <w:r w:rsidR="008944EE">
        <w:t xml:space="preserve"> flooding</w:t>
      </w:r>
      <w:r>
        <w:t xml:space="preserve"> events) for which we have undertaken extensive research. </w:t>
      </w:r>
    </w:p>
    <w:p w14:paraId="4D8C63FF" w14:textId="1DE4FBA4" w:rsidR="007A419C" w:rsidRDefault="007A419C" w:rsidP="007A419C">
      <w:pPr>
        <w:pStyle w:val="Normal1"/>
      </w:pPr>
      <w:r>
        <w:lastRenderedPageBreak/>
        <w:t xml:space="preserve">Failure to identify and mitigate risks at this stage could result in a reduction in the attractiveness of our assets to our current and prospective tenants; reputational damage and higher obsolescence and a reduction in value of our portfolio in the future. </w:t>
      </w:r>
    </w:p>
    <w:p w14:paraId="31F23106" w14:textId="3DF6868B" w:rsidR="007A419C" w:rsidRDefault="007A419C" w:rsidP="007A419C">
      <w:pPr>
        <w:pStyle w:val="Normal1"/>
      </w:pPr>
      <w:r>
        <w:t xml:space="preserve">The environmental and climate change related risks are overseen by </w:t>
      </w:r>
      <w:r w:rsidR="00532D1B">
        <w:t>the</w:t>
      </w:r>
      <w:r>
        <w:t xml:space="preserve"> </w:t>
      </w:r>
      <w:r w:rsidR="008944EE">
        <w:t>S</w:t>
      </w:r>
      <w:r>
        <w:t>ustainability team</w:t>
      </w:r>
      <w:r w:rsidR="008944EE">
        <w:t xml:space="preserve"> and local Business Units</w:t>
      </w:r>
      <w:r>
        <w:t xml:space="preserve">, reporting to the Executive Committee and ultimately the Board. The activity during 2021 and looking ahead to 2022 and beyond is described in more detail </w:t>
      </w:r>
      <w:r w:rsidR="00BF526A">
        <w:t>in the Principal Risk section below</w:t>
      </w:r>
      <w:r>
        <w:t xml:space="preserve">. </w:t>
      </w:r>
    </w:p>
    <w:p w14:paraId="09F697A0" w14:textId="77777777" w:rsidR="007A419C" w:rsidRDefault="007A419C" w:rsidP="007A419C">
      <w:pPr>
        <w:pStyle w:val="Heading3"/>
      </w:pPr>
      <w:r>
        <w:t xml:space="preserve">Technology </w:t>
      </w:r>
    </w:p>
    <w:p w14:paraId="74FC8DEE" w14:textId="16350D34" w:rsidR="007A419C" w:rsidRDefault="007A419C" w:rsidP="007A419C">
      <w:pPr>
        <w:pStyle w:val="Normal1"/>
      </w:pPr>
      <w:r>
        <w:t xml:space="preserve">The Group remains alert to the risks and opportunities that potentially disruptive technology could have on the business. We continued to engage with a number of external organisations – both in the property sector and in the wider technology realm – to assist us in identifying and assessing potentially disruptive technologies, none of which currently is </w:t>
      </w:r>
      <w:r w:rsidR="00303F88">
        <w:t xml:space="preserve">currently </w:t>
      </w:r>
      <w:r>
        <w:t xml:space="preserve">believed to present an imminent significant risk to the Group. </w:t>
      </w:r>
    </w:p>
    <w:p w14:paraId="348DF870" w14:textId="1F64AF46" w:rsidR="007A419C" w:rsidRDefault="007A419C" w:rsidP="007A419C">
      <w:pPr>
        <w:pStyle w:val="Normal1"/>
      </w:pPr>
      <w:r>
        <w:t>We remain</w:t>
      </w:r>
      <w:r w:rsidR="00822963">
        <w:t>ed</w:t>
      </w:r>
      <w:r>
        <w:t xml:space="preserve"> committed to invest</w:t>
      </w:r>
      <w:r w:rsidR="00702017">
        <w:t>ing</w:t>
      </w:r>
      <w:r>
        <w:t xml:space="preserve"> in our Strategy, Investment and Innovation function which continues to assess the potential impacts of a wide range of technologies and evolves our digital and technology strategy</w:t>
      </w:r>
      <w:r w:rsidR="00BF526A">
        <w:t xml:space="preserve">. </w:t>
      </w:r>
      <w:r>
        <w:t xml:space="preserve"> </w:t>
      </w:r>
    </w:p>
    <w:p w14:paraId="73A95F6E" w14:textId="77777777" w:rsidR="007A419C" w:rsidRDefault="007A419C" w:rsidP="007A419C">
      <w:pPr>
        <w:pStyle w:val="Heading3"/>
      </w:pPr>
      <w:r>
        <w:t xml:space="preserve">LOOKING AHEAD </w:t>
      </w:r>
    </w:p>
    <w:p w14:paraId="111A2121" w14:textId="77777777" w:rsidR="007A419C" w:rsidRDefault="007A419C" w:rsidP="007A419C">
      <w:pPr>
        <w:pStyle w:val="Normal1"/>
      </w:pPr>
      <w:r>
        <w:t xml:space="preserve">As detailed further below, we have robust processes in place to identify and review emerging risks. By their nature emerging risks may not be fully understood or their impacts readily assessable. We remain vigilant as to how quickly and to what extent they might impact the Group. </w:t>
      </w:r>
    </w:p>
    <w:p w14:paraId="688A0282" w14:textId="25E25BEA" w:rsidR="007A419C" w:rsidRDefault="007A419C" w:rsidP="007A419C">
      <w:pPr>
        <w:pStyle w:val="Normal1"/>
      </w:pPr>
      <w:r>
        <w:t>A key emerging risk is the impact of climate change (as detailed above); others include, inter alia, the long-term impacts of the pandemic including on urbanisation and working practices; identifying and adapting to technological advances and societal attitudes to air travel and consumerism and how these impact our business model.</w:t>
      </w:r>
      <w:r w:rsidR="00303F88">
        <w:t xml:space="preserve"> Each emerging risk is assigned an owner and is closely monitored and assessed as it evolves. </w:t>
      </w:r>
    </w:p>
    <w:p w14:paraId="532FAAD7" w14:textId="3275B413" w:rsidR="007A419C" w:rsidRDefault="007A419C" w:rsidP="007A419C">
      <w:pPr>
        <w:pStyle w:val="Normal1"/>
        <w:rPr>
          <w:color w:val="FF0000"/>
        </w:rPr>
      </w:pPr>
      <w:r>
        <w:t>Looking forward to 2022, whilst there is still much uncertainty, it is anticipated that Covid-19 will still be prevalent in society, and its direct and indirect impacts are still evolving. Therefore, risk management and controls, and the Group’s continued flexibility in responding to the risks presented, will be fundamental to our ability to continue to operate successfully.</w:t>
      </w:r>
    </w:p>
    <w:p w14:paraId="2743BE53" w14:textId="77777777" w:rsidR="005E793C" w:rsidRPr="00AD075B" w:rsidRDefault="005E793C" w:rsidP="005E793C">
      <w:pPr>
        <w:pStyle w:val="Heading3"/>
      </w:pPr>
      <w:r w:rsidRPr="00AD075B">
        <w:t>OUR RISK APPETITE</w:t>
      </w:r>
    </w:p>
    <w:p w14:paraId="0D4F89D9" w14:textId="77777777" w:rsidR="00445C84" w:rsidRDefault="00445C84" w:rsidP="005E793C">
      <w:pPr>
        <w:pStyle w:val="Normal1"/>
      </w:pPr>
      <w:r>
        <w:t xml:space="preserve">The Group recognises that its ability to manage risk effectively throughout the organisation continues to be central to its success. Risk management ensures a structured approach to decision making that seeks to reduce uncertainty over expected outcomes and to bring controllable risks within our appetite, thereby balancing uncertainty against the objective of creating and protecting value for our stakeholders, now and in the long term. </w:t>
      </w:r>
    </w:p>
    <w:p w14:paraId="11D8439C" w14:textId="74A4C626" w:rsidR="00445C84" w:rsidRDefault="00445C84" w:rsidP="005E793C">
      <w:pPr>
        <w:pStyle w:val="Normal1"/>
      </w:pPr>
      <w:r>
        <w:t>The Group’s risk appetite is reviewed annually and approved by the Board in order to guide the business. As well as qualitative descriptions, the risk appetite defines tolerances and targets for key metrics. It is equally applicable to wholly</w:t>
      </w:r>
      <w:r w:rsidR="00DB275B">
        <w:t>-</w:t>
      </w:r>
      <w:r>
        <w:t xml:space="preserve">owned operations and joint ventures. </w:t>
      </w:r>
    </w:p>
    <w:p w14:paraId="298B3AE2" w14:textId="77ECF187" w:rsidR="00445C84" w:rsidRDefault="00445C84" w:rsidP="005E793C">
      <w:pPr>
        <w:pStyle w:val="Normal1"/>
        <w:rPr>
          <w:color w:val="FF0000"/>
        </w:rPr>
      </w:pPr>
      <w:r>
        <w:t xml:space="preserve">Our risk appetite is dynamic rather than static, it will vary over time and during the course of the property cycle. In general, the Group maintains a </w:t>
      </w:r>
      <w:r w:rsidR="00303F88">
        <w:t xml:space="preserve">reasonably </w:t>
      </w:r>
      <w:r>
        <w:t>low appetite for risk, appropriate to our strategic objectives of delivering long-term sustainable value.</w:t>
      </w:r>
    </w:p>
    <w:p w14:paraId="53D6EE42" w14:textId="77777777" w:rsidR="005E793C" w:rsidRPr="00445C84" w:rsidRDefault="005E793C" w:rsidP="005E793C">
      <w:pPr>
        <w:pStyle w:val="Heading3"/>
      </w:pPr>
      <w:r w:rsidRPr="00445C84">
        <w:t>Property Risk</w:t>
      </w:r>
    </w:p>
    <w:p w14:paraId="2D9D6C79" w14:textId="77777777" w:rsidR="00445C84" w:rsidRDefault="00445C84" w:rsidP="005E793C">
      <w:pPr>
        <w:pStyle w:val="Normal1"/>
      </w:pPr>
      <w:r>
        <w:t xml:space="preserve">We recognise that, in seeking outperformance from our portfolio, the Group must accept a balanced level of property risk – with diversity in geographic locations and asset types and an appropriate mixture of stabilised income-producing and opportunity assets – in order to enhance opportunities for superior returns. This is balanced against the backdrop of the macroeconomic climate and its impact on the property cycle. </w:t>
      </w:r>
    </w:p>
    <w:p w14:paraId="4F7A0BB1" w14:textId="57FAB9DC" w:rsidR="00445C84" w:rsidRDefault="00445C84" w:rsidP="005E793C">
      <w:pPr>
        <w:pStyle w:val="Normal1"/>
      </w:pPr>
      <w:r>
        <w:t xml:space="preserve">Our target portfolio should deliver attractive, low risk income returns with strong rental and capital growth when market conditions are positive and show relative resilience in a downturn. We aim to enhance these returns through </w:t>
      </w:r>
      <w:r w:rsidR="00303F88">
        <w:t xml:space="preserve">a </w:t>
      </w:r>
      <w:r>
        <w:t>development</w:t>
      </w:r>
      <w:r w:rsidR="00303F88">
        <w:t xml:space="preserve"> strategy</w:t>
      </w:r>
      <w:r>
        <w:t xml:space="preserve">, which requires appropriate levels of land holdings to support the pipeline. </w:t>
      </w:r>
    </w:p>
    <w:p w14:paraId="2BA2A32E" w14:textId="6F7B9FCA" w:rsidR="00445C84" w:rsidRDefault="00445C84" w:rsidP="005E793C">
      <w:pPr>
        <w:pStyle w:val="Normal1"/>
      </w:pPr>
      <w:r>
        <w:lastRenderedPageBreak/>
        <w:t>We seek to balance the risk of holding too much land which might be a drag to earnings</w:t>
      </w:r>
      <w:r w:rsidR="00303F88">
        <w:t>,</w:t>
      </w:r>
      <w:r>
        <w:t xml:space="preserve"> by acquiring land in appropriate locations with the required planning or zoning. Additionally</w:t>
      </w:r>
      <w:r w:rsidR="00822963">
        <w:t>,</w:t>
      </w:r>
      <w:r>
        <w:t xml:space="preserve"> we closely monitor the churn and duration of our land holdings. We also seek to mitigate the risks – including letting, construction and contractor covenant risks – that are inherent in development. Also mindful of our environmental responsibilities, we seek to also develop buildings which meet and exceed minimum regulatory requirements and </w:t>
      </w:r>
      <w:r w:rsidR="00303F88">
        <w:t>achieve</w:t>
      </w:r>
      <w:r>
        <w:t xml:space="preserve"> high environmental certification standards, to be attractive to occupiers both now and in the future. </w:t>
      </w:r>
    </w:p>
    <w:p w14:paraId="7C2FB98D" w14:textId="014A45A5" w:rsidR="00445C84" w:rsidRDefault="00445C84" w:rsidP="005E793C">
      <w:pPr>
        <w:pStyle w:val="Normal1"/>
      </w:pPr>
      <w:r>
        <w:t>In line with our income focus, we have a low appetite for risks to income from customers. Accordingly</w:t>
      </w:r>
      <w:r w:rsidR="00E959AD">
        <w:t>,</w:t>
      </w:r>
      <w:r>
        <w:t xml:space="preserve"> </w:t>
      </w:r>
      <w:r w:rsidR="00D04AAF">
        <w:t xml:space="preserve">we </w:t>
      </w:r>
      <w:r>
        <w:t>seek a diverse occupier base with strong covenants and avoid over-exposure to individual occupiers in specialist properties. We encourage tenants to share energy usage, operate in a low carbon way and actively encourage the use of green energy where possible in our buildings.</w:t>
      </w:r>
    </w:p>
    <w:p w14:paraId="7E587E04" w14:textId="77777777" w:rsidR="005E793C" w:rsidRPr="00445C84" w:rsidRDefault="005E793C" w:rsidP="005E793C">
      <w:pPr>
        <w:pStyle w:val="Heading3"/>
      </w:pPr>
      <w:r w:rsidRPr="00445C84">
        <w:t>Financial Risk</w:t>
      </w:r>
    </w:p>
    <w:p w14:paraId="3642B353" w14:textId="77777777" w:rsidR="00445C84" w:rsidRDefault="00445C84" w:rsidP="005E793C">
      <w:pPr>
        <w:pStyle w:val="Normal1"/>
      </w:pPr>
      <w:r>
        <w:t xml:space="preserve">The Group maintains a low to moderate appetite for financial risk in general, with a very low appetite for risks to solvency and gearing covenant breaches. </w:t>
      </w:r>
    </w:p>
    <w:p w14:paraId="171A7057" w14:textId="77777777" w:rsidR="00445C84" w:rsidRDefault="00445C84" w:rsidP="005E793C">
      <w:pPr>
        <w:pStyle w:val="Normal1"/>
      </w:pPr>
      <w:r>
        <w:t xml:space="preserve">As an income-focused REIT we have a low appetite for risks which threaten a stable progression in earnings and dividends over the long-term. We are, however, prepared to tolerate fluctuations in dividend cover as a consequence of capital recycling activity. </w:t>
      </w:r>
    </w:p>
    <w:p w14:paraId="4C3ABDC1" w14:textId="37E63F62" w:rsidR="00445C84" w:rsidRDefault="00445C84" w:rsidP="005E793C">
      <w:pPr>
        <w:pStyle w:val="Normal1"/>
        <w:rPr>
          <w:color w:val="FF0000"/>
        </w:rPr>
      </w:pPr>
      <w:r>
        <w:t>We also seek long-term growth in net asset value. Our appetite for risks to net asset value from the factors within our control is low, albeit acknowledging that our appetite for moderate leverage across the cycle amplifies the impact of market driven asset valuation movements on net asset value.</w:t>
      </w:r>
    </w:p>
    <w:p w14:paraId="0620DDCE" w14:textId="77777777" w:rsidR="005E793C" w:rsidRPr="00445C84" w:rsidRDefault="005E793C" w:rsidP="005E793C">
      <w:pPr>
        <w:pStyle w:val="Heading3"/>
      </w:pPr>
      <w:r w:rsidRPr="00445C84">
        <w:t>Corporate Risk</w:t>
      </w:r>
    </w:p>
    <w:p w14:paraId="63294BD8" w14:textId="4F59249B" w:rsidR="00445C84" w:rsidRDefault="00445C84" w:rsidP="005E793C">
      <w:pPr>
        <w:pStyle w:val="Normal1"/>
      </w:pPr>
      <w:r>
        <w:t xml:space="preserve">We have a very low appetite for risks to our good reputation with our customers and wider stakeholders, including investors, regulators, employees, business partners, suppliers, lenders and the communities in which we operate. </w:t>
      </w:r>
    </w:p>
    <w:p w14:paraId="7F3FA0E8" w14:textId="2ADC5EB0" w:rsidR="00445C84" w:rsidRDefault="00445C84" w:rsidP="005E793C">
      <w:pPr>
        <w:pStyle w:val="Normal1"/>
        <w:rPr>
          <w:color w:val="FF0000"/>
        </w:rPr>
      </w:pPr>
      <w:r>
        <w:t>Our responsibilities to these stakeholders include compliance with all relevant laws; accurate and timely reporting of financial and other regulatory information; safeguarding the health and safety of employees, suppliers, customers and other users of our assets; our impact on the environment; to assess the impact of new and evolving technologies; compliance with codes of conduct and ethics; ensuring business continuity; and making a positive contribution to the communities in which we operate.</w:t>
      </w:r>
    </w:p>
    <w:p w14:paraId="577BBBFA" w14:textId="75B43F15" w:rsidR="00DE3FDA" w:rsidRPr="00445C84" w:rsidRDefault="00DE3FDA" w:rsidP="00DE3FDA">
      <w:pPr>
        <w:pStyle w:val="Heading3"/>
      </w:pPr>
      <w:r w:rsidRPr="00445C84">
        <w:t>OUR INTEGRATED AND ROBUST APPROACH TO RISK MANAGEMENT</w:t>
      </w:r>
    </w:p>
    <w:p w14:paraId="17774DBE" w14:textId="325FF280" w:rsidR="00445C84" w:rsidRDefault="00445C84" w:rsidP="00DE3FDA">
      <w:pPr>
        <w:pStyle w:val="Normal1"/>
      </w:pPr>
      <w:r>
        <w:t xml:space="preserve">The Board has overall responsibility for ensuring that risk is effectively and consistently managed across the Group. The Audit Committee monitors the effectiveness of the Group’s risk management process on behalf of the Board. </w:t>
      </w:r>
    </w:p>
    <w:p w14:paraId="09BCAA31" w14:textId="77777777" w:rsidR="00445C84" w:rsidRDefault="00445C84" w:rsidP="00DE3FDA">
      <w:pPr>
        <w:pStyle w:val="Normal1"/>
      </w:pPr>
      <w:r>
        <w:t xml:space="preserve">The risk management process is designed to identify, evaluate and respond to the significant risks (including emerging risks) that the Group faces. The process aims to understand and mitigate, rather than eliminate, the risk of failure to achieve business objectives, and therefore can only provide reasonable and not absolute assurance. </w:t>
      </w:r>
    </w:p>
    <w:p w14:paraId="30B8E20D" w14:textId="6143786F" w:rsidR="00445C84" w:rsidRDefault="00445C84" w:rsidP="00DE3FDA">
      <w:pPr>
        <w:pStyle w:val="Normal1"/>
      </w:pPr>
      <w:r>
        <w:t xml:space="preserve">The identification and review of emerging risks are integrated into our risk review process. Emerging risks are those risks or a combination of risks which are often rapidly evolving and for which the impact and probability of occurrence have not yet been fully understood and consequently necessary mitigations have not yet fully evolved. All risk owners and managers within the business are challenged to consider emerging risks and this is </w:t>
      </w:r>
      <w:r w:rsidR="00303F88">
        <w:t xml:space="preserve">supplemented </w:t>
      </w:r>
      <w:r>
        <w:t xml:space="preserve">through formal twice-yearly horizon scans with the Executive Committee. </w:t>
      </w:r>
    </w:p>
    <w:p w14:paraId="7DF0C973" w14:textId="10FE5CE7" w:rsidR="00445C84" w:rsidRDefault="00445C84" w:rsidP="00DE3FDA">
      <w:pPr>
        <w:pStyle w:val="Normal1"/>
      </w:pPr>
      <w:r>
        <w:t xml:space="preserve">The Board recognises that it has limited control over many of the external risks it faces, such as global events as well as the macroeconomic, geopolitical, and regulatory environment, but it reviews the potential impact of such risks on the business and consequential decision making. </w:t>
      </w:r>
    </w:p>
    <w:p w14:paraId="4EBF7D77" w14:textId="74701F66" w:rsidR="00303F88" w:rsidRDefault="00445C84" w:rsidP="00DE3FDA">
      <w:pPr>
        <w:pStyle w:val="Normal1"/>
      </w:pPr>
      <w:r>
        <w:t xml:space="preserve">Internal risks are monitored by the Board to ensures that appropriately designed controls are in place and operate in order to manage them. </w:t>
      </w:r>
    </w:p>
    <w:p w14:paraId="41CE2FBD" w14:textId="0C718D89" w:rsidR="00445C84" w:rsidRDefault="00445C84" w:rsidP="00DE3FDA">
      <w:pPr>
        <w:pStyle w:val="Normal1"/>
      </w:pPr>
      <w:r>
        <w:lastRenderedPageBreak/>
        <w:t>The Board has performed a robust assessment of the principal and emerging risks facing the Group. It formally reviewed the principal and emerging risks twice during the year and also completed its annual review and approval of the Group’s risk appetite, and the Group’s risk management policy. The Audit Committee reviews the process over how the Group Risk Register has been compiled</w:t>
      </w:r>
      <w:r w:rsidR="00303F88">
        <w:t>,</w:t>
      </w:r>
      <w:r>
        <w:t xml:space="preserve"> twice a year. </w:t>
      </w:r>
    </w:p>
    <w:p w14:paraId="1674814C" w14:textId="7B4F6F72" w:rsidR="00445C84" w:rsidRDefault="00445C84" w:rsidP="00DE3FDA">
      <w:pPr>
        <w:pStyle w:val="Normal1"/>
      </w:pPr>
      <w:r>
        <w:t>The Group adopts the ‘three lines of defence’ model of risk management. Operational management, the individual risk manager and executive risk owner provide the first line of defence. The Executive Committee, other monitoring committees (such as the Investment Committee and the Tech</w:t>
      </w:r>
      <w:r w:rsidR="00D04AAF">
        <w:t>nology</w:t>
      </w:r>
      <w:r>
        <w:t xml:space="preserve"> Committee), and the risk management function overseen by the Group Risk Committee provide the second line of defence. Finally, Internal Audit provides the third line of defence. </w:t>
      </w:r>
    </w:p>
    <w:p w14:paraId="58E69239" w14:textId="6C214871" w:rsidR="00445C84" w:rsidRDefault="00445C84" w:rsidP="00DE3FDA">
      <w:pPr>
        <w:pStyle w:val="Normal1"/>
      </w:pPr>
      <w:r>
        <w:t xml:space="preserve">Risks are considered within each area of the business to ensure that risk management is fully embedded within the Group’s operations, culture and decision-making processes. </w:t>
      </w:r>
    </w:p>
    <w:p w14:paraId="3F6422FE" w14:textId="77777777" w:rsidR="00445C84" w:rsidRDefault="00445C84" w:rsidP="00DE3FDA">
      <w:pPr>
        <w:pStyle w:val="Normal1"/>
      </w:pPr>
      <w:r>
        <w:t>We have put risk appetite at the heart of our risk management processes. it is integral both to our consideration of strategy and to our medium-term planning process. Risk appetite also defines specific tolerances and targets for key metrics and the criteria for assessing the potential impact of risks and our mitigation of them.</w:t>
      </w:r>
    </w:p>
    <w:p w14:paraId="314586DB" w14:textId="77777777" w:rsidR="00445C84" w:rsidRDefault="00445C84" w:rsidP="00DE3FDA">
      <w:pPr>
        <w:pStyle w:val="Normal1"/>
      </w:pPr>
      <w:r>
        <w:t xml:space="preserve">The most significant risks and mitigating controls are detailed in the Group Risk Register. Risks are assessed in both inherent (assuming that no controls are in place) and residual (with mitigating controls operating normally) states. As part of the assessment, risk impact is directly measured against risk appetite so that it is clear whether each risk is comfortably within appetite, tolerable, intolerable or below appetite. We also formally assess the velocity of the most significant risks to determine how quickly they might become intolerable. </w:t>
      </w:r>
    </w:p>
    <w:p w14:paraId="3E6B9D4E" w14:textId="77777777" w:rsidR="00445C84" w:rsidRDefault="00445C84" w:rsidP="00DE3FDA">
      <w:pPr>
        <w:pStyle w:val="Normal1"/>
      </w:pPr>
      <w:r>
        <w:t xml:space="preserve">A Key Risk Indicator (KRI) dashboard is produced and monitored regularly to show actual and forecast performance against risk appetite metrics, allowing informed decision making. KRIs are considered regularly by the relevant monitoring committees in their decision making as well as being integral to the Group’s Medium Term Plan. </w:t>
      </w:r>
    </w:p>
    <w:p w14:paraId="53E518D3" w14:textId="53535187" w:rsidR="00445C84" w:rsidRDefault="00445C84" w:rsidP="00DE3FDA">
      <w:pPr>
        <w:pStyle w:val="Normal1"/>
      </w:pPr>
      <w:r>
        <w:t>Mitigations for each risk are documented and monitored in the Group Risk Register. The Register is used as a key input to determine priorities for the Group’s internal audit assurance programme. Furthermore, management’s annual assessment of control effectiveness is driven by the Group’s Risk Register.</w:t>
      </w:r>
    </w:p>
    <w:p w14:paraId="2C9FC236" w14:textId="77777777" w:rsidR="005E793C" w:rsidRPr="00445C84" w:rsidRDefault="005E793C" w:rsidP="005E793C">
      <w:pPr>
        <w:pStyle w:val="Heading3"/>
      </w:pPr>
      <w:r w:rsidRPr="00445C84">
        <w:t>PRINCIPAL RISKS</w:t>
      </w:r>
    </w:p>
    <w:p w14:paraId="3D5A92B3" w14:textId="77777777" w:rsidR="00445C84" w:rsidRDefault="00445C84" w:rsidP="005E793C">
      <w:pPr>
        <w:pStyle w:val="Normal1"/>
      </w:pPr>
      <w:r>
        <w:t xml:space="preserve">The principal risks have the potential to affect SEGRO’s business materially. Risks are classified as ‘principal’ based on their potential to intolerably exceed our appetite (considering both inherent and residual impact) and cause material harm to the Group. </w:t>
      </w:r>
    </w:p>
    <w:p w14:paraId="558A42DC" w14:textId="77777777" w:rsidR="00445C84" w:rsidRDefault="00445C84" w:rsidP="005E793C">
      <w:pPr>
        <w:pStyle w:val="Normal1"/>
      </w:pPr>
      <w:r>
        <w:t xml:space="preserve">Some risks that may be unknown at present, as well as other risks that are currently regarded as immaterial and therefore not detailed here, could turn out to be material in the future. </w:t>
      </w:r>
    </w:p>
    <w:p w14:paraId="27F3E03D" w14:textId="426A6B98" w:rsidR="00445C84" w:rsidRDefault="00445C84" w:rsidP="005E793C">
      <w:pPr>
        <w:pStyle w:val="Normal1"/>
      </w:pPr>
      <w:r>
        <w:t xml:space="preserve">The </w:t>
      </w:r>
      <w:r w:rsidR="00830549">
        <w:t>d</w:t>
      </w:r>
      <w:r>
        <w:t xml:space="preserve">isruptive Brexit risk previously reported has been removed as a principal risk as it was at least partially mitigated by the trade agreement between the UK and EU and subsequently no material impacts on the Group have arisen. The relevant consequences of Brexit are now being managed within each applicable risk, such as </w:t>
      </w:r>
      <w:r w:rsidR="00830549">
        <w:t>p</w:t>
      </w:r>
      <w:r>
        <w:t xml:space="preserve">olitical and </w:t>
      </w:r>
      <w:r w:rsidR="00830549">
        <w:t>r</w:t>
      </w:r>
      <w:r>
        <w:t>egulatory</w:t>
      </w:r>
      <w:r w:rsidR="00830549">
        <w:t xml:space="preserve"> risk</w:t>
      </w:r>
      <w:r>
        <w:t xml:space="preserve">. </w:t>
      </w:r>
    </w:p>
    <w:p w14:paraId="316AC54E" w14:textId="068B416C" w:rsidR="00445C84" w:rsidRDefault="00445C84" w:rsidP="005E793C">
      <w:pPr>
        <w:pStyle w:val="Normal1"/>
        <w:rPr>
          <w:color w:val="FF0000"/>
        </w:rPr>
      </w:pPr>
      <w:r>
        <w:t>Furthermore, our environmental sustainability</w:t>
      </w:r>
      <w:r w:rsidR="00D04AAF">
        <w:t xml:space="preserve"> and climate change</w:t>
      </w:r>
      <w:r>
        <w:t xml:space="preserve"> risk has increased during the year for reasons described in more detail below, whilst the others have remained in line with the prior year.</w:t>
      </w:r>
    </w:p>
    <w:p w14:paraId="53274BA4" w14:textId="443C6D22" w:rsidR="00F22411" w:rsidRDefault="00F22411" w:rsidP="005E793C">
      <w:pPr>
        <w:pStyle w:val="Normal1"/>
        <w:rPr>
          <w:color w:val="FF0000"/>
        </w:rPr>
      </w:pPr>
    </w:p>
    <w:p w14:paraId="5D339561" w14:textId="1EF696E3" w:rsidR="00BF526A" w:rsidRDefault="00BF526A" w:rsidP="005E793C">
      <w:pPr>
        <w:pStyle w:val="Normal1"/>
        <w:rPr>
          <w:color w:val="FF0000"/>
        </w:rPr>
      </w:pPr>
    </w:p>
    <w:p w14:paraId="75074479" w14:textId="32DAD722" w:rsidR="00BF526A" w:rsidRDefault="00BF526A" w:rsidP="005E793C">
      <w:pPr>
        <w:pStyle w:val="Normal1"/>
        <w:rPr>
          <w:color w:val="FF0000"/>
        </w:rPr>
      </w:pPr>
    </w:p>
    <w:p w14:paraId="107C12E3" w14:textId="02ED58A6" w:rsidR="00BF526A" w:rsidRDefault="00BF526A" w:rsidP="005E793C">
      <w:pPr>
        <w:pStyle w:val="Normal1"/>
        <w:rPr>
          <w:color w:val="FF0000"/>
        </w:rPr>
      </w:pPr>
    </w:p>
    <w:p w14:paraId="666E8509" w14:textId="12DA6B04" w:rsidR="00BF526A" w:rsidRDefault="00BF526A" w:rsidP="005E793C">
      <w:pPr>
        <w:pStyle w:val="Normal1"/>
        <w:rPr>
          <w:color w:val="FF0000"/>
        </w:rPr>
      </w:pPr>
    </w:p>
    <w:p w14:paraId="60482CFA" w14:textId="77777777" w:rsidR="00BF526A" w:rsidRDefault="00BF526A" w:rsidP="005E793C">
      <w:pPr>
        <w:pStyle w:val="Normal1"/>
        <w:rPr>
          <w:color w:val="FF0000"/>
        </w:rPr>
      </w:pPr>
    </w:p>
    <w:p w14:paraId="4BCF7D44" w14:textId="77777777" w:rsidR="00445C84" w:rsidRPr="005F6D8A" w:rsidRDefault="00445C84" w:rsidP="005E793C">
      <w:pPr>
        <w:pStyle w:val="Normal1"/>
        <w:rPr>
          <w:color w:val="FF0000"/>
        </w:rPr>
      </w:pPr>
    </w:p>
    <w:tbl>
      <w:tblPr>
        <w:tblStyle w:val="TableGrid"/>
        <w:tblW w:w="0" w:type="auto"/>
        <w:tblLook w:val="04A0" w:firstRow="1" w:lastRow="0" w:firstColumn="1" w:lastColumn="0" w:noHBand="0" w:noVBand="1"/>
      </w:tblPr>
      <w:tblGrid>
        <w:gridCol w:w="1560"/>
        <w:gridCol w:w="3260"/>
        <w:gridCol w:w="3969"/>
        <w:gridCol w:w="1678"/>
      </w:tblGrid>
      <w:tr w:rsidR="005F6D8A" w:rsidRPr="005F6D8A" w14:paraId="2F734BC5" w14:textId="77777777" w:rsidTr="00E30618">
        <w:tc>
          <w:tcPr>
            <w:tcW w:w="1560" w:type="dxa"/>
          </w:tcPr>
          <w:p w14:paraId="2514D548" w14:textId="77777777" w:rsidR="005E793C" w:rsidRPr="00A906C2" w:rsidRDefault="005E793C" w:rsidP="00E30618">
            <w:pPr>
              <w:pStyle w:val="TableColHeadsBold0"/>
              <w:jc w:val="center"/>
              <w:rPr>
                <w:u w:val="single"/>
              </w:rPr>
            </w:pPr>
            <w:r w:rsidRPr="00A906C2">
              <w:rPr>
                <w:u w:val="single"/>
              </w:rPr>
              <w:lastRenderedPageBreak/>
              <w:t>PRINCIPAL RISK</w:t>
            </w:r>
          </w:p>
        </w:tc>
        <w:tc>
          <w:tcPr>
            <w:tcW w:w="3260" w:type="dxa"/>
          </w:tcPr>
          <w:p w14:paraId="2B4704B2" w14:textId="5EE1ADEE" w:rsidR="005E793C" w:rsidRPr="00BF526A" w:rsidRDefault="00BF526A" w:rsidP="00BF526A">
            <w:pPr>
              <w:pStyle w:val="TableColHeadsBold0"/>
              <w:jc w:val="center"/>
              <w:rPr>
                <w:u w:val="single"/>
              </w:rPr>
            </w:pPr>
            <w:r w:rsidRPr="00BF526A">
              <w:rPr>
                <w:u w:val="single"/>
              </w:rPr>
              <w:t>DESCRIPTION</w:t>
            </w:r>
          </w:p>
        </w:tc>
        <w:tc>
          <w:tcPr>
            <w:tcW w:w="3969" w:type="dxa"/>
          </w:tcPr>
          <w:p w14:paraId="5E8BFCD3" w14:textId="73663894" w:rsidR="005E793C" w:rsidRPr="00A906C2" w:rsidRDefault="005E793C" w:rsidP="00E30618">
            <w:pPr>
              <w:pStyle w:val="TableColHeadsBold0"/>
              <w:jc w:val="center"/>
              <w:rPr>
                <w:u w:val="single"/>
              </w:rPr>
            </w:pPr>
            <w:r w:rsidRPr="00A906C2">
              <w:rPr>
                <w:u w:val="single"/>
              </w:rPr>
              <w:t>MITIGATIONS</w:t>
            </w:r>
            <w:r w:rsidR="00045686" w:rsidRPr="00A906C2">
              <w:rPr>
                <w:u w:val="single"/>
              </w:rPr>
              <w:t xml:space="preserve"> AND CURRENT YEAR ACTIVITY</w:t>
            </w:r>
          </w:p>
        </w:tc>
        <w:tc>
          <w:tcPr>
            <w:tcW w:w="1678" w:type="dxa"/>
          </w:tcPr>
          <w:p w14:paraId="3B6F1487" w14:textId="7B92D499" w:rsidR="005E793C" w:rsidRPr="0068185D" w:rsidRDefault="005E793C" w:rsidP="00E30618">
            <w:pPr>
              <w:pStyle w:val="TableColHeadsBold0"/>
              <w:jc w:val="center"/>
              <w:rPr>
                <w:u w:val="single"/>
              </w:rPr>
            </w:pPr>
            <w:r w:rsidRPr="0068185D">
              <w:rPr>
                <w:u w:val="single"/>
              </w:rPr>
              <w:t>IMPACT AND CHANGE IN 20</w:t>
            </w:r>
            <w:r w:rsidR="00045686" w:rsidRPr="0068185D">
              <w:rPr>
                <w:u w:val="single"/>
              </w:rPr>
              <w:t>2</w:t>
            </w:r>
            <w:r w:rsidR="00A906C2" w:rsidRPr="0068185D">
              <w:rPr>
                <w:u w:val="single"/>
              </w:rPr>
              <w:t>1</w:t>
            </w:r>
          </w:p>
        </w:tc>
      </w:tr>
      <w:tr w:rsidR="005F6D8A" w:rsidRPr="005F6D8A" w14:paraId="52D53D1C" w14:textId="77777777" w:rsidTr="00E30618">
        <w:tc>
          <w:tcPr>
            <w:tcW w:w="1560" w:type="dxa"/>
            <w:tcBorders>
              <w:bottom w:val="single" w:sz="8" w:space="0" w:color="808080" w:themeColor="background1" w:themeShade="80"/>
            </w:tcBorders>
            <w:vAlign w:val="top"/>
          </w:tcPr>
          <w:p w14:paraId="752E9E67" w14:textId="16401767" w:rsidR="005E793C" w:rsidRPr="005F6D8A" w:rsidRDefault="005E793C" w:rsidP="00E30618">
            <w:pPr>
              <w:pStyle w:val="Tabletext"/>
              <w:rPr>
                <w:bCs/>
                <w:color w:val="FF0000"/>
                <w:highlight w:val="yellow"/>
              </w:rPr>
            </w:pPr>
            <w:r w:rsidRPr="00A906C2">
              <w:rPr>
                <w:rFonts w:cs="Arial"/>
                <w:bCs/>
              </w:rPr>
              <w:t xml:space="preserve">1. </w:t>
            </w:r>
            <w:r w:rsidR="00045686" w:rsidRPr="00A906C2">
              <w:rPr>
                <w:rFonts w:cs="Arial"/>
                <w:bCs/>
              </w:rPr>
              <w:t>Mac</w:t>
            </w:r>
            <w:r w:rsidR="00A42CC1" w:rsidRPr="00A906C2">
              <w:rPr>
                <w:rFonts w:cs="Arial"/>
                <w:bCs/>
              </w:rPr>
              <w:t>r</w:t>
            </w:r>
            <w:r w:rsidR="00045686" w:rsidRPr="00A906C2">
              <w:rPr>
                <w:rFonts w:cs="Arial"/>
                <w:bCs/>
              </w:rPr>
              <w:t xml:space="preserve">oeconomic impact on </w:t>
            </w:r>
            <w:r w:rsidRPr="00A906C2">
              <w:rPr>
                <w:rFonts w:cs="Arial"/>
                <w:bCs/>
              </w:rPr>
              <w:t>Market Cycle</w:t>
            </w:r>
          </w:p>
        </w:tc>
        <w:tc>
          <w:tcPr>
            <w:tcW w:w="3260" w:type="dxa"/>
            <w:tcBorders>
              <w:bottom w:val="single" w:sz="8" w:space="0" w:color="808080" w:themeColor="background1" w:themeShade="80"/>
            </w:tcBorders>
            <w:vAlign w:val="top"/>
          </w:tcPr>
          <w:p w14:paraId="7B95535F" w14:textId="49457581" w:rsidR="005E793C" w:rsidRPr="005F6D8A" w:rsidRDefault="00A906C2" w:rsidP="00045686">
            <w:pPr>
              <w:pStyle w:val="Tabletext"/>
              <w:ind w:left="146"/>
              <w:rPr>
                <w:color w:val="FF0000"/>
                <w:highlight w:val="yellow"/>
              </w:rPr>
            </w:pPr>
            <w:r>
              <w:t>The property market is cyclical and there is a continuous risk that the Group could either misread the market or fail to react appropriately to changing market and wider geopolitical conditions. This could result in capital being invested or disposals taking place at the wrong price or time in the cycle.</w:t>
            </w:r>
          </w:p>
        </w:tc>
        <w:tc>
          <w:tcPr>
            <w:tcW w:w="3969" w:type="dxa"/>
            <w:tcBorders>
              <w:bottom w:val="single" w:sz="8" w:space="0" w:color="808080" w:themeColor="background1" w:themeShade="80"/>
            </w:tcBorders>
            <w:vAlign w:val="top"/>
          </w:tcPr>
          <w:p w14:paraId="1883EED2" w14:textId="77777777" w:rsidR="00A906C2" w:rsidRDefault="00A906C2" w:rsidP="00045686">
            <w:pPr>
              <w:pStyle w:val="Tabletext"/>
              <w:ind w:left="147"/>
            </w:pPr>
            <w:r>
              <w:t>The Board, Executive Committee and Investment Committee monitor the property market cycle on a continual basis and adapt the Group’s investment/divestment stance in anticipation of changing market conditions. Multiple, diverse investment and occupier market intelligence is regularly reviewed and considered, both from internal ‘on the ground’ sources and from independent external sources. Upside and downside scenarios are incorporated into Investment Committee papers to assess the impact of differing market conditions and inform our portfolio strategy</w:t>
            </w:r>
          </w:p>
          <w:p w14:paraId="532C4F83" w14:textId="77777777" w:rsidR="002A188A" w:rsidRDefault="002A188A" w:rsidP="00045686">
            <w:pPr>
              <w:pStyle w:val="Tabletext"/>
              <w:ind w:left="147"/>
              <w:rPr>
                <w:u w:val="single"/>
              </w:rPr>
            </w:pPr>
          </w:p>
          <w:p w14:paraId="6A8A4554" w14:textId="1449180C" w:rsidR="002A188A" w:rsidRPr="00BA4E4C" w:rsidRDefault="002A188A" w:rsidP="00045686">
            <w:pPr>
              <w:pStyle w:val="Tabletext"/>
              <w:ind w:left="147"/>
              <w:rPr>
                <w:u w:val="single"/>
              </w:rPr>
            </w:pPr>
            <w:r w:rsidRPr="00BA4E4C">
              <w:rPr>
                <w:u w:val="single"/>
              </w:rPr>
              <w:t>Current year:</w:t>
            </w:r>
          </w:p>
          <w:p w14:paraId="13EE62CB" w14:textId="11B86869" w:rsidR="00045686" w:rsidRPr="005F6D8A" w:rsidRDefault="00A906C2" w:rsidP="00045686">
            <w:pPr>
              <w:pStyle w:val="Tabletext"/>
              <w:ind w:left="147"/>
              <w:rPr>
                <w:color w:val="FF0000"/>
                <w:highlight w:val="yellow"/>
              </w:rPr>
            </w:pPr>
            <w:r>
              <w:t>During the year, we have continued to regularly monitor and assess the economic outlook. This includes a wide range of external forces, such as inflation</w:t>
            </w:r>
            <w:r w:rsidR="005C4DD5">
              <w:t>,</w:t>
            </w:r>
            <w:r>
              <w:t xml:space="preserve"> which has increased in the period with consequential impact on a number of areas including rental</w:t>
            </w:r>
            <w:r w:rsidR="00D04AAF">
              <w:t xml:space="preserve"> income</w:t>
            </w:r>
            <w:r>
              <w:t xml:space="preserve">, construction costs and interest rates. </w:t>
            </w:r>
          </w:p>
        </w:tc>
        <w:tc>
          <w:tcPr>
            <w:tcW w:w="1678" w:type="dxa"/>
            <w:tcBorders>
              <w:bottom w:val="single" w:sz="8" w:space="0" w:color="808080" w:themeColor="background1" w:themeShade="80"/>
            </w:tcBorders>
            <w:vAlign w:val="top"/>
          </w:tcPr>
          <w:p w14:paraId="3B50D40C" w14:textId="77777777" w:rsidR="005E793C" w:rsidRPr="0068185D" w:rsidRDefault="005E793C" w:rsidP="00045686">
            <w:pPr>
              <w:pStyle w:val="Tabletext"/>
              <w:ind w:left="141"/>
              <w:rPr>
                <w:rFonts w:cs="Arial"/>
                <w:u w:val="single"/>
              </w:rPr>
            </w:pPr>
            <w:r w:rsidRPr="0068185D">
              <w:rPr>
                <w:rFonts w:cs="Arial"/>
                <w:u w:val="single"/>
              </w:rPr>
              <w:t>Impact on strategy:</w:t>
            </w:r>
          </w:p>
          <w:p w14:paraId="26E3A315" w14:textId="77777777" w:rsidR="005E793C" w:rsidRPr="0068185D" w:rsidRDefault="005E793C" w:rsidP="00045686">
            <w:pPr>
              <w:pStyle w:val="Tabletext"/>
              <w:ind w:left="141"/>
              <w:rPr>
                <w:rFonts w:cs="Arial"/>
              </w:rPr>
            </w:pPr>
            <w:r w:rsidRPr="0068185D">
              <w:rPr>
                <w:rFonts w:cs="Arial"/>
              </w:rPr>
              <w:t>Disciplined Capital Allocation</w:t>
            </w:r>
          </w:p>
          <w:p w14:paraId="05F4247D" w14:textId="77777777" w:rsidR="005E793C" w:rsidRPr="0068185D" w:rsidRDefault="005E793C" w:rsidP="00045686">
            <w:pPr>
              <w:pStyle w:val="Tabletext"/>
              <w:ind w:left="141"/>
              <w:rPr>
                <w:rFonts w:cs="Arial"/>
                <w:color w:val="FF0000"/>
              </w:rPr>
            </w:pPr>
          </w:p>
          <w:p w14:paraId="02288A4F" w14:textId="63A8AF8F" w:rsidR="005E793C" w:rsidRPr="0068185D" w:rsidRDefault="005E793C" w:rsidP="00045686">
            <w:pPr>
              <w:pStyle w:val="Tabletext"/>
              <w:ind w:left="141"/>
              <w:rPr>
                <w:rFonts w:cs="Arial"/>
              </w:rPr>
            </w:pPr>
            <w:r w:rsidRPr="0068185D">
              <w:rPr>
                <w:rFonts w:cs="Arial"/>
                <w:u w:val="single"/>
              </w:rPr>
              <w:t>Change in 20</w:t>
            </w:r>
            <w:r w:rsidR="00F86FF3" w:rsidRPr="0068185D">
              <w:rPr>
                <w:rFonts w:cs="Arial"/>
                <w:u w:val="single"/>
              </w:rPr>
              <w:t>2</w:t>
            </w:r>
            <w:r w:rsidR="00A906C2" w:rsidRPr="0068185D">
              <w:rPr>
                <w:rFonts w:cs="Arial"/>
                <w:u w:val="single"/>
              </w:rPr>
              <w:t>1</w:t>
            </w:r>
            <w:r w:rsidRPr="0068185D">
              <w:rPr>
                <w:rFonts w:cs="Arial"/>
                <w:u w:val="single"/>
              </w:rPr>
              <w:t xml:space="preserve">: </w:t>
            </w:r>
            <w:r w:rsidRPr="0068185D">
              <w:rPr>
                <w:rFonts w:cs="Arial"/>
              </w:rPr>
              <w:t xml:space="preserve">Similar risk </w:t>
            </w:r>
          </w:p>
          <w:p w14:paraId="684EA355" w14:textId="77777777" w:rsidR="005E793C" w:rsidRPr="0068185D" w:rsidRDefault="005E793C" w:rsidP="00045686">
            <w:pPr>
              <w:pStyle w:val="Tabletext"/>
              <w:ind w:left="141"/>
              <w:rPr>
                <w:rFonts w:cs="Arial"/>
              </w:rPr>
            </w:pPr>
          </w:p>
          <w:p w14:paraId="2BDCDB49" w14:textId="77777777" w:rsidR="005E793C" w:rsidRPr="0068185D" w:rsidRDefault="005E793C" w:rsidP="00045686">
            <w:pPr>
              <w:pStyle w:val="Tabletext"/>
              <w:ind w:left="141"/>
              <w:rPr>
                <w:color w:val="FF0000"/>
              </w:rPr>
            </w:pPr>
            <w:r w:rsidRPr="0068185D">
              <w:rPr>
                <w:rFonts w:cs="Arial"/>
              </w:rPr>
              <w:t>Risk is within appetite.</w:t>
            </w:r>
          </w:p>
        </w:tc>
      </w:tr>
      <w:tr w:rsidR="005E793C" w:rsidRPr="005F6D8A" w14:paraId="1DE6651C" w14:textId="77777777" w:rsidTr="00E30618">
        <w:tc>
          <w:tcPr>
            <w:tcW w:w="1560" w:type="dxa"/>
            <w:tcBorders>
              <w:top w:val="single" w:sz="8" w:space="0" w:color="808080" w:themeColor="background1" w:themeShade="80"/>
              <w:bottom w:val="single" w:sz="8" w:space="0" w:color="808080" w:themeColor="background1" w:themeShade="80"/>
            </w:tcBorders>
            <w:vAlign w:val="top"/>
          </w:tcPr>
          <w:p w14:paraId="599640D9" w14:textId="475FDD6A" w:rsidR="005E793C" w:rsidRPr="005F6D8A" w:rsidRDefault="005E793C" w:rsidP="00E30618">
            <w:pPr>
              <w:pStyle w:val="Tabletext"/>
              <w:rPr>
                <w:color w:val="FF0000"/>
                <w:highlight w:val="yellow"/>
              </w:rPr>
            </w:pPr>
            <w:r w:rsidRPr="00A906C2">
              <w:rPr>
                <w:rFonts w:cs="Arial"/>
              </w:rPr>
              <w:t>2. Portfolio Strategy</w:t>
            </w:r>
            <w:r w:rsidR="00045686" w:rsidRPr="00A906C2">
              <w:rPr>
                <w:rFonts w:cs="Arial"/>
              </w:rPr>
              <w:t xml:space="preserve"> and Execution</w:t>
            </w:r>
          </w:p>
        </w:tc>
        <w:tc>
          <w:tcPr>
            <w:tcW w:w="3260" w:type="dxa"/>
            <w:tcBorders>
              <w:top w:val="single" w:sz="8" w:space="0" w:color="808080" w:themeColor="background1" w:themeShade="80"/>
              <w:bottom w:val="single" w:sz="8" w:space="0" w:color="808080" w:themeColor="background1" w:themeShade="80"/>
            </w:tcBorders>
            <w:vAlign w:val="top"/>
          </w:tcPr>
          <w:p w14:paraId="15F41492" w14:textId="4D326134" w:rsidR="00A906C2" w:rsidRPr="00A906C2" w:rsidRDefault="00A906C2" w:rsidP="00A906C2">
            <w:pPr>
              <w:pStyle w:val="Tabletext"/>
              <w:tabs>
                <w:tab w:val="clear" w:pos="142"/>
                <w:tab w:val="left" w:pos="261"/>
              </w:tabs>
              <w:ind w:left="136"/>
              <w:rPr>
                <w:color w:val="FF0000"/>
              </w:rPr>
            </w:pPr>
            <w:r>
              <w:t>The Group’s Total Property and/or Shareholder Returns could underperform in absolute or relative terms as a result of an inappropriate portfolio strategy. This could result from:</w:t>
            </w:r>
          </w:p>
          <w:p w14:paraId="78408ACC" w14:textId="0803D44C" w:rsidR="00045686" w:rsidRPr="00A906C2" w:rsidRDefault="00045686" w:rsidP="009D4B2B">
            <w:pPr>
              <w:pStyle w:val="Tabletext"/>
              <w:numPr>
                <w:ilvl w:val="0"/>
                <w:numId w:val="27"/>
              </w:numPr>
              <w:tabs>
                <w:tab w:val="clear" w:pos="142"/>
                <w:tab w:val="left" w:pos="261"/>
              </w:tabs>
              <w:ind w:left="288" w:hanging="142"/>
            </w:pPr>
            <w:r w:rsidRPr="00A906C2">
              <w:t>Holding the wrong balance of prime or secondary assets;</w:t>
            </w:r>
          </w:p>
          <w:p w14:paraId="67214E0C" w14:textId="7FB5724E" w:rsidR="00045686" w:rsidRPr="00A906C2" w:rsidRDefault="00045686" w:rsidP="009D4B2B">
            <w:pPr>
              <w:pStyle w:val="Tabletext"/>
              <w:numPr>
                <w:ilvl w:val="0"/>
                <w:numId w:val="27"/>
              </w:numPr>
              <w:tabs>
                <w:tab w:val="clear" w:pos="142"/>
                <w:tab w:val="left" w:pos="261"/>
              </w:tabs>
              <w:ind w:left="288" w:hanging="142"/>
            </w:pPr>
            <w:r w:rsidRPr="00A906C2">
              <w:t xml:space="preserve">Holding the wrong amounts or types of land, </w:t>
            </w:r>
            <w:r w:rsidR="005C4DD5">
              <w:t xml:space="preserve">reducing </w:t>
            </w:r>
            <w:r w:rsidRPr="00A906C2">
              <w:t>returns and/or constrain</w:t>
            </w:r>
            <w:r w:rsidR="005C4DD5">
              <w:t xml:space="preserve">ing </w:t>
            </w:r>
            <w:r w:rsidRPr="00A906C2">
              <w:t>opportunities;</w:t>
            </w:r>
          </w:p>
          <w:p w14:paraId="7CF47E3C" w14:textId="6510BAEE" w:rsidR="00045686" w:rsidRPr="00A906C2" w:rsidRDefault="00045686" w:rsidP="009D4B2B">
            <w:pPr>
              <w:pStyle w:val="Tabletext"/>
              <w:numPr>
                <w:ilvl w:val="0"/>
                <w:numId w:val="27"/>
              </w:numPr>
              <w:tabs>
                <w:tab w:val="clear" w:pos="142"/>
                <w:tab w:val="left" w:pos="261"/>
              </w:tabs>
              <w:ind w:left="288" w:hanging="142"/>
            </w:pPr>
            <w:r w:rsidRPr="00A906C2">
              <w:t xml:space="preserve">Holding the wrong mix of risk assets (for example between higher risk ‘opportunity’ assets and lower risk ‘core’ assets) or too many old or obsolete assets; </w:t>
            </w:r>
          </w:p>
          <w:p w14:paraId="5502E270" w14:textId="4DE030D3" w:rsidR="00045686" w:rsidRPr="00A906C2" w:rsidRDefault="00045686" w:rsidP="009D4B2B">
            <w:pPr>
              <w:pStyle w:val="Tabletext"/>
              <w:numPr>
                <w:ilvl w:val="0"/>
                <w:numId w:val="27"/>
              </w:numPr>
              <w:tabs>
                <w:tab w:val="clear" w:pos="142"/>
                <w:tab w:val="left" w:pos="261"/>
              </w:tabs>
              <w:ind w:left="288" w:hanging="142"/>
            </w:pPr>
            <w:r w:rsidRPr="00A906C2">
              <w:t>Holding assets in the wrong geographical markets; missing opportunities in new markets or lacking critical mass in existing markets</w:t>
            </w:r>
            <w:r w:rsidR="005C4DD5">
              <w:t>; and</w:t>
            </w:r>
            <w:r w:rsidRPr="00A906C2">
              <w:t xml:space="preserve"> </w:t>
            </w:r>
          </w:p>
          <w:p w14:paraId="72E5BECE" w14:textId="7056F4D2" w:rsidR="00A906C2" w:rsidRPr="00A906C2" w:rsidRDefault="00A906C2" w:rsidP="009D4B2B">
            <w:pPr>
              <w:pStyle w:val="Tabletext"/>
              <w:numPr>
                <w:ilvl w:val="0"/>
                <w:numId w:val="27"/>
              </w:numPr>
              <w:tabs>
                <w:tab w:val="clear" w:pos="142"/>
                <w:tab w:val="left" w:pos="261"/>
              </w:tabs>
              <w:ind w:left="288" w:hanging="142"/>
            </w:pPr>
            <w:r w:rsidRPr="00A906C2">
              <w:t>Overpaying for assets through inadequate due diligence or price pressures from competitors.</w:t>
            </w:r>
          </w:p>
          <w:p w14:paraId="52FB0FC1" w14:textId="774990E6" w:rsidR="00A906C2" w:rsidRPr="00A906C2" w:rsidRDefault="00A906C2" w:rsidP="00A906C2">
            <w:pPr>
              <w:pStyle w:val="Tabletext"/>
              <w:tabs>
                <w:tab w:val="clear" w:pos="142"/>
                <w:tab w:val="left" w:pos="261"/>
              </w:tabs>
              <w:ind w:left="146"/>
            </w:pPr>
          </w:p>
          <w:p w14:paraId="5C48B3E6" w14:textId="77777777" w:rsidR="00A906C2" w:rsidRPr="005F6D8A" w:rsidRDefault="00A906C2" w:rsidP="00A906C2">
            <w:pPr>
              <w:pStyle w:val="Tabletext"/>
              <w:tabs>
                <w:tab w:val="clear" w:pos="142"/>
                <w:tab w:val="left" w:pos="261"/>
              </w:tabs>
              <w:ind w:left="146"/>
              <w:rPr>
                <w:color w:val="FF0000"/>
              </w:rPr>
            </w:pPr>
          </w:p>
          <w:p w14:paraId="1F03BA47" w14:textId="129F7DCF" w:rsidR="005E793C" w:rsidRPr="005F6D8A" w:rsidRDefault="005E793C" w:rsidP="00045686">
            <w:pPr>
              <w:pStyle w:val="Tabletext"/>
              <w:tabs>
                <w:tab w:val="clear" w:pos="142"/>
                <w:tab w:val="left" w:pos="261"/>
              </w:tabs>
              <w:ind w:left="146"/>
              <w:rPr>
                <w:color w:val="FF0000"/>
                <w:highlight w:val="yellow"/>
              </w:rPr>
            </w:pPr>
          </w:p>
        </w:tc>
        <w:tc>
          <w:tcPr>
            <w:tcW w:w="3969" w:type="dxa"/>
            <w:tcBorders>
              <w:top w:val="single" w:sz="8" w:space="0" w:color="808080" w:themeColor="background1" w:themeShade="80"/>
              <w:bottom w:val="single" w:sz="8" w:space="0" w:color="808080" w:themeColor="background1" w:themeShade="80"/>
            </w:tcBorders>
            <w:vAlign w:val="top"/>
          </w:tcPr>
          <w:p w14:paraId="3CCB6766" w14:textId="2CBDEBDD" w:rsidR="00A906C2" w:rsidRDefault="00A906C2" w:rsidP="00045686">
            <w:pPr>
              <w:pStyle w:val="Tabletext"/>
              <w:ind w:left="147"/>
            </w:pPr>
            <w:r>
              <w:t xml:space="preserve">The Group’s portfolio strategy is subject to regular review by the Board </w:t>
            </w:r>
            <w:r w:rsidR="005B1E5B">
              <w:t xml:space="preserve">in order </w:t>
            </w:r>
            <w:r>
              <w:t xml:space="preserve">to consider the desired shape of the portfolio </w:t>
            </w:r>
            <w:r w:rsidR="005C4DD5">
              <w:t xml:space="preserve">so as </w:t>
            </w:r>
            <w:r>
              <w:t xml:space="preserve">to meet the Group’s overall objectives and to determine our response to changing opportunities and market conditions. </w:t>
            </w:r>
          </w:p>
          <w:p w14:paraId="610A1DAC" w14:textId="2FC94F30" w:rsidR="00A906C2" w:rsidRDefault="00A906C2" w:rsidP="00045686">
            <w:pPr>
              <w:pStyle w:val="Tabletext"/>
              <w:ind w:left="147"/>
            </w:pPr>
            <w:r>
              <w:t xml:space="preserve">The Group’s </w:t>
            </w:r>
            <w:r w:rsidR="005B1E5B">
              <w:t>d</w:t>
            </w:r>
            <w:r>
              <w:t xml:space="preserve">isciplined </w:t>
            </w:r>
            <w:r w:rsidR="005B1E5B">
              <w:t>c</w:t>
            </w:r>
            <w:r>
              <w:t xml:space="preserve">apital </w:t>
            </w:r>
            <w:r w:rsidR="005B1E5B">
              <w:t>a</w:t>
            </w:r>
            <w:r>
              <w:t xml:space="preserve">llocation is informed by comprehensive asset plans and independent external assessments of market conditions and forecasts. </w:t>
            </w:r>
          </w:p>
          <w:p w14:paraId="2394661B" w14:textId="70DB9515" w:rsidR="00A906C2" w:rsidRDefault="00A906C2" w:rsidP="00A906C2">
            <w:pPr>
              <w:pStyle w:val="Tabletext"/>
              <w:ind w:left="147"/>
            </w:pPr>
            <w:r>
              <w:t>Regular portfolio analysis enables the portfolio to be correctly positioned in terms of location and asset type and to retain the right mix of core and opportunity assets. The annual asset planning exercise provides a bottom-up assessment of the performance and potential for all assets so that underperforming assets can be identified and considered for sale. Asset plans are prepared annually for all estates to determine where to invest capital in existing assets and to identify assets for disposal. Locally based property investment and operational teams provide market intelligence and networking to source attractive opportunities. Policies are in place to govern the evaluation, due diligence process, approval, execution and subsequent review of investment activity. Investment hurdle rates are regularly reappraised taking into account estimates of our weighted average cost of capital. Major capital investment and disposal decisions are subject to Board approval in line with portfolio strategy.</w:t>
            </w:r>
          </w:p>
          <w:p w14:paraId="3E5A1759" w14:textId="77777777" w:rsidR="002A188A" w:rsidRDefault="002A188A" w:rsidP="00A906C2">
            <w:pPr>
              <w:pStyle w:val="Tabletext"/>
              <w:ind w:left="147"/>
              <w:rPr>
                <w:u w:val="single"/>
              </w:rPr>
            </w:pPr>
          </w:p>
          <w:p w14:paraId="346C4EB5" w14:textId="65F3358C" w:rsidR="002A188A" w:rsidRPr="00BA4E4C" w:rsidRDefault="002A188A" w:rsidP="00A906C2">
            <w:pPr>
              <w:pStyle w:val="Tabletext"/>
              <w:ind w:left="147"/>
              <w:rPr>
                <w:u w:val="single"/>
              </w:rPr>
            </w:pPr>
            <w:r w:rsidRPr="00BA4E4C">
              <w:rPr>
                <w:u w:val="single"/>
              </w:rPr>
              <w:t>Current year:</w:t>
            </w:r>
          </w:p>
          <w:p w14:paraId="32F344F6" w14:textId="57AA51A5" w:rsidR="00A906C2" w:rsidRPr="005F6D8A" w:rsidRDefault="00A906C2" w:rsidP="00A906C2">
            <w:pPr>
              <w:pStyle w:val="Tabletext"/>
              <w:ind w:left="147"/>
              <w:rPr>
                <w:color w:val="FF0000"/>
              </w:rPr>
            </w:pPr>
            <w:r>
              <w:t>During the year, external impacts discussed in the Macroeconomic Impact on Market Cycle risk, has influenced our portfolio strategy. Whilst we continue to closely monitor the situation, we have taken advantage of appropriate opportunities as they arise</w:t>
            </w:r>
            <w:r w:rsidR="002A188A">
              <w:t>.</w:t>
            </w:r>
          </w:p>
          <w:p w14:paraId="2C021BB6" w14:textId="513B8873" w:rsidR="00045686" w:rsidRPr="005F6D8A" w:rsidRDefault="00F22411" w:rsidP="00045686">
            <w:pPr>
              <w:pStyle w:val="Tabletext"/>
              <w:ind w:left="147"/>
              <w:rPr>
                <w:color w:val="FF0000"/>
                <w:highlight w:val="yellow"/>
              </w:rPr>
            </w:pPr>
            <w:r w:rsidRPr="005F6D8A">
              <w:rPr>
                <w:color w:val="FF0000"/>
              </w:rPr>
              <w:t xml:space="preserve"> </w:t>
            </w:r>
          </w:p>
        </w:tc>
        <w:tc>
          <w:tcPr>
            <w:tcW w:w="1678" w:type="dxa"/>
            <w:tcBorders>
              <w:top w:val="single" w:sz="8" w:space="0" w:color="808080" w:themeColor="background1" w:themeShade="80"/>
              <w:bottom w:val="single" w:sz="8" w:space="0" w:color="808080" w:themeColor="background1" w:themeShade="80"/>
            </w:tcBorders>
            <w:vAlign w:val="top"/>
          </w:tcPr>
          <w:p w14:paraId="67EDEAAF" w14:textId="77777777" w:rsidR="005E793C" w:rsidRPr="0068185D" w:rsidRDefault="005E793C" w:rsidP="00045686">
            <w:pPr>
              <w:pStyle w:val="Tabletext"/>
              <w:ind w:left="141"/>
              <w:rPr>
                <w:rFonts w:cs="Arial"/>
                <w:u w:val="single"/>
              </w:rPr>
            </w:pPr>
            <w:r w:rsidRPr="0068185D">
              <w:rPr>
                <w:rFonts w:cs="Arial"/>
                <w:u w:val="single"/>
              </w:rPr>
              <w:t>Impact on strategy:</w:t>
            </w:r>
          </w:p>
          <w:p w14:paraId="2D51260C" w14:textId="77777777" w:rsidR="005E793C" w:rsidRPr="0068185D" w:rsidRDefault="005E793C" w:rsidP="00045686">
            <w:pPr>
              <w:pStyle w:val="Tabletext"/>
              <w:ind w:left="141"/>
              <w:rPr>
                <w:rFonts w:cs="Arial"/>
              </w:rPr>
            </w:pPr>
            <w:r w:rsidRPr="0068185D">
              <w:rPr>
                <w:rFonts w:cs="Arial"/>
              </w:rPr>
              <w:t>Disciplined Capital Allocation</w:t>
            </w:r>
          </w:p>
          <w:p w14:paraId="1D2D7879" w14:textId="77777777" w:rsidR="005E793C" w:rsidRPr="0068185D" w:rsidRDefault="005E793C" w:rsidP="00045686">
            <w:pPr>
              <w:pStyle w:val="Tabletext"/>
              <w:ind w:left="141"/>
              <w:rPr>
                <w:rFonts w:cs="Arial"/>
              </w:rPr>
            </w:pPr>
          </w:p>
          <w:p w14:paraId="747372D3" w14:textId="11561038" w:rsidR="005E793C" w:rsidRPr="0068185D" w:rsidRDefault="005E793C" w:rsidP="00045686">
            <w:pPr>
              <w:pStyle w:val="Tabletext"/>
              <w:ind w:left="141"/>
              <w:rPr>
                <w:rFonts w:cs="Arial"/>
              </w:rPr>
            </w:pPr>
            <w:r w:rsidRPr="0068185D">
              <w:rPr>
                <w:rFonts w:cs="Arial"/>
                <w:u w:val="single"/>
              </w:rPr>
              <w:t>Change in 20</w:t>
            </w:r>
            <w:r w:rsidR="00045686" w:rsidRPr="0068185D">
              <w:rPr>
                <w:rFonts w:cs="Arial"/>
                <w:u w:val="single"/>
              </w:rPr>
              <w:t>2</w:t>
            </w:r>
            <w:r w:rsidR="00A906C2" w:rsidRPr="0068185D">
              <w:rPr>
                <w:rFonts w:cs="Arial"/>
                <w:u w:val="single"/>
              </w:rPr>
              <w:t>1</w:t>
            </w:r>
            <w:r w:rsidRPr="0068185D">
              <w:rPr>
                <w:rFonts w:cs="Arial"/>
                <w:u w:val="single"/>
              </w:rPr>
              <w:t xml:space="preserve">: </w:t>
            </w:r>
            <w:r w:rsidRPr="0068185D">
              <w:rPr>
                <w:rFonts w:cs="Arial"/>
              </w:rPr>
              <w:t>Similar risk</w:t>
            </w:r>
          </w:p>
          <w:p w14:paraId="0C0903B0" w14:textId="77777777" w:rsidR="005E793C" w:rsidRPr="0068185D" w:rsidRDefault="005E793C" w:rsidP="00045686">
            <w:pPr>
              <w:pStyle w:val="Tabletext"/>
              <w:ind w:left="141"/>
              <w:rPr>
                <w:rFonts w:cs="Arial"/>
              </w:rPr>
            </w:pPr>
          </w:p>
          <w:p w14:paraId="50DF344E" w14:textId="77777777" w:rsidR="005E793C" w:rsidRPr="006871BD" w:rsidRDefault="005E793C" w:rsidP="00045686">
            <w:pPr>
              <w:pStyle w:val="Tabletext"/>
              <w:ind w:left="141"/>
              <w:rPr>
                <w:color w:val="FF0000"/>
                <w:highlight w:val="yellow"/>
              </w:rPr>
            </w:pPr>
            <w:r w:rsidRPr="0068185D">
              <w:rPr>
                <w:rFonts w:cs="Arial"/>
              </w:rPr>
              <w:t xml:space="preserve">Risk is within appetite. </w:t>
            </w:r>
          </w:p>
        </w:tc>
      </w:tr>
    </w:tbl>
    <w:p w14:paraId="05C04B3B" w14:textId="3D12BA40" w:rsidR="00EE74BD" w:rsidRPr="005F6D8A" w:rsidRDefault="00EE74BD" w:rsidP="00430640">
      <w:pPr>
        <w:rPr>
          <w:color w:val="FF0000"/>
          <w:highlight w:val="yellow"/>
        </w:rPr>
      </w:pPr>
    </w:p>
    <w:p w14:paraId="127FFC59" w14:textId="04A0C535" w:rsidR="00EE74BD" w:rsidRPr="005F6D8A" w:rsidRDefault="00EE74BD" w:rsidP="00430640">
      <w:pPr>
        <w:rPr>
          <w:color w:val="FF0000"/>
          <w:highlight w:val="yellow"/>
        </w:rPr>
      </w:pPr>
    </w:p>
    <w:p w14:paraId="26BA2E77" w14:textId="33359B5F" w:rsidR="00AE0791" w:rsidRDefault="00AE0791" w:rsidP="00430640">
      <w:pPr>
        <w:rPr>
          <w:color w:val="FF0000"/>
          <w:highlight w:val="yellow"/>
        </w:rPr>
      </w:pPr>
    </w:p>
    <w:p w14:paraId="2A964AAE" w14:textId="77777777" w:rsidR="000D399E" w:rsidRPr="005F6D8A" w:rsidRDefault="000D399E" w:rsidP="00430640">
      <w:pPr>
        <w:rPr>
          <w:color w:val="FF0000"/>
          <w:highlight w:val="yellow"/>
        </w:rPr>
      </w:pPr>
    </w:p>
    <w:p w14:paraId="2C8AAC4E" w14:textId="77777777" w:rsidR="00AE0791" w:rsidRPr="005F6D8A" w:rsidRDefault="00AE0791" w:rsidP="00430640">
      <w:pPr>
        <w:rPr>
          <w:color w:val="FF0000"/>
          <w:highlight w:val="yellow"/>
        </w:rPr>
      </w:pPr>
    </w:p>
    <w:tbl>
      <w:tblPr>
        <w:tblStyle w:val="TableGrid"/>
        <w:tblW w:w="0" w:type="auto"/>
        <w:tblLook w:val="04A0" w:firstRow="1" w:lastRow="0" w:firstColumn="1" w:lastColumn="0" w:noHBand="0" w:noVBand="1"/>
      </w:tblPr>
      <w:tblGrid>
        <w:gridCol w:w="1560"/>
        <w:gridCol w:w="3118"/>
        <w:gridCol w:w="4111"/>
        <w:gridCol w:w="1678"/>
      </w:tblGrid>
      <w:tr w:rsidR="000D399E" w:rsidRPr="005F6D8A" w14:paraId="19F0621E" w14:textId="77777777" w:rsidTr="000D399E">
        <w:tc>
          <w:tcPr>
            <w:tcW w:w="1560" w:type="dxa"/>
          </w:tcPr>
          <w:p w14:paraId="76C68AE7" w14:textId="77777777" w:rsidR="000D399E" w:rsidRPr="00A906C2" w:rsidRDefault="000D399E" w:rsidP="00CA70CE">
            <w:pPr>
              <w:pStyle w:val="TableColHeadsBold0"/>
              <w:jc w:val="center"/>
              <w:rPr>
                <w:u w:val="single"/>
              </w:rPr>
            </w:pPr>
            <w:r w:rsidRPr="00A906C2">
              <w:rPr>
                <w:u w:val="single"/>
              </w:rPr>
              <w:lastRenderedPageBreak/>
              <w:t>PRINCIPAL RISK</w:t>
            </w:r>
          </w:p>
        </w:tc>
        <w:tc>
          <w:tcPr>
            <w:tcW w:w="3118" w:type="dxa"/>
          </w:tcPr>
          <w:p w14:paraId="39CBB5C8" w14:textId="77777777" w:rsidR="000D399E" w:rsidRPr="00BF526A" w:rsidRDefault="000D399E" w:rsidP="00CA70CE">
            <w:pPr>
              <w:pStyle w:val="TableColHeadsBold0"/>
              <w:jc w:val="center"/>
              <w:rPr>
                <w:u w:val="single"/>
              </w:rPr>
            </w:pPr>
            <w:r w:rsidRPr="00BF526A">
              <w:rPr>
                <w:u w:val="single"/>
              </w:rPr>
              <w:t>DESCRIPTION</w:t>
            </w:r>
          </w:p>
        </w:tc>
        <w:tc>
          <w:tcPr>
            <w:tcW w:w="4111" w:type="dxa"/>
          </w:tcPr>
          <w:p w14:paraId="570988DB" w14:textId="77777777" w:rsidR="000D399E" w:rsidRPr="00A906C2" w:rsidRDefault="000D399E" w:rsidP="00CA70CE">
            <w:pPr>
              <w:pStyle w:val="TableColHeadsBold0"/>
              <w:jc w:val="center"/>
              <w:rPr>
                <w:u w:val="single"/>
              </w:rPr>
            </w:pPr>
            <w:r w:rsidRPr="00A906C2">
              <w:rPr>
                <w:u w:val="single"/>
              </w:rPr>
              <w:t>MITIGATIONS AND CURRENT YEAR ACTIVITY</w:t>
            </w:r>
          </w:p>
        </w:tc>
        <w:tc>
          <w:tcPr>
            <w:tcW w:w="1678" w:type="dxa"/>
          </w:tcPr>
          <w:p w14:paraId="23D4132D" w14:textId="77777777" w:rsidR="000D399E" w:rsidRPr="0068185D" w:rsidRDefault="000D399E" w:rsidP="00CA70CE">
            <w:pPr>
              <w:pStyle w:val="TableColHeadsBold0"/>
              <w:jc w:val="center"/>
              <w:rPr>
                <w:u w:val="single"/>
              </w:rPr>
            </w:pPr>
            <w:r w:rsidRPr="0068185D">
              <w:rPr>
                <w:u w:val="single"/>
              </w:rPr>
              <w:t>IMPACT AND CHANGE IN 2021</w:t>
            </w:r>
          </w:p>
        </w:tc>
      </w:tr>
      <w:tr w:rsidR="005F6D8A" w:rsidRPr="005F6D8A" w14:paraId="34731882" w14:textId="77777777" w:rsidTr="000D399E">
        <w:tc>
          <w:tcPr>
            <w:tcW w:w="1560" w:type="dxa"/>
            <w:tcBorders>
              <w:top w:val="single" w:sz="8" w:space="0" w:color="808080" w:themeColor="background1" w:themeShade="80"/>
              <w:bottom w:val="single" w:sz="8" w:space="0" w:color="808080" w:themeColor="background1" w:themeShade="80"/>
            </w:tcBorders>
            <w:vAlign w:val="top"/>
          </w:tcPr>
          <w:p w14:paraId="6861A816" w14:textId="77777777" w:rsidR="00CD4A68" w:rsidRPr="00A906C2" w:rsidRDefault="00430640" w:rsidP="002D5E08">
            <w:pPr>
              <w:pStyle w:val="Tabletext"/>
              <w:rPr>
                <w:rFonts w:cs="Arial"/>
              </w:rPr>
            </w:pPr>
            <w:r w:rsidRPr="00A906C2">
              <w:rPr>
                <w:rFonts w:cs="Arial"/>
              </w:rPr>
              <w:t xml:space="preserve">3. </w:t>
            </w:r>
            <w:r w:rsidR="00CD4A68" w:rsidRPr="00A906C2">
              <w:rPr>
                <w:rFonts w:cs="Arial"/>
              </w:rPr>
              <w:t>Major event/business disruption</w:t>
            </w:r>
          </w:p>
          <w:p w14:paraId="56A433A7" w14:textId="1E085FE4" w:rsidR="00430640" w:rsidRPr="005F6D8A" w:rsidRDefault="00430640" w:rsidP="002D5E08">
            <w:pPr>
              <w:pStyle w:val="Tabletext"/>
              <w:rPr>
                <w:b/>
                <w:bCs/>
                <w:color w:val="FF0000"/>
                <w:highlight w:val="yellow"/>
              </w:rPr>
            </w:pPr>
          </w:p>
        </w:tc>
        <w:tc>
          <w:tcPr>
            <w:tcW w:w="3118" w:type="dxa"/>
            <w:tcBorders>
              <w:top w:val="single" w:sz="8" w:space="0" w:color="808080" w:themeColor="background1" w:themeShade="80"/>
              <w:bottom w:val="single" w:sz="8" w:space="0" w:color="808080" w:themeColor="background1" w:themeShade="80"/>
            </w:tcBorders>
            <w:vAlign w:val="top"/>
          </w:tcPr>
          <w:p w14:paraId="6F88553B" w14:textId="77777777" w:rsidR="00A906C2" w:rsidRDefault="00A906C2" w:rsidP="00CD4A68">
            <w:pPr>
              <w:pStyle w:val="Tabletext"/>
              <w:ind w:left="146"/>
            </w:pPr>
            <w:r>
              <w:t>Unexpected global, regional or national events result in severe adverse disruption to SEGRO, such as sustained asset value or revenue impairment, solvency or covenant stress, liquidity or business continuity challenges. A global event or business disruptor may include, but is not limited to a global financial crisis, health pandemic, civil unrest, act of terrorism, cyber-attack or other IT disruption. Events may be singular or cumulative, and lead to acute/systemic issues in the business and/or operating environment.</w:t>
            </w:r>
          </w:p>
          <w:p w14:paraId="2E679EF7" w14:textId="7B41D5BA" w:rsidR="00430640" w:rsidRPr="005F6D8A" w:rsidRDefault="00430640" w:rsidP="00A906C2">
            <w:pPr>
              <w:pStyle w:val="Tabletext"/>
              <w:ind w:left="146"/>
              <w:rPr>
                <w:color w:val="FF0000"/>
                <w:highlight w:val="yellow"/>
              </w:rPr>
            </w:pPr>
          </w:p>
        </w:tc>
        <w:tc>
          <w:tcPr>
            <w:tcW w:w="4111" w:type="dxa"/>
            <w:tcBorders>
              <w:top w:val="single" w:sz="8" w:space="0" w:color="808080" w:themeColor="background1" w:themeShade="80"/>
              <w:bottom w:val="single" w:sz="8" w:space="0" w:color="808080" w:themeColor="background1" w:themeShade="80"/>
            </w:tcBorders>
            <w:vAlign w:val="top"/>
          </w:tcPr>
          <w:p w14:paraId="361C4032" w14:textId="77777777" w:rsidR="00A906C2" w:rsidRDefault="00A906C2" w:rsidP="00CD4A68">
            <w:pPr>
              <w:pStyle w:val="Tabletext"/>
              <w:ind w:left="147"/>
            </w:pPr>
            <w:r>
              <w:t xml:space="preserve">The Group positions itself to withstand a global event and business disruption through its financing strategy (see separate principal risk); portfolio strategy (see separate principal risk) including holding a diverse set of property assets, staying close to customers to understand their changing needs, property insurance and strong customer base; organisational resilience of the work force; and detailed business continuity and disaster recovery plans. Going concern and viability is assessed through a detailed bottom-up medium-term planning process including a business stress test and downside scenarios. </w:t>
            </w:r>
          </w:p>
          <w:p w14:paraId="5400B494" w14:textId="7C3C7332" w:rsidR="00A906C2" w:rsidRDefault="00A906C2" w:rsidP="00CD4A68">
            <w:pPr>
              <w:pStyle w:val="Tabletext"/>
              <w:ind w:left="147"/>
            </w:pPr>
            <w:r>
              <w:t>We use third parties to supplement internal expertise when testing our resilience to cyber attack and other business disruption alongside regular training.</w:t>
            </w:r>
          </w:p>
          <w:p w14:paraId="2A2AFF7B" w14:textId="77777777" w:rsidR="002A188A" w:rsidRDefault="002A188A" w:rsidP="00CD4A68">
            <w:pPr>
              <w:pStyle w:val="Tabletext"/>
              <w:ind w:left="147"/>
            </w:pPr>
          </w:p>
          <w:p w14:paraId="30BE18B2" w14:textId="4151618D" w:rsidR="002A188A" w:rsidRPr="00BA4E4C" w:rsidRDefault="002A188A" w:rsidP="00CD4A68">
            <w:pPr>
              <w:pStyle w:val="Tabletext"/>
              <w:ind w:left="147"/>
              <w:rPr>
                <w:u w:val="single"/>
              </w:rPr>
            </w:pPr>
            <w:r w:rsidRPr="00BA4E4C">
              <w:rPr>
                <w:u w:val="single"/>
              </w:rPr>
              <w:t>Current year:</w:t>
            </w:r>
          </w:p>
          <w:p w14:paraId="440066D9" w14:textId="6D99089D" w:rsidR="00CD4A68" w:rsidRPr="005F6D8A" w:rsidRDefault="00A906C2" w:rsidP="00CD4A68">
            <w:pPr>
              <w:pStyle w:val="Tabletext"/>
              <w:ind w:left="147"/>
              <w:rPr>
                <w:color w:val="FF0000"/>
                <w:highlight w:val="yellow"/>
              </w:rPr>
            </w:pPr>
            <w:r>
              <w:t>The Group has continued to maintain a</w:t>
            </w:r>
            <w:r w:rsidR="00702017">
              <w:t xml:space="preserve"> robust</w:t>
            </w:r>
            <w:r>
              <w:t xml:space="preserve"> financing and portfolio strategy to leave it well positioned and provide flexibility given the continued uncertainty caused by the pandemic. As discussed in more detail above, whilst we remain vigilant to the continued risk from the pandemic, we seek to operate with a degree of normality</w:t>
            </w:r>
            <w:r w:rsidR="002A188A">
              <w:t>.</w:t>
            </w:r>
          </w:p>
        </w:tc>
        <w:tc>
          <w:tcPr>
            <w:tcW w:w="1678" w:type="dxa"/>
            <w:tcBorders>
              <w:top w:val="single" w:sz="8" w:space="0" w:color="808080" w:themeColor="background1" w:themeShade="80"/>
              <w:bottom w:val="single" w:sz="8" w:space="0" w:color="808080" w:themeColor="background1" w:themeShade="80"/>
            </w:tcBorders>
            <w:vAlign w:val="top"/>
          </w:tcPr>
          <w:p w14:paraId="5E7671B1" w14:textId="77777777" w:rsidR="00430640" w:rsidRPr="0068185D" w:rsidRDefault="00430640" w:rsidP="00CD4A68">
            <w:pPr>
              <w:pStyle w:val="Tabletext"/>
              <w:ind w:left="141"/>
              <w:rPr>
                <w:rFonts w:cs="Arial"/>
                <w:u w:val="single"/>
              </w:rPr>
            </w:pPr>
            <w:r w:rsidRPr="0068185D">
              <w:rPr>
                <w:rFonts w:cs="Arial"/>
                <w:u w:val="single"/>
              </w:rPr>
              <w:t>Impact on strategy:</w:t>
            </w:r>
          </w:p>
          <w:p w14:paraId="00F46B7F" w14:textId="1CD8606B" w:rsidR="00430640" w:rsidRPr="0068185D" w:rsidRDefault="00037EC6" w:rsidP="00CD4A68">
            <w:pPr>
              <w:pStyle w:val="Tabletext"/>
              <w:ind w:left="141"/>
              <w:rPr>
                <w:rFonts w:cs="Arial"/>
              </w:rPr>
            </w:pPr>
            <w:r>
              <w:rPr>
                <w:rFonts w:cs="Arial"/>
              </w:rPr>
              <w:t xml:space="preserve">Operational Excellence </w:t>
            </w:r>
            <w:r w:rsidR="00702017">
              <w:rPr>
                <w:rFonts w:cs="Arial"/>
              </w:rPr>
              <w:t xml:space="preserve">and </w:t>
            </w:r>
            <w:r w:rsidR="00430640" w:rsidRPr="0068185D">
              <w:rPr>
                <w:rFonts w:cs="Arial"/>
              </w:rPr>
              <w:t>Disciplined Capital Allocation</w:t>
            </w:r>
          </w:p>
          <w:p w14:paraId="3BCC9299" w14:textId="77777777" w:rsidR="00430640" w:rsidRPr="0068185D" w:rsidRDefault="00430640" w:rsidP="00CD4A68">
            <w:pPr>
              <w:pStyle w:val="Tabletext"/>
              <w:ind w:left="141"/>
              <w:rPr>
                <w:rFonts w:cs="Arial"/>
              </w:rPr>
            </w:pPr>
          </w:p>
          <w:p w14:paraId="3220B88C" w14:textId="09C6A83F" w:rsidR="00430640" w:rsidRPr="0068185D" w:rsidRDefault="00430640" w:rsidP="00CD4A68">
            <w:pPr>
              <w:pStyle w:val="Tabletext"/>
              <w:ind w:left="141"/>
              <w:rPr>
                <w:rFonts w:cs="Arial"/>
              </w:rPr>
            </w:pPr>
            <w:r w:rsidRPr="0068185D">
              <w:rPr>
                <w:rFonts w:cs="Arial"/>
                <w:u w:val="single"/>
              </w:rPr>
              <w:t>Change in 20</w:t>
            </w:r>
            <w:r w:rsidR="00CD4A68" w:rsidRPr="0068185D">
              <w:rPr>
                <w:rFonts w:cs="Arial"/>
                <w:u w:val="single"/>
              </w:rPr>
              <w:t>2</w:t>
            </w:r>
            <w:r w:rsidR="00A906C2" w:rsidRPr="0068185D">
              <w:rPr>
                <w:rFonts w:cs="Arial"/>
                <w:u w:val="single"/>
              </w:rPr>
              <w:t>1</w:t>
            </w:r>
            <w:r w:rsidRPr="0068185D">
              <w:rPr>
                <w:rFonts w:cs="Arial"/>
                <w:u w:val="single"/>
              </w:rPr>
              <w:t xml:space="preserve">: </w:t>
            </w:r>
            <w:r w:rsidR="00A906C2" w:rsidRPr="0068185D">
              <w:rPr>
                <w:rFonts w:cs="Arial"/>
              </w:rPr>
              <w:t>Similar risk</w:t>
            </w:r>
          </w:p>
          <w:p w14:paraId="418EF8AA" w14:textId="77777777" w:rsidR="00430640" w:rsidRPr="0068185D" w:rsidRDefault="00430640" w:rsidP="00CD4A68">
            <w:pPr>
              <w:pStyle w:val="Tabletext"/>
              <w:ind w:left="141"/>
              <w:rPr>
                <w:rFonts w:cs="Arial"/>
              </w:rPr>
            </w:pPr>
          </w:p>
          <w:p w14:paraId="24E65C63" w14:textId="77777777" w:rsidR="00430640" w:rsidRPr="006871BD" w:rsidRDefault="00430640" w:rsidP="00CD4A68">
            <w:pPr>
              <w:pStyle w:val="Tabletext"/>
              <w:ind w:left="141"/>
              <w:rPr>
                <w:color w:val="FF0000"/>
                <w:highlight w:val="yellow"/>
              </w:rPr>
            </w:pPr>
            <w:r w:rsidRPr="0068185D">
              <w:rPr>
                <w:rFonts w:cs="Arial"/>
              </w:rPr>
              <w:t xml:space="preserve">Risk is within appetite. </w:t>
            </w:r>
          </w:p>
        </w:tc>
      </w:tr>
      <w:tr w:rsidR="005F6D8A" w:rsidRPr="005F6D8A" w14:paraId="0B574A98" w14:textId="77777777" w:rsidTr="000D399E">
        <w:tc>
          <w:tcPr>
            <w:tcW w:w="1560" w:type="dxa"/>
            <w:tcBorders>
              <w:top w:val="single" w:sz="8" w:space="0" w:color="808080" w:themeColor="background1" w:themeShade="80"/>
              <w:bottom w:val="single" w:sz="8" w:space="0" w:color="808080" w:themeColor="background1" w:themeShade="80"/>
            </w:tcBorders>
            <w:vAlign w:val="top"/>
          </w:tcPr>
          <w:p w14:paraId="225824B9" w14:textId="623C64BD" w:rsidR="00D60954" w:rsidRPr="005F6D8A" w:rsidRDefault="001F4204" w:rsidP="00671D77">
            <w:pPr>
              <w:pStyle w:val="Tabletext"/>
              <w:rPr>
                <w:color w:val="FF0000"/>
                <w:highlight w:val="yellow"/>
              </w:rPr>
            </w:pPr>
            <w:r w:rsidRPr="001F4204">
              <w:rPr>
                <w:rFonts w:cs="Arial"/>
              </w:rPr>
              <w:t>4</w:t>
            </w:r>
            <w:r w:rsidR="00D60954" w:rsidRPr="001F4204">
              <w:rPr>
                <w:rFonts w:cs="Arial"/>
              </w:rPr>
              <w:t>. Health and Safety</w:t>
            </w:r>
          </w:p>
        </w:tc>
        <w:tc>
          <w:tcPr>
            <w:tcW w:w="3118" w:type="dxa"/>
            <w:tcBorders>
              <w:top w:val="single" w:sz="8" w:space="0" w:color="808080" w:themeColor="background1" w:themeShade="80"/>
              <w:bottom w:val="single" w:sz="8" w:space="0" w:color="808080" w:themeColor="background1" w:themeShade="80"/>
            </w:tcBorders>
            <w:vAlign w:val="top"/>
          </w:tcPr>
          <w:p w14:paraId="3DC283FC" w14:textId="3C0B1AB5" w:rsidR="001F4204" w:rsidRDefault="001F4204" w:rsidP="00D60954">
            <w:pPr>
              <w:pStyle w:val="Tabletext"/>
              <w:ind w:left="146"/>
            </w:pPr>
            <w:r>
              <w:t xml:space="preserve">Health and </w:t>
            </w:r>
            <w:r w:rsidR="002A188A">
              <w:t>s</w:t>
            </w:r>
            <w:r>
              <w:t xml:space="preserve">afety management processes could fail, leading to a loss of life, litigation, fines and serious reputational damage to the Group. </w:t>
            </w:r>
          </w:p>
          <w:p w14:paraId="44DF38C6" w14:textId="3D2BBAFF" w:rsidR="001F4204" w:rsidRDefault="001F4204" w:rsidP="00D60954">
            <w:pPr>
              <w:pStyle w:val="Tabletext"/>
              <w:ind w:left="146"/>
            </w:pPr>
            <w:r>
              <w:t>This risk is heightened by the continued scale of the Group’s development activity</w:t>
            </w:r>
            <w:r w:rsidR="002A188A">
              <w:t>.</w:t>
            </w:r>
          </w:p>
          <w:p w14:paraId="2A8590B8" w14:textId="4291D3E1" w:rsidR="00D60954" w:rsidRPr="005F6D8A" w:rsidRDefault="00D60954" w:rsidP="00D60954">
            <w:pPr>
              <w:pStyle w:val="Tabletext"/>
              <w:ind w:left="146"/>
              <w:rPr>
                <w:color w:val="FF0000"/>
                <w:highlight w:val="yellow"/>
              </w:rPr>
            </w:pPr>
          </w:p>
        </w:tc>
        <w:tc>
          <w:tcPr>
            <w:tcW w:w="4111" w:type="dxa"/>
            <w:tcBorders>
              <w:top w:val="single" w:sz="8" w:space="0" w:color="808080" w:themeColor="background1" w:themeShade="80"/>
              <w:bottom w:val="single" w:sz="8" w:space="0" w:color="808080" w:themeColor="background1" w:themeShade="80"/>
            </w:tcBorders>
            <w:vAlign w:val="top"/>
          </w:tcPr>
          <w:p w14:paraId="7EF45578" w14:textId="226EF014" w:rsidR="001F4204" w:rsidRDefault="001F4204" w:rsidP="00D60954">
            <w:pPr>
              <w:pStyle w:val="Tabletext"/>
              <w:ind w:left="147"/>
            </w:pPr>
            <w:r>
              <w:t xml:space="preserve">The Group manages an active </w:t>
            </w:r>
            <w:r w:rsidR="00037EC6">
              <w:t>h</w:t>
            </w:r>
            <w:r>
              <w:t xml:space="preserve">ealth and </w:t>
            </w:r>
            <w:r w:rsidR="00037EC6">
              <w:t>s</w:t>
            </w:r>
            <w:r>
              <w:t xml:space="preserve">afety management system, with a particular focus on managing the quality of and compliance with good Health and Safety practice of all our suppliers. </w:t>
            </w:r>
          </w:p>
          <w:p w14:paraId="096BD9B0" w14:textId="45037FA7" w:rsidR="001F4204" w:rsidRDefault="001F4204" w:rsidP="00D60954">
            <w:pPr>
              <w:pStyle w:val="Tabletext"/>
              <w:ind w:left="147"/>
            </w:pPr>
            <w:r>
              <w:t xml:space="preserve">A published </w:t>
            </w:r>
            <w:r w:rsidR="00037EC6">
              <w:t>h</w:t>
            </w:r>
            <w:r>
              <w:t xml:space="preserve">ealth and </w:t>
            </w:r>
            <w:r w:rsidR="00037EC6">
              <w:t>s</w:t>
            </w:r>
            <w:r>
              <w:t xml:space="preserve">afety policy is supported by site inspections of existing assets, as part of proactive management, and development project inspections in line with SEGRO’s Health and Safety Construction Standard. </w:t>
            </w:r>
          </w:p>
          <w:p w14:paraId="32F165F0" w14:textId="1B7C5139" w:rsidR="001F4204" w:rsidRDefault="00830549" w:rsidP="00D60954">
            <w:pPr>
              <w:pStyle w:val="Tabletext"/>
              <w:ind w:left="147"/>
            </w:pPr>
            <w:r>
              <w:t xml:space="preserve">SEGRO </w:t>
            </w:r>
            <w:r w:rsidR="001F4204">
              <w:t>seek</w:t>
            </w:r>
            <w:r>
              <w:t>s</w:t>
            </w:r>
            <w:r w:rsidR="001F4204">
              <w:t xml:space="preserve"> to improve </w:t>
            </w:r>
            <w:r w:rsidR="00037EC6">
              <w:t>h</w:t>
            </w:r>
            <w:r w:rsidR="001F4204">
              <w:t xml:space="preserve">ealth and </w:t>
            </w:r>
            <w:r w:rsidR="00037EC6">
              <w:t>s</w:t>
            </w:r>
            <w:r w:rsidR="001F4204">
              <w:t xml:space="preserve">afety standards on our development sites and continue to work closely with our suppliers and health and safety consultants to increase understanding and implementation of SEGRO’s requirements. </w:t>
            </w:r>
          </w:p>
          <w:p w14:paraId="123583CE" w14:textId="590AC0FE" w:rsidR="001F4204" w:rsidRDefault="001F4204" w:rsidP="00D60954">
            <w:pPr>
              <w:pStyle w:val="Tabletext"/>
              <w:ind w:left="147"/>
            </w:pPr>
            <w:r>
              <w:t xml:space="preserve">The Health and Safety Working Group is responsible for overseeing the implementation of, and compliance with, the Health and Safety Policy and Safety Management System. We undertake continuous monitoring of </w:t>
            </w:r>
            <w:r w:rsidR="00037EC6">
              <w:t>h</w:t>
            </w:r>
            <w:r>
              <w:t xml:space="preserve">ealth and </w:t>
            </w:r>
            <w:r w:rsidR="00037EC6">
              <w:t>s</w:t>
            </w:r>
            <w:r>
              <w:t xml:space="preserve">afety practices, including incidents, inspections and training tracked across the Group. Legal guidance and further support is provided through local </w:t>
            </w:r>
            <w:r w:rsidR="00037EC6">
              <w:t>h</w:t>
            </w:r>
            <w:r>
              <w:t xml:space="preserve">ealth and </w:t>
            </w:r>
            <w:r w:rsidR="00037EC6">
              <w:t>s</w:t>
            </w:r>
            <w:r>
              <w:t>afety consultants who provide regulatory assurance support to the Group alongside our internal expertise.</w:t>
            </w:r>
          </w:p>
          <w:p w14:paraId="4A1A788C" w14:textId="241AF1DE" w:rsidR="001F4204" w:rsidRDefault="001F4204" w:rsidP="00D60954">
            <w:pPr>
              <w:pStyle w:val="Tabletext"/>
              <w:ind w:left="147"/>
            </w:pPr>
          </w:p>
          <w:p w14:paraId="38BDA3EC" w14:textId="5C52BD54" w:rsidR="002A188A" w:rsidRPr="00BA4E4C" w:rsidRDefault="002A188A" w:rsidP="00D60954">
            <w:pPr>
              <w:pStyle w:val="Tabletext"/>
              <w:ind w:left="147"/>
              <w:rPr>
                <w:u w:val="single"/>
              </w:rPr>
            </w:pPr>
            <w:r w:rsidRPr="00BA4E4C">
              <w:rPr>
                <w:u w:val="single"/>
              </w:rPr>
              <w:t>Current year:</w:t>
            </w:r>
          </w:p>
          <w:p w14:paraId="437DB700" w14:textId="008CF630" w:rsidR="001F4204" w:rsidRDefault="001F4204" w:rsidP="00D60954">
            <w:pPr>
              <w:pStyle w:val="Tabletext"/>
              <w:ind w:left="147"/>
              <w:rPr>
                <w:color w:val="FF0000"/>
                <w:highlight w:val="yellow"/>
              </w:rPr>
            </w:pPr>
            <w:r>
              <w:t xml:space="preserve">During the year, the </w:t>
            </w:r>
            <w:r w:rsidR="00037EC6">
              <w:t>h</w:t>
            </w:r>
            <w:r>
              <w:t xml:space="preserve">ealth and </w:t>
            </w:r>
            <w:r w:rsidR="00037EC6">
              <w:t>s</w:t>
            </w:r>
            <w:r>
              <w:t>afety team have continued to prioritise the safety of the internal workforce whilst in working away from the office and the management of available office space to the extent permitted by local regulations, in the context of the pandemic. Furthermore, the team has also worked with our contractors to ensure that work on our development sites was undertaken in a safe and compliant manner.</w:t>
            </w:r>
          </w:p>
          <w:p w14:paraId="2BBE4639" w14:textId="77777777" w:rsidR="001F4204" w:rsidRDefault="001F4204" w:rsidP="00D60954">
            <w:pPr>
              <w:pStyle w:val="Tabletext"/>
              <w:ind w:left="147"/>
              <w:rPr>
                <w:color w:val="FF0000"/>
                <w:highlight w:val="yellow"/>
              </w:rPr>
            </w:pPr>
          </w:p>
          <w:p w14:paraId="26BEA57A" w14:textId="77777777" w:rsidR="001F4204" w:rsidRDefault="001F4204" w:rsidP="00D60954">
            <w:pPr>
              <w:pStyle w:val="Tabletext"/>
              <w:ind w:left="147"/>
              <w:rPr>
                <w:color w:val="FF0000"/>
                <w:highlight w:val="yellow"/>
              </w:rPr>
            </w:pPr>
          </w:p>
          <w:p w14:paraId="5AD4FEBB" w14:textId="77777777" w:rsidR="001F4204" w:rsidRDefault="001F4204" w:rsidP="00D60954">
            <w:pPr>
              <w:pStyle w:val="Tabletext"/>
              <w:ind w:left="147"/>
              <w:rPr>
                <w:color w:val="FF0000"/>
                <w:highlight w:val="yellow"/>
              </w:rPr>
            </w:pPr>
          </w:p>
          <w:p w14:paraId="7DB14A55" w14:textId="7ADF127B" w:rsidR="001F4204" w:rsidRPr="005F6D8A" w:rsidRDefault="001F4204" w:rsidP="00D60954">
            <w:pPr>
              <w:pStyle w:val="Tabletext"/>
              <w:ind w:left="147"/>
              <w:rPr>
                <w:color w:val="FF0000"/>
                <w:highlight w:val="yellow"/>
              </w:rPr>
            </w:pPr>
          </w:p>
        </w:tc>
        <w:tc>
          <w:tcPr>
            <w:tcW w:w="1678" w:type="dxa"/>
            <w:tcBorders>
              <w:top w:val="single" w:sz="8" w:space="0" w:color="808080" w:themeColor="background1" w:themeShade="80"/>
              <w:bottom w:val="single" w:sz="8" w:space="0" w:color="808080" w:themeColor="background1" w:themeShade="80"/>
            </w:tcBorders>
            <w:vAlign w:val="top"/>
          </w:tcPr>
          <w:p w14:paraId="689D3552" w14:textId="77777777" w:rsidR="006871BD" w:rsidRPr="0068185D" w:rsidRDefault="006871BD" w:rsidP="006871BD">
            <w:pPr>
              <w:pStyle w:val="Tabletext"/>
              <w:ind w:left="141"/>
              <w:rPr>
                <w:rFonts w:cs="Arial"/>
                <w:u w:val="single"/>
              </w:rPr>
            </w:pPr>
            <w:r w:rsidRPr="0068185D">
              <w:rPr>
                <w:rFonts w:cs="Arial"/>
                <w:u w:val="single"/>
              </w:rPr>
              <w:t>Impact on strategy:</w:t>
            </w:r>
          </w:p>
          <w:p w14:paraId="72137808" w14:textId="4250D78F" w:rsidR="006871BD" w:rsidRPr="0068185D" w:rsidRDefault="00830549" w:rsidP="006871BD">
            <w:pPr>
              <w:pStyle w:val="Tabletext"/>
              <w:ind w:left="141"/>
              <w:rPr>
                <w:rFonts w:cs="Arial"/>
              </w:rPr>
            </w:pPr>
            <w:r w:rsidRPr="0068185D">
              <w:rPr>
                <w:rFonts w:cs="Arial"/>
              </w:rPr>
              <w:t>Operational Excellence</w:t>
            </w:r>
            <w:r w:rsidR="006871BD" w:rsidRPr="0068185D">
              <w:rPr>
                <w:rFonts w:cs="Arial"/>
              </w:rPr>
              <w:t xml:space="preserve"> </w:t>
            </w:r>
          </w:p>
          <w:p w14:paraId="6FF0C4AA" w14:textId="77777777" w:rsidR="006871BD" w:rsidRPr="0068185D" w:rsidRDefault="006871BD" w:rsidP="006871BD">
            <w:pPr>
              <w:pStyle w:val="Tabletext"/>
              <w:ind w:left="141"/>
              <w:rPr>
                <w:rFonts w:cs="Arial"/>
              </w:rPr>
            </w:pPr>
          </w:p>
          <w:p w14:paraId="02B58E0B" w14:textId="77777777" w:rsidR="006871BD" w:rsidRPr="0068185D" w:rsidRDefault="006871BD" w:rsidP="006871BD">
            <w:pPr>
              <w:pStyle w:val="Tabletext"/>
              <w:ind w:left="141"/>
              <w:rPr>
                <w:rFonts w:cs="Arial"/>
                <w:u w:val="single"/>
              </w:rPr>
            </w:pPr>
            <w:r w:rsidRPr="0068185D">
              <w:rPr>
                <w:rFonts w:cs="Arial"/>
                <w:u w:val="single"/>
              </w:rPr>
              <w:t xml:space="preserve">Change in 2021: </w:t>
            </w:r>
          </w:p>
          <w:p w14:paraId="0A16FF36" w14:textId="77777777" w:rsidR="006871BD" w:rsidRPr="0068185D" w:rsidRDefault="006871BD" w:rsidP="006871BD">
            <w:pPr>
              <w:pStyle w:val="Tabletext"/>
              <w:ind w:left="141"/>
              <w:rPr>
                <w:rFonts w:cs="Arial"/>
              </w:rPr>
            </w:pPr>
            <w:r w:rsidRPr="0068185D">
              <w:rPr>
                <w:rFonts w:cs="Arial"/>
              </w:rPr>
              <w:t>Similar risk</w:t>
            </w:r>
          </w:p>
          <w:p w14:paraId="2F496B79" w14:textId="77777777" w:rsidR="006871BD" w:rsidRPr="0068185D" w:rsidRDefault="006871BD" w:rsidP="006871BD">
            <w:pPr>
              <w:pStyle w:val="Tabletext"/>
              <w:ind w:left="141"/>
              <w:rPr>
                <w:rFonts w:cs="Arial"/>
              </w:rPr>
            </w:pPr>
          </w:p>
          <w:p w14:paraId="66093C32" w14:textId="2EACDBE9" w:rsidR="00D60954" w:rsidRPr="006871BD" w:rsidRDefault="006871BD" w:rsidP="006871BD">
            <w:pPr>
              <w:pStyle w:val="Tabletext"/>
              <w:ind w:left="141"/>
              <w:rPr>
                <w:color w:val="FF0000"/>
                <w:highlight w:val="yellow"/>
              </w:rPr>
            </w:pPr>
            <w:r w:rsidRPr="0068185D">
              <w:rPr>
                <w:rFonts w:cs="Arial"/>
              </w:rPr>
              <w:t>Risk is within appetite.</w:t>
            </w:r>
          </w:p>
        </w:tc>
      </w:tr>
    </w:tbl>
    <w:p w14:paraId="00831196" w14:textId="77777777" w:rsidR="005C777B" w:rsidRPr="005F6D8A" w:rsidRDefault="005C777B" w:rsidP="005E793C">
      <w:pPr>
        <w:rPr>
          <w:color w:val="FF0000"/>
          <w:highlight w:val="yellow"/>
        </w:rPr>
      </w:pPr>
    </w:p>
    <w:p w14:paraId="36FD5AAF" w14:textId="4238AEB3" w:rsidR="005E793C" w:rsidRDefault="005E793C" w:rsidP="005E793C">
      <w:pPr>
        <w:rPr>
          <w:color w:val="FF0000"/>
          <w:highlight w:val="yellow"/>
        </w:rPr>
      </w:pPr>
    </w:p>
    <w:p w14:paraId="1392D3E2" w14:textId="3FA45ECA" w:rsidR="006871BD" w:rsidRDefault="006871BD" w:rsidP="005E793C">
      <w:pPr>
        <w:rPr>
          <w:color w:val="FF0000"/>
          <w:highlight w:val="yellow"/>
        </w:rPr>
      </w:pPr>
    </w:p>
    <w:tbl>
      <w:tblPr>
        <w:tblStyle w:val="TableGrid"/>
        <w:tblW w:w="0" w:type="auto"/>
        <w:tblLook w:val="04A0" w:firstRow="1" w:lastRow="0" w:firstColumn="1" w:lastColumn="0" w:noHBand="0" w:noVBand="1"/>
      </w:tblPr>
      <w:tblGrid>
        <w:gridCol w:w="1418"/>
        <w:gridCol w:w="2977"/>
        <w:gridCol w:w="4394"/>
        <w:gridCol w:w="1678"/>
      </w:tblGrid>
      <w:tr w:rsidR="000D399E" w:rsidRPr="005F6D8A" w14:paraId="4ED3A41A" w14:textId="77777777" w:rsidTr="00BA4E4C">
        <w:tc>
          <w:tcPr>
            <w:tcW w:w="1418" w:type="dxa"/>
          </w:tcPr>
          <w:p w14:paraId="52CD98E3" w14:textId="77777777" w:rsidR="000D399E" w:rsidRPr="00A906C2" w:rsidRDefault="000D399E" w:rsidP="00CA70CE">
            <w:pPr>
              <w:pStyle w:val="TableColHeadsBold0"/>
              <w:jc w:val="center"/>
              <w:rPr>
                <w:u w:val="single"/>
              </w:rPr>
            </w:pPr>
            <w:r w:rsidRPr="00A906C2">
              <w:rPr>
                <w:u w:val="single"/>
              </w:rPr>
              <w:lastRenderedPageBreak/>
              <w:t>PRINCIPAL RISK</w:t>
            </w:r>
          </w:p>
        </w:tc>
        <w:tc>
          <w:tcPr>
            <w:tcW w:w="2977" w:type="dxa"/>
          </w:tcPr>
          <w:p w14:paraId="346F2B5C" w14:textId="77777777" w:rsidR="000D399E" w:rsidRPr="00BF526A" w:rsidRDefault="000D399E" w:rsidP="00CA70CE">
            <w:pPr>
              <w:pStyle w:val="TableColHeadsBold0"/>
              <w:jc w:val="center"/>
              <w:rPr>
                <w:u w:val="single"/>
              </w:rPr>
            </w:pPr>
            <w:r w:rsidRPr="00BF526A">
              <w:rPr>
                <w:u w:val="single"/>
              </w:rPr>
              <w:t>DESCRIPTION</w:t>
            </w:r>
          </w:p>
        </w:tc>
        <w:tc>
          <w:tcPr>
            <w:tcW w:w="4394" w:type="dxa"/>
          </w:tcPr>
          <w:p w14:paraId="27DF3BAB" w14:textId="77777777" w:rsidR="000D399E" w:rsidRPr="00A906C2" w:rsidRDefault="000D399E" w:rsidP="00CA70CE">
            <w:pPr>
              <w:pStyle w:val="TableColHeadsBold0"/>
              <w:jc w:val="center"/>
              <w:rPr>
                <w:u w:val="single"/>
              </w:rPr>
            </w:pPr>
            <w:r w:rsidRPr="00A906C2">
              <w:rPr>
                <w:u w:val="single"/>
              </w:rPr>
              <w:t>MITIGATIONS AND CURRENT YEAR ACTIVITY</w:t>
            </w:r>
          </w:p>
        </w:tc>
        <w:tc>
          <w:tcPr>
            <w:tcW w:w="1678" w:type="dxa"/>
          </w:tcPr>
          <w:p w14:paraId="3A00E165" w14:textId="77777777" w:rsidR="000D399E" w:rsidRPr="0068185D" w:rsidRDefault="000D399E" w:rsidP="00CA70CE">
            <w:pPr>
              <w:pStyle w:val="TableColHeadsBold0"/>
              <w:jc w:val="center"/>
              <w:rPr>
                <w:u w:val="single"/>
              </w:rPr>
            </w:pPr>
            <w:r w:rsidRPr="0068185D">
              <w:rPr>
                <w:u w:val="single"/>
              </w:rPr>
              <w:t>IMPACT AND CHANGE IN 2021</w:t>
            </w:r>
          </w:p>
        </w:tc>
      </w:tr>
      <w:tr w:rsidR="000D399E" w:rsidRPr="005F6D8A" w14:paraId="0725A96A" w14:textId="77777777" w:rsidTr="00BA4E4C">
        <w:tc>
          <w:tcPr>
            <w:tcW w:w="1418" w:type="dxa"/>
            <w:tcBorders>
              <w:bottom w:val="single" w:sz="4" w:space="0" w:color="808080" w:themeColor="background1" w:themeShade="80"/>
            </w:tcBorders>
            <w:vAlign w:val="top"/>
          </w:tcPr>
          <w:p w14:paraId="284B4D11" w14:textId="77777777" w:rsidR="000D399E" w:rsidRPr="005F6D8A" w:rsidRDefault="000D399E" w:rsidP="00CA70CE">
            <w:pPr>
              <w:pStyle w:val="Tabletext"/>
              <w:rPr>
                <w:color w:val="FF0000"/>
                <w:highlight w:val="yellow"/>
              </w:rPr>
            </w:pPr>
            <w:r w:rsidRPr="00BB72A9">
              <w:rPr>
                <w:rFonts w:cs="Arial"/>
              </w:rPr>
              <w:t>5. Environmental Sustainability and Climate Change</w:t>
            </w:r>
          </w:p>
        </w:tc>
        <w:tc>
          <w:tcPr>
            <w:tcW w:w="2977" w:type="dxa"/>
            <w:tcBorders>
              <w:bottom w:val="single" w:sz="4" w:space="0" w:color="808080" w:themeColor="background1" w:themeShade="80"/>
            </w:tcBorders>
            <w:vAlign w:val="top"/>
          </w:tcPr>
          <w:p w14:paraId="6BD853EC" w14:textId="77777777" w:rsidR="000D399E" w:rsidRDefault="000D399E" w:rsidP="00CA70CE">
            <w:pPr>
              <w:pStyle w:val="Tabletext"/>
              <w:tabs>
                <w:tab w:val="clear" w:pos="142"/>
                <w:tab w:val="left" w:pos="146"/>
              </w:tabs>
              <w:ind w:left="146"/>
            </w:pPr>
            <w:r>
              <w:t xml:space="preserve">Failure to anticipate and respond to the impact of both physical and transitional risks from climate change on the sustainability of our environment as both a principal and emerging risk. Laws, regulations, policies, taxation, obligations, customer preferences and social attitudes relating to climate change continue to evolve. Non-compliance with laws and regulations, reporting requirements, increased costs of tax and energy could cause loss of value to the Group. Not keeping pace with social attitudes and customer behaviours and preferences could additionally cause reputational damage and reduce the attractiveness and value of our assets. A lack of strong environmental credentials may reduce access to capital or increase cost as these are increasingly important criteria to investors and lenders. </w:t>
            </w:r>
          </w:p>
          <w:p w14:paraId="7823E358" w14:textId="77777777" w:rsidR="000D399E" w:rsidRDefault="000D399E" w:rsidP="00CA70CE">
            <w:pPr>
              <w:pStyle w:val="Tabletext"/>
              <w:tabs>
                <w:tab w:val="clear" w:pos="142"/>
                <w:tab w:val="left" w:pos="146"/>
              </w:tabs>
              <w:ind w:left="146"/>
              <w:rPr>
                <w:color w:val="FF0000"/>
              </w:rPr>
            </w:pPr>
          </w:p>
          <w:p w14:paraId="13D5986A" w14:textId="77777777" w:rsidR="000D399E" w:rsidRPr="005F6D8A" w:rsidRDefault="000D399E" w:rsidP="00CA70CE">
            <w:pPr>
              <w:pStyle w:val="Tabletext"/>
              <w:ind w:left="146"/>
              <w:rPr>
                <w:color w:val="FF0000"/>
                <w:highlight w:val="yellow"/>
              </w:rPr>
            </w:pPr>
          </w:p>
        </w:tc>
        <w:tc>
          <w:tcPr>
            <w:tcW w:w="4394" w:type="dxa"/>
            <w:tcBorders>
              <w:bottom w:val="single" w:sz="4" w:space="0" w:color="808080" w:themeColor="background1" w:themeShade="80"/>
            </w:tcBorders>
            <w:vAlign w:val="top"/>
          </w:tcPr>
          <w:p w14:paraId="0444CE4A" w14:textId="2F628AEB" w:rsidR="000D399E" w:rsidRDefault="000D399E" w:rsidP="00CA70CE">
            <w:pPr>
              <w:pStyle w:val="Tabletext"/>
              <w:ind w:left="147"/>
            </w:pPr>
            <w:r>
              <w:t xml:space="preserve">The Responsible SEGRO Framework sets out our corporate responsibility strategy, as well as medium and long-term commitments. The Responsible SEGRO Driving Group is responsible for overseeing the delivery of the strategy and regularly report to the Executive Committee and Board on implementation of strategy and progress against our stated sustainability targets. Our dedicated Sustainability team is in place to support the operations teams in managing our day to day response to environmental risks including the Technical Implementation Group (who are responsible for developments). Each significant investment appraisal includes environmental considerations such as measures taken to increase energy efficiency and reduce carbon emissions. A climate resilience study has been undertaken to assess the medium and long-term physical risks to our portfolio. Group and local teams are constantly kept up to date with new laws and regulations as they become relevant through regular training and use of a panel of expert advisors. </w:t>
            </w:r>
          </w:p>
          <w:p w14:paraId="5EAA8DB3" w14:textId="77777777" w:rsidR="000D399E" w:rsidRDefault="000D399E" w:rsidP="00CA70CE">
            <w:pPr>
              <w:pStyle w:val="Tabletext"/>
              <w:ind w:left="147"/>
            </w:pPr>
          </w:p>
          <w:p w14:paraId="500AFB4C" w14:textId="77777777" w:rsidR="000D399E" w:rsidRPr="00BA4E4C" w:rsidRDefault="000D399E" w:rsidP="00CA70CE">
            <w:pPr>
              <w:pStyle w:val="Tabletext"/>
              <w:ind w:left="147"/>
              <w:rPr>
                <w:u w:val="single"/>
              </w:rPr>
            </w:pPr>
            <w:r w:rsidRPr="00BA4E4C">
              <w:rPr>
                <w:u w:val="single"/>
              </w:rPr>
              <w:t>Current year:</w:t>
            </w:r>
          </w:p>
          <w:p w14:paraId="50576255" w14:textId="70E72FAC" w:rsidR="000D399E" w:rsidRDefault="000D399E" w:rsidP="00CA70CE">
            <w:pPr>
              <w:pStyle w:val="Tabletext"/>
              <w:ind w:left="147"/>
            </w:pPr>
            <w:r>
              <w:t xml:space="preserve">During the year, the Board agreed the new ‘Responsible SEGRO’ framework including the target to be net-zero by 2030. Furthermore, we reduced the carbon emissions from our Polish portfolio through a certified sustainable energy tariff. Both SEGRO and our most significant joint venture, SELP, issued Green Bonds associated with our environmental credentials.  </w:t>
            </w:r>
          </w:p>
          <w:p w14:paraId="43643AE9" w14:textId="0E701D36" w:rsidR="000D399E" w:rsidRPr="005F6D8A" w:rsidRDefault="000D399E" w:rsidP="00CA70CE">
            <w:pPr>
              <w:pStyle w:val="Tabletext"/>
              <w:ind w:left="147"/>
              <w:rPr>
                <w:color w:val="FF0000"/>
                <w:highlight w:val="yellow"/>
              </w:rPr>
            </w:pPr>
            <w:r>
              <w:t xml:space="preserve">The Group provide disclosures in line with those required by the Task Force on Climate-Related Financial Disclosures (TCFD) framework recommendations in its Annual Report and Accounts. </w:t>
            </w:r>
          </w:p>
        </w:tc>
        <w:tc>
          <w:tcPr>
            <w:tcW w:w="1678" w:type="dxa"/>
            <w:tcBorders>
              <w:bottom w:val="single" w:sz="4" w:space="0" w:color="808080" w:themeColor="background1" w:themeShade="80"/>
            </w:tcBorders>
            <w:vAlign w:val="top"/>
          </w:tcPr>
          <w:p w14:paraId="7734C2ED" w14:textId="77777777" w:rsidR="000D399E" w:rsidRPr="0068185D" w:rsidRDefault="000D399E" w:rsidP="00CA70CE">
            <w:pPr>
              <w:pStyle w:val="Tabletext"/>
              <w:ind w:left="141"/>
              <w:rPr>
                <w:rFonts w:cs="Arial"/>
                <w:u w:val="single"/>
              </w:rPr>
            </w:pPr>
            <w:r w:rsidRPr="0068185D">
              <w:rPr>
                <w:rFonts w:cs="Arial"/>
                <w:u w:val="single"/>
              </w:rPr>
              <w:t>Impact on strategy:</w:t>
            </w:r>
          </w:p>
          <w:p w14:paraId="3E26E679" w14:textId="7E1D6360" w:rsidR="000D399E" w:rsidRPr="0068185D" w:rsidRDefault="000D399E" w:rsidP="00CA70CE">
            <w:pPr>
              <w:pStyle w:val="Tabletext"/>
              <w:tabs>
                <w:tab w:val="clear" w:pos="142"/>
                <w:tab w:val="left" w:pos="141"/>
              </w:tabs>
              <w:ind w:left="141"/>
              <w:rPr>
                <w:rFonts w:cs="Arial"/>
              </w:rPr>
            </w:pPr>
            <w:r w:rsidRPr="0068185D">
              <w:rPr>
                <w:rFonts w:cs="Arial"/>
              </w:rPr>
              <w:t xml:space="preserve">Operational Excellence </w:t>
            </w:r>
            <w:r w:rsidR="00702017">
              <w:rPr>
                <w:rFonts w:cs="Arial"/>
              </w:rPr>
              <w:t>and Disciplined Capital Allocation</w:t>
            </w:r>
          </w:p>
          <w:p w14:paraId="75648AD8" w14:textId="77777777" w:rsidR="000D399E" w:rsidRPr="0068185D" w:rsidRDefault="000D399E" w:rsidP="00CA70CE">
            <w:pPr>
              <w:pStyle w:val="Tabletext"/>
              <w:ind w:left="141"/>
              <w:rPr>
                <w:rFonts w:cs="Arial"/>
                <w:color w:val="FF0000"/>
              </w:rPr>
            </w:pPr>
          </w:p>
          <w:p w14:paraId="2D2F66F9" w14:textId="77777777" w:rsidR="000D399E" w:rsidRPr="0068185D" w:rsidRDefault="000D399E" w:rsidP="00CA70CE">
            <w:pPr>
              <w:pStyle w:val="Tabletext"/>
              <w:ind w:left="141"/>
              <w:rPr>
                <w:rFonts w:cs="Arial"/>
                <w:u w:val="single"/>
              </w:rPr>
            </w:pPr>
            <w:r w:rsidRPr="0068185D">
              <w:rPr>
                <w:rFonts w:cs="Arial"/>
                <w:u w:val="single"/>
              </w:rPr>
              <w:t xml:space="preserve">Change in 2021: </w:t>
            </w:r>
            <w:r w:rsidRPr="0068185D">
              <w:rPr>
                <w:rFonts w:cs="Arial"/>
              </w:rPr>
              <w:t>Increased risk</w:t>
            </w:r>
          </w:p>
          <w:p w14:paraId="0E8E2485" w14:textId="77777777" w:rsidR="000D399E" w:rsidRPr="0068185D" w:rsidRDefault="000D399E" w:rsidP="00CA70CE">
            <w:pPr>
              <w:pStyle w:val="Tabletext"/>
              <w:ind w:left="141"/>
              <w:rPr>
                <w:rFonts w:cs="Arial"/>
              </w:rPr>
            </w:pPr>
          </w:p>
          <w:p w14:paraId="7E1BAF6B" w14:textId="77777777" w:rsidR="000D399E" w:rsidRPr="006871BD" w:rsidRDefault="000D399E" w:rsidP="00CA70CE">
            <w:pPr>
              <w:pStyle w:val="Tabletext"/>
              <w:ind w:left="141"/>
              <w:rPr>
                <w:color w:val="FF0000"/>
                <w:highlight w:val="yellow"/>
              </w:rPr>
            </w:pPr>
            <w:r w:rsidRPr="0068185D">
              <w:rPr>
                <w:rFonts w:cs="Arial"/>
              </w:rPr>
              <w:t xml:space="preserve">Risk is within appetite. </w:t>
            </w:r>
          </w:p>
        </w:tc>
      </w:tr>
      <w:tr w:rsidR="000D399E" w:rsidRPr="005F6D8A" w14:paraId="7CC425FB" w14:textId="77777777" w:rsidTr="00BA4E4C">
        <w:tc>
          <w:tcPr>
            <w:tcW w:w="1418" w:type="dxa"/>
            <w:tcBorders>
              <w:top w:val="single" w:sz="4" w:space="0" w:color="808080" w:themeColor="background1" w:themeShade="80"/>
            </w:tcBorders>
            <w:vAlign w:val="top"/>
          </w:tcPr>
          <w:p w14:paraId="4AE0FFA1" w14:textId="77777777" w:rsidR="000D399E" w:rsidRPr="005F6D8A" w:rsidRDefault="000D399E" w:rsidP="00CA70CE">
            <w:pPr>
              <w:pStyle w:val="Tabletext"/>
              <w:rPr>
                <w:color w:val="FF0000"/>
                <w:highlight w:val="yellow"/>
              </w:rPr>
            </w:pPr>
            <w:r w:rsidRPr="00BB72A9">
              <w:rPr>
                <w:rFonts w:cs="Arial"/>
              </w:rPr>
              <w:t>6. Development Plan execution</w:t>
            </w:r>
          </w:p>
        </w:tc>
        <w:tc>
          <w:tcPr>
            <w:tcW w:w="2977" w:type="dxa"/>
            <w:tcBorders>
              <w:top w:val="single" w:sz="4" w:space="0" w:color="808080" w:themeColor="background1" w:themeShade="80"/>
            </w:tcBorders>
            <w:vAlign w:val="top"/>
          </w:tcPr>
          <w:p w14:paraId="34BB9F34" w14:textId="77777777" w:rsidR="000D399E" w:rsidRPr="00BB72A9" w:rsidRDefault="000D399E" w:rsidP="00CA70CE">
            <w:pPr>
              <w:pStyle w:val="Tabletext"/>
              <w:ind w:left="146"/>
            </w:pPr>
            <w:r>
              <w:t xml:space="preserve">The Group has an extensive current programme and future pipeline of </w:t>
            </w:r>
            <w:r w:rsidRPr="00BB72A9">
              <w:t>developments. The Group could suffer significant financial losses from:</w:t>
            </w:r>
          </w:p>
          <w:p w14:paraId="1CD74DF5" w14:textId="77777777" w:rsidR="000D399E" w:rsidRPr="00BB72A9" w:rsidRDefault="000D399E" w:rsidP="00CA70CE">
            <w:pPr>
              <w:pStyle w:val="Tabletext"/>
              <w:numPr>
                <w:ilvl w:val="0"/>
                <w:numId w:val="28"/>
              </w:numPr>
              <w:ind w:left="288" w:hanging="218"/>
            </w:pPr>
            <w:r w:rsidRPr="00BB72A9">
              <w:t>Cost over-runs on larger, more complex projects, for example, due to contractor default or poor performance and management;.</w:t>
            </w:r>
          </w:p>
          <w:p w14:paraId="0AD66F19" w14:textId="77777777" w:rsidR="000D399E" w:rsidRPr="00BB72A9" w:rsidRDefault="000D399E" w:rsidP="00CA70CE">
            <w:pPr>
              <w:pStyle w:val="Tabletext"/>
              <w:numPr>
                <w:ilvl w:val="0"/>
                <w:numId w:val="28"/>
              </w:numPr>
              <w:ind w:left="288" w:hanging="218"/>
            </w:pPr>
            <w:r w:rsidRPr="00BB72A9">
              <w:t>Increased construction costs (for example from labour market changes or supply chain pressures) leading to reduced or uneconomic development yields;</w:t>
            </w:r>
          </w:p>
          <w:p w14:paraId="5F70C34F" w14:textId="77777777" w:rsidR="000D399E" w:rsidRPr="00BB72A9" w:rsidRDefault="000D399E" w:rsidP="00CA70CE">
            <w:pPr>
              <w:pStyle w:val="Tabletext"/>
              <w:numPr>
                <w:ilvl w:val="0"/>
                <w:numId w:val="28"/>
              </w:numPr>
              <w:ind w:left="288" w:hanging="218"/>
            </w:pPr>
            <w:r w:rsidRPr="00BB72A9">
              <w:t xml:space="preserve">Above-appetite exposure to non-income producing land, infrastructure and speculatively developed buildings arising from a sharp deterioration in occupier demand </w:t>
            </w:r>
            <w:r>
              <w:t>and/</w:t>
            </w:r>
            <w:r w:rsidRPr="00BB72A9">
              <w:t>or inappropriate land acquisition due diligence; and</w:t>
            </w:r>
          </w:p>
          <w:p w14:paraId="04019481" w14:textId="77777777" w:rsidR="000D399E" w:rsidRPr="00BB72A9" w:rsidRDefault="000D399E" w:rsidP="00CA70CE">
            <w:pPr>
              <w:pStyle w:val="Tabletext"/>
              <w:numPr>
                <w:ilvl w:val="0"/>
                <w:numId w:val="28"/>
              </w:numPr>
              <w:ind w:left="288" w:hanging="218"/>
            </w:pPr>
            <w:r w:rsidRPr="00BB72A9">
              <w:t>Market competition reducing access to suitable land bank and/or increasing acquisition costs.</w:t>
            </w:r>
          </w:p>
          <w:p w14:paraId="4BAAD46E" w14:textId="77777777" w:rsidR="000D399E" w:rsidRPr="00BB72A9" w:rsidRDefault="000D399E" w:rsidP="00CA70CE">
            <w:pPr>
              <w:pStyle w:val="Tabletext"/>
              <w:ind w:left="288"/>
            </w:pPr>
          </w:p>
          <w:p w14:paraId="73A4694F" w14:textId="77777777" w:rsidR="000D399E" w:rsidRPr="005F6D8A" w:rsidRDefault="000D399E" w:rsidP="00CA70CE">
            <w:pPr>
              <w:pStyle w:val="Tabletext"/>
              <w:ind w:left="288"/>
              <w:rPr>
                <w:color w:val="FF0000"/>
                <w:highlight w:val="yellow"/>
              </w:rPr>
            </w:pPr>
          </w:p>
        </w:tc>
        <w:tc>
          <w:tcPr>
            <w:tcW w:w="4394" w:type="dxa"/>
            <w:tcBorders>
              <w:top w:val="single" w:sz="4" w:space="0" w:color="808080" w:themeColor="background1" w:themeShade="80"/>
            </w:tcBorders>
            <w:vAlign w:val="top"/>
          </w:tcPr>
          <w:p w14:paraId="0568E461" w14:textId="77777777" w:rsidR="000D399E" w:rsidRDefault="000D399E" w:rsidP="00CA70CE">
            <w:pPr>
              <w:pStyle w:val="Tabletext"/>
              <w:ind w:left="147"/>
            </w:pPr>
            <w:r>
              <w:t>Our appetite for exposure to non-income producing assets (including land, infrastructure and speculative developments) is monitored closely, for example, when acquisition decisions are being made by the Investment Committee.</w:t>
            </w:r>
          </w:p>
          <w:p w14:paraId="240E0746" w14:textId="77777777" w:rsidR="000D399E" w:rsidRDefault="000D399E" w:rsidP="00CA70CE">
            <w:pPr>
              <w:pStyle w:val="Tabletext"/>
              <w:ind w:left="147"/>
            </w:pPr>
            <w:r>
              <w:t xml:space="preserve">We retain a high level of optionality in our future development programme including at the point of land acquisition, commitment to infrastructure and commitment to building. Pricing of land acquisitions and the consequential impact on returns are considered by the Investment Committee when assessing appraisals. </w:t>
            </w:r>
          </w:p>
          <w:p w14:paraId="4939DE72" w14:textId="77777777" w:rsidR="000D399E" w:rsidRDefault="000D399E" w:rsidP="00CA70CE">
            <w:pPr>
              <w:pStyle w:val="Tabletext"/>
              <w:ind w:left="147"/>
            </w:pPr>
            <w:r>
              <w:t xml:space="preserve">The development programme remains weighted towards pre-let opportunities. </w:t>
            </w:r>
          </w:p>
          <w:p w14:paraId="4C17A955" w14:textId="77777777" w:rsidR="000D399E" w:rsidRDefault="000D399E" w:rsidP="00CA70CE">
            <w:pPr>
              <w:pStyle w:val="Tabletext"/>
              <w:ind w:left="147"/>
            </w:pPr>
            <w:r>
              <w:t xml:space="preserve">The risk of cost-overruns is mitigated by using our experienced development teams and the use of trusted advisors and contractors. </w:t>
            </w:r>
          </w:p>
          <w:p w14:paraId="42C80DA0" w14:textId="77777777" w:rsidR="000D399E" w:rsidRDefault="000D399E" w:rsidP="00CA70CE">
            <w:pPr>
              <w:pStyle w:val="Tabletext"/>
              <w:ind w:left="147"/>
            </w:pPr>
            <w:r>
              <w:t xml:space="preserve">The risk of contractor default is mitigated by using a diversified selection of companies who have been through a rigorous onboarding process and closely monitoring their financial strength. </w:t>
            </w:r>
          </w:p>
          <w:p w14:paraId="0DA3C6A9" w14:textId="718E8026" w:rsidR="000D399E" w:rsidRDefault="000D399E" w:rsidP="00CA70CE">
            <w:pPr>
              <w:pStyle w:val="Tabletext"/>
              <w:ind w:left="147"/>
            </w:pPr>
            <w:r>
              <w:t>Our short development lead-times enable a quick response to changing market conditions.</w:t>
            </w:r>
          </w:p>
          <w:p w14:paraId="02D72367" w14:textId="1275D8B3" w:rsidR="00702017" w:rsidRDefault="00702017" w:rsidP="00CA70CE">
            <w:pPr>
              <w:pStyle w:val="Tabletext"/>
              <w:ind w:left="147"/>
            </w:pPr>
          </w:p>
          <w:p w14:paraId="4E06F9EF" w14:textId="0CAD4519" w:rsidR="00702017" w:rsidRPr="00BA4E4C" w:rsidRDefault="00702017" w:rsidP="00CA70CE">
            <w:pPr>
              <w:pStyle w:val="Tabletext"/>
              <w:ind w:left="147"/>
              <w:rPr>
                <w:u w:val="single"/>
              </w:rPr>
            </w:pPr>
            <w:r w:rsidRPr="00BA4E4C">
              <w:rPr>
                <w:u w:val="single"/>
              </w:rPr>
              <w:t>Current year:</w:t>
            </w:r>
          </w:p>
          <w:p w14:paraId="5F08E91B" w14:textId="77777777" w:rsidR="000D399E" w:rsidRPr="005F6D8A" w:rsidRDefault="000D399E" w:rsidP="00CA70CE">
            <w:pPr>
              <w:pStyle w:val="Tabletext"/>
              <w:ind w:left="147"/>
              <w:rPr>
                <w:color w:val="FF0000"/>
                <w:highlight w:val="yellow"/>
              </w:rPr>
            </w:pPr>
            <w:r>
              <w:t>During the year, the Group continued to spend a significant amount on our development programme with each significant project appraisal required to meet detailed pre-set criteria and subject to approval by the Investment Committee. We continue to regularly monitor the performance and financial strength of our contractors as contracts are awarded through the year.</w:t>
            </w:r>
          </w:p>
        </w:tc>
        <w:tc>
          <w:tcPr>
            <w:tcW w:w="1678" w:type="dxa"/>
            <w:tcBorders>
              <w:top w:val="single" w:sz="4" w:space="0" w:color="808080" w:themeColor="background1" w:themeShade="80"/>
            </w:tcBorders>
            <w:vAlign w:val="top"/>
          </w:tcPr>
          <w:p w14:paraId="73E394FC" w14:textId="77777777" w:rsidR="000D399E" w:rsidRPr="0068185D" w:rsidRDefault="000D399E" w:rsidP="00CA70CE">
            <w:pPr>
              <w:pStyle w:val="Tabletext"/>
              <w:ind w:left="141"/>
              <w:rPr>
                <w:rFonts w:cs="Arial"/>
                <w:u w:val="single"/>
              </w:rPr>
            </w:pPr>
            <w:r w:rsidRPr="0068185D">
              <w:rPr>
                <w:rFonts w:cs="Arial"/>
                <w:u w:val="single"/>
              </w:rPr>
              <w:t>Impact on strategy:</w:t>
            </w:r>
          </w:p>
          <w:p w14:paraId="7CD78220" w14:textId="487A5402" w:rsidR="000D399E" w:rsidRPr="0068185D" w:rsidRDefault="000D399E" w:rsidP="00CA70CE">
            <w:pPr>
              <w:pStyle w:val="Tabletext"/>
              <w:ind w:left="141"/>
              <w:rPr>
                <w:rFonts w:cs="Arial"/>
              </w:rPr>
            </w:pPr>
            <w:r w:rsidRPr="0068185D">
              <w:rPr>
                <w:rFonts w:cs="Arial"/>
              </w:rPr>
              <w:t xml:space="preserve">Operational Excellence </w:t>
            </w:r>
            <w:r w:rsidR="00702017">
              <w:rPr>
                <w:rFonts w:cs="Arial"/>
              </w:rPr>
              <w:t>and Disciplined Capital Allocation</w:t>
            </w:r>
          </w:p>
          <w:p w14:paraId="72A80C1E" w14:textId="77777777" w:rsidR="000D399E" w:rsidRPr="0068185D" w:rsidRDefault="000D399E" w:rsidP="00CA70CE">
            <w:pPr>
              <w:pStyle w:val="Tabletext"/>
              <w:ind w:left="141"/>
              <w:rPr>
                <w:rFonts w:cs="Arial"/>
              </w:rPr>
            </w:pPr>
          </w:p>
          <w:p w14:paraId="33E5DCE6" w14:textId="77777777" w:rsidR="000D399E" w:rsidRPr="0068185D" w:rsidRDefault="000D399E" w:rsidP="00CA70CE">
            <w:pPr>
              <w:pStyle w:val="Tabletext"/>
              <w:ind w:left="141"/>
              <w:rPr>
                <w:rFonts w:cs="Arial"/>
                <w:u w:val="single"/>
              </w:rPr>
            </w:pPr>
            <w:r w:rsidRPr="0068185D">
              <w:rPr>
                <w:rFonts w:cs="Arial"/>
                <w:u w:val="single"/>
              </w:rPr>
              <w:t xml:space="preserve">Change in 2021: </w:t>
            </w:r>
          </w:p>
          <w:p w14:paraId="14584317" w14:textId="77777777" w:rsidR="000D399E" w:rsidRPr="0068185D" w:rsidRDefault="000D399E" w:rsidP="00CA70CE">
            <w:pPr>
              <w:pStyle w:val="Tabletext"/>
              <w:ind w:left="141"/>
              <w:rPr>
                <w:rFonts w:cs="Arial"/>
              </w:rPr>
            </w:pPr>
            <w:r w:rsidRPr="0068185D">
              <w:rPr>
                <w:rFonts w:cs="Arial"/>
              </w:rPr>
              <w:t>Similar risk</w:t>
            </w:r>
          </w:p>
          <w:p w14:paraId="1912938A" w14:textId="77777777" w:rsidR="000D399E" w:rsidRPr="0068185D" w:rsidRDefault="000D399E" w:rsidP="00CA70CE">
            <w:pPr>
              <w:pStyle w:val="Tabletext"/>
              <w:ind w:left="141"/>
              <w:rPr>
                <w:rFonts w:cs="Arial"/>
              </w:rPr>
            </w:pPr>
          </w:p>
          <w:p w14:paraId="78B2C1DD" w14:textId="77777777" w:rsidR="000D399E" w:rsidRPr="006871BD" w:rsidRDefault="000D399E" w:rsidP="00CA70CE">
            <w:pPr>
              <w:pStyle w:val="Tabletext"/>
              <w:ind w:left="141"/>
              <w:rPr>
                <w:color w:val="FF0000"/>
                <w:highlight w:val="yellow"/>
              </w:rPr>
            </w:pPr>
            <w:r w:rsidRPr="0068185D">
              <w:rPr>
                <w:rFonts w:cs="Arial"/>
              </w:rPr>
              <w:t>Risk is within appetite.</w:t>
            </w:r>
          </w:p>
        </w:tc>
      </w:tr>
      <w:bookmarkEnd w:id="2"/>
    </w:tbl>
    <w:p w14:paraId="18D7D6B2" w14:textId="311A8FBC" w:rsidR="005E793C" w:rsidRDefault="005E793C" w:rsidP="005E793C">
      <w:pPr>
        <w:rPr>
          <w:color w:val="FF0000"/>
          <w:highlight w:val="yellow"/>
        </w:rPr>
      </w:pPr>
    </w:p>
    <w:p w14:paraId="6308F83C" w14:textId="6A2806F0" w:rsidR="000D399E" w:rsidRDefault="000D399E" w:rsidP="005E793C">
      <w:pPr>
        <w:rPr>
          <w:color w:val="FF0000"/>
          <w:highlight w:val="yellow"/>
        </w:rPr>
      </w:pPr>
    </w:p>
    <w:p w14:paraId="1C9F09AB" w14:textId="1C42AEDA" w:rsidR="000D399E" w:rsidRDefault="000D399E" w:rsidP="005E793C">
      <w:pPr>
        <w:rPr>
          <w:color w:val="FF0000"/>
          <w:highlight w:val="yellow"/>
        </w:rPr>
      </w:pPr>
    </w:p>
    <w:tbl>
      <w:tblPr>
        <w:tblStyle w:val="TableGrid"/>
        <w:tblW w:w="0" w:type="auto"/>
        <w:tblLook w:val="04A0" w:firstRow="1" w:lastRow="0" w:firstColumn="1" w:lastColumn="0" w:noHBand="0" w:noVBand="1"/>
      </w:tblPr>
      <w:tblGrid>
        <w:gridCol w:w="1418"/>
        <w:gridCol w:w="2977"/>
        <w:gridCol w:w="4394"/>
        <w:gridCol w:w="1678"/>
      </w:tblGrid>
      <w:tr w:rsidR="000D399E" w:rsidRPr="005F6D8A" w14:paraId="1A7ED997" w14:textId="77777777" w:rsidTr="00CA70CE">
        <w:tc>
          <w:tcPr>
            <w:tcW w:w="1418" w:type="dxa"/>
          </w:tcPr>
          <w:p w14:paraId="1C81E558" w14:textId="77777777" w:rsidR="000D399E" w:rsidRPr="00A906C2" w:rsidRDefault="000D399E" w:rsidP="00CA70CE">
            <w:pPr>
              <w:pStyle w:val="TableColHeadsBold0"/>
              <w:jc w:val="center"/>
              <w:rPr>
                <w:u w:val="single"/>
              </w:rPr>
            </w:pPr>
            <w:r w:rsidRPr="00A906C2">
              <w:rPr>
                <w:u w:val="single"/>
              </w:rPr>
              <w:lastRenderedPageBreak/>
              <w:t>PRINCIPAL RISK</w:t>
            </w:r>
          </w:p>
        </w:tc>
        <w:tc>
          <w:tcPr>
            <w:tcW w:w="2977" w:type="dxa"/>
          </w:tcPr>
          <w:p w14:paraId="3E48290D" w14:textId="77777777" w:rsidR="000D399E" w:rsidRPr="00BF526A" w:rsidRDefault="000D399E" w:rsidP="00CA70CE">
            <w:pPr>
              <w:pStyle w:val="TableColHeadsBold0"/>
              <w:jc w:val="center"/>
              <w:rPr>
                <w:u w:val="single"/>
              </w:rPr>
            </w:pPr>
            <w:r w:rsidRPr="00BF526A">
              <w:rPr>
                <w:u w:val="single"/>
              </w:rPr>
              <w:t>DESCRIPTION</w:t>
            </w:r>
          </w:p>
        </w:tc>
        <w:tc>
          <w:tcPr>
            <w:tcW w:w="4394" w:type="dxa"/>
          </w:tcPr>
          <w:p w14:paraId="715BA785" w14:textId="77777777" w:rsidR="000D399E" w:rsidRPr="00A906C2" w:rsidRDefault="000D399E" w:rsidP="00CA70CE">
            <w:pPr>
              <w:pStyle w:val="TableColHeadsBold0"/>
              <w:jc w:val="center"/>
              <w:rPr>
                <w:u w:val="single"/>
              </w:rPr>
            </w:pPr>
            <w:r w:rsidRPr="00A906C2">
              <w:rPr>
                <w:u w:val="single"/>
              </w:rPr>
              <w:t>MITIGATIONS AND CURRENT YEAR ACTIVITY</w:t>
            </w:r>
          </w:p>
        </w:tc>
        <w:tc>
          <w:tcPr>
            <w:tcW w:w="1678" w:type="dxa"/>
          </w:tcPr>
          <w:p w14:paraId="64368450" w14:textId="77777777" w:rsidR="000D399E" w:rsidRPr="0068185D" w:rsidRDefault="000D399E" w:rsidP="00CA70CE">
            <w:pPr>
              <w:pStyle w:val="TableColHeadsBold0"/>
              <w:jc w:val="center"/>
              <w:rPr>
                <w:u w:val="single"/>
              </w:rPr>
            </w:pPr>
            <w:r w:rsidRPr="0068185D">
              <w:rPr>
                <w:u w:val="single"/>
              </w:rPr>
              <w:t>IMPACT AND CHANGE IN 2021</w:t>
            </w:r>
          </w:p>
        </w:tc>
      </w:tr>
      <w:tr w:rsidR="000D399E" w:rsidRPr="005F6D8A" w14:paraId="3D880A12" w14:textId="77777777" w:rsidTr="00BA4E4C">
        <w:tc>
          <w:tcPr>
            <w:tcW w:w="1418" w:type="dxa"/>
            <w:tcBorders>
              <w:bottom w:val="single" w:sz="8" w:space="0" w:color="808080" w:themeColor="background1" w:themeShade="80"/>
            </w:tcBorders>
            <w:vAlign w:val="top"/>
          </w:tcPr>
          <w:p w14:paraId="772696F3" w14:textId="77777777" w:rsidR="000D399E" w:rsidRPr="005F6D8A" w:rsidRDefault="000D399E" w:rsidP="00CA70CE">
            <w:pPr>
              <w:pStyle w:val="Tabletext"/>
              <w:rPr>
                <w:color w:val="FF0000"/>
                <w:highlight w:val="yellow"/>
              </w:rPr>
            </w:pPr>
            <w:r w:rsidRPr="006871BD">
              <w:rPr>
                <w:rFonts w:cs="Arial"/>
              </w:rPr>
              <w:t>7. Financing Strategy</w:t>
            </w:r>
          </w:p>
        </w:tc>
        <w:tc>
          <w:tcPr>
            <w:tcW w:w="2977" w:type="dxa"/>
            <w:tcBorders>
              <w:bottom w:val="single" w:sz="8" w:space="0" w:color="808080" w:themeColor="background1" w:themeShade="80"/>
            </w:tcBorders>
            <w:vAlign w:val="top"/>
          </w:tcPr>
          <w:p w14:paraId="1E79D766" w14:textId="77777777" w:rsidR="000D399E" w:rsidRDefault="000D399E" w:rsidP="00CA70CE">
            <w:pPr>
              <w:pStyle w:val="Tabletext"/>
              <w:ind w:left="146"/>
            </w:pPr>
            <w:r>
              <w:t xml:space="preserve">The Group could suffer an acute liquidity or solvency crisis, financial loss or financial distress as a result of a failure in the design or execution of its financing strategy. </w:t>
            </w:r>
          </w:p>
          <w:p w14:paraId="434925EB" w14:textId="77777777" w:rsidR="000D399E" w:rsidRDefault="000D399E" w:rsidP="00CA70CE">
            <w:pPr>
              <w:pStyle w:val="Tabletext"/>
              <w:ind w:left="146"/>
            </w:pPr>
            <w:r>
              <w:t xml:space="preserve">Such an event may be caused by a number of factors including a failure to obtain debt or equity funding (for example, due to market disruption or rating downgrade); having an inappropriate debt structure (including leverage level, debt maturity, interest rate or currency exposure); poor forecasting; defaulting on loan agreements as a result of a breach of financial or other covenants; or counterparty default. </w:t>
            </w:r>
          </w:p>
          <w:p w14:paraId="6840753F" w14:textId="77777777" w:rsidR="000D399E" w:rsidRPr="005F6D8A" w:rsidRDefault="000D399E" w:rsidP="00CA70CE">
            <w:pPr>
              <w:pStyle w:val="Tabletext"/>
              <w:ind w:left="146"/>
              <w:rPr>
                <w:color w:val="FF0000"/>
                <w:highlight w:val="yellow"/>
              </w:rPr>
            </w:pPr>
            <w:r w:rsidRPr="005F6D8A">
              <w:rPr>
                <w:color w:val="FF0000"/>
              </w:rPr>
              <w:t xml:space="preserve"> </w:t>
            </w:r>
          </w:p>
        </w:tc>
        <w:tc>
          <w:tcPr>
            <w:tcW w:w="4394" w:type="dxa"/>
            <w:tcBorders>
              <w:bottom w:val="single" w:sz="8" w:space="0" w:color="808080" w:themeColor="background1" w:themeShade="80"/>
            </w:tcBorders>
            <w:vAlign w:val="top"/>
          </w:tcPr>
          <w:p w14:paraId="0BDED9AA" w14:textId="77777777" w:rsidR="000D399E" w:rsidRDefault="000D399E" w:rsidP="00CA70CE">
            <w:pPr>
              <w:pStyle w:val="Tabletext"/>
              <w:ind w:left="147"/>
            </w:pPr>
            <w:r>
              <w:t>The Group’s financing strategy is aligned with our long-term business strategy, the Medium Term Plan and our risk appetite. The Treasury policy defines key policy parameters and controls to support execution of the strategy.</w:t>
            </w:r>
          </w:p>
          <w:p w14:paraId="7F51182F" w14:textId="77777777" w:rsidR="000D399E" w:rsidRDefault="000D399E" w:rsidP="00CA70CE">
            <w:pPr>
              <w:pStyle w:val="Tabletext"/>
              <w:ind w:left="147"/>
            </w:pPr>
            <w:r>
              <w:t>The Group regularly reviews its changing financing requirements in light of opportunities and market conditions and maintains a good long-term relationship with a wide range of sources of finance.</w:t>
            </w:r>
          </w:p>
          <w:p w14:paraId="6519C393" w14:textId="77777777" w:rsidR="000D399E" w:rsidRDefault="000D399E" w:rsidP="00CA70CE">
            <w:pPr>
              <w:pStyle w:val="Tabletext"/>
              <w:ind w:left="147"/>
            </w:pPr>
            <w:r>
              <w:t>Liquidity remains strong and there is substantial headroom on all our financial covenants.</w:t>
            </w:r>
          </w:p>
          <w:p w14:paraId="2870CC06" w14:textId="77777777" w:rsidR="000D399E" w:rsidRDefault="000D399E" w:rsidP="00CA70CE">
            <w:pPr>
              <w:pStyle w:val="Tabletext"/>
              <w:ind w:left="147"/>
            </w:pPr>
          </w:p>
          <w:p w14:paraId="0A4FD20F" w14:textId="77777777" w:rsidR="000D399E" w:rsidRPr="00BA4E4C" w:rsidRDefault="000D399E" w:rsidP="00CA70CE">
            <w:pPr>
              <w:pStyle w:val="Tabletext"/>
              <w:ind w:left="147"/>
              <w:rPr>
                <w:u w:val="single"/>
              </w:rPr>
            </w:pPr>
            <w:r w:rsidRPr="00BA4E4C">
              <w:rPr>
                <w:u w:val="single"/>
              </w:rPr>
              <w:t>Current year:</w:t>
            </w:r>
          </w:p>
          <w:p w14:paraId="333A2EB1" w14:textId="0495CD81" w:rsidR="000D399E" w:rsidRDefault="000D399E" w:rsidP="00CA70CE">
            <w:pPr>
              <w:pStyle w:val="Tabletext"/>
              <w:ind w:left="147"/>
            </w:pPr>
            <w:r>
              <w:t xml:space="preserve">During the year, financing activity has maintained a balance sheet, increased average debt maturity, lowered the average cost of debt, and demonstrated our ability to access a range of debt capital markets. </w:t>
            </w:r>
          </w:p>
          <w:p w14:paraId="5A1DFA57" w14:textId="77777777" w:rsidR="000D399E" w:rsidRPr="005F6D8A" w:rsidRDefault="000D399E" w:rsidP="00CA70CE">
            <w:pPr>
              <w:pStyle w:val="Tabletext"/>
              <w:ind w:left="147"/>
              <w:rPr>
                <w:color w:val="FF0000"/>
                <w:highlight w:val="yellow"/>
              </w:rPr>
            </w:pPr>
            <w:r w:rsidRPr="005F6D8A">
              <w:rPr>
                <w:color w:val="FF0000"/>
              </w:rPr>
              <w:t xml:space="preserve"> </w:t>
            </w:r>
          </w:p>
        </w:tc>
        <w:tc>
          <w:tcPr>
            <w:tcW w:w="1678" w:type="dxa"/>
            <w:tcBorders>
              <w:bottom w:val="single" w:sz="8" w:space="0" w:color="808080" w:themeColor="background1" w:themeShade="80"/>
            </w:tcBorders>
            <w:vAlign w:val="top"/>
          </w:tcPr>
          <w:p w14:paraId="4B19C4BB" w14:textId="77777777" w:rsidR="000D399E" w:rsidRPr="0068185D" w:rsidRDefault="000D399E" w:rsidP="00CA70CE">
            <w:pPr>
              <w:pStyle w:val="Tabletext"/>
              <w:ind w:left="141"/>
              <w:rPr>
                <w:rFonts w:cs="Arial"/>
                <w:u w:val="single"/>
              </w:rPr>
            </w:pPr>
            <w:r w:rsidRPr="0068185D">
              <w:rPr>
                <w:rFonts w:cs="Arial"/>
                <w:u w:val="single"/>
              </w:rPr>
              <w:t>Impact on strategy:</w:t>
            </w:r>
          </w:p>
          <w:p w14:paraId="369D0DB4" w14:textId="77777777" w:rsidR="000D399E" w:rsidRPr="0068185D" w:rsidRDefault="000D399E" w:rsidP="00CA70CE">
            <w:pPr>
              <w:pStyle w:val="Tabletext"/>
              <w:ind w:left="141"/>
              <w:rPr>
                <w:rFonts w:cs="Arial"/>
              </w:rPr>
            </w:pPr>
            <w:r w:rsidRPr="0068185D">
              <w:rPr>
                <w:rFonts w:cs="Arial"/>
              </w:rPr>
              <w:t xml:space="preserve">Disciplined Capital Allocation and Efficient Capital and Corporate Structure </w:t>
            </w:r>
          </w:p>
          <w:p w14:paraId="42238F14" w14:textId="77777777" w:rsidR="000D399E" w:rsidRPr="0068185D" w:rsidRDefault="000D399E" w:rsidP="00CA70CE">
            <w:pPr>
              <w:pStyle w:val="Tabletext"/>
              <w:ind w:left="141"/>
              <w:rPr>
                <w:rFonts w:cs="Arial"/>
              </w:rPr>
            </w:pPr>
          </w:p>
          <w:p w14:paraId="6934C030" w14:textId="77777777" w:rsidR="000D399E" w:rsidRPr="0068185D" w:rsidRDefault="000D399E" w:rsidP="00CA70CE">
            <w:pPr>
              <w:pStyle w:val="Tabletext"/>
              <w:ind w:left="141"/>
              <w:rPr>
                <w:rFonts w:cs="Arial"/>
                <w:u w:val="single"/>
              </w:rPr>
            </w:pPr>
            <w:r w:rsidRPr="0068185D">
              <w:rPr>
                <w:rFonts w:cs="Arial"/>
                <w:u w:val="single"/>
              </w:rPr>
              <w:t xml:space="preserve">Change in 2021: </w:t>
            </w:r>
          </w:p>
          <w:p w14:paraId="27BDEE0C" w14:textId="77777777" w:rsidR="000D399E" w:rsidRPr="0068185D" w:rsidRDefault="000D399E" w:rsidP="00CA70CE">
            <w:pPr>
              <w:pStyle w:val="Tabletext"/>
              <w:ind w:left="141"/>
              <w:rPr>
                <w:rFonts w:cs="Arial"/>
              </w:rPr>
            </w:pPr>
            <w:r w:rsidRPr="0068185D">
              <w:rPr>
                <w:rFonts w:cs="Arial"/>
              </w:rPr>
              <w:t>Similar risk</w:t>
            </w:r>
          </w:p>
          <w:p w14:paraId="3C61F875" w14:textId="77777777" w:rsidR="000D399E" w:rsidRPr="0068185D" w:rsidRDefault="000D399E" w:rsidP="00CA70CE">
            <w:pPr>
              <w:pStyle w:val="Tabletext"/>
              <w:ind w:left="141"/>
              <w:rPr>
                <w:rFonts w:cs="Arial"/>
              </w:rPr>
            </w:pPr>
          </w:p>
          <w:p w14:paraId="15857FE4" w14:textId="77777777" w:rsidR="000D399E" w:rsidRPr="006871BD" w:rsidRDefault="000D399E" w:rsidP="00CA70CE">
            <w:pPr>
              <w:pStyle w:val="Tabletext"/>
              <w:ind w:left="141"/>
              <w:rPr>
                <w:color w:val="FF0000"/>
                <w:highlight w:val="yellow"/>
              </w:rPr>
            </w:pPr>
            <w:r w:rsidRPr="0068185D">
              <w:rPr>
                <w:rFonts w:cs="Arial"/>
              </w:rPr>
              <w:t>Risk is within appetite.</w:t>
            </w:r>
          </w:p>
        </w:tc>
      </w:tr>
      <w:tr w:rsidR="000D399E" w:rsidRPr="005F6D8A" w14:paraId="1A715833" w14:textId="77777777" w:rsidTr="00BA4E4C">
        <w:tc>
          <w:tcPr>
            <w:tcW w:w="1418" w:type="dxa"/>
            <w:tcBorders>
              <w:top w:val="single" w:sz="8" w:space="0" w:color="808080" w:themeColor="background1" w:themeShade="80"/>
              <w:bottom w:val="single" w:sz="8" w:space="0" w:color="808080" w:themeColor="background1" w:themeShade="80"/>
            </w:tcBorders>
            <w:vAlign w:val="top"/>
          </w:tcPr>
          <w:p w14:paraId="26F72FE1" w14:textId="77777777" w:rsidR="000D399E" w:rsidRPr="005F6D8A" w:rsidRDefault="000D399E" w:rsidP="00CA70CE">
            <w:pPr>
              <w:pStyle w:val="Tabletext"/>
              <w:rPr>
                <w:color w:val="FF0000"/>
                <w:highlight w:val="yellow"/>
              </w:rPr>
            </w:pPr>
            <w:r w:rsidRPr="006871BD">
              <w:rPr>
                <w:rFonts w:cs="Arial"/>
              </w:rPr>
              <w:t>8. Political and Regulatory</w:t>
            </w:r>
          </w:p>
        </w:tc>
        <w:tc>
          <w:tcPr>
            <w:tcW w:w="2977" w:type="dxa"/>
            <w:tcBorders>
              <w:top w:val="single" w:sz="8" w:space="0" w:color="808080" w:themeColor="background1" w:themeShade="80"/>
              <w:bottom w:val="single" w:sz="8" w:space="0" w:color="808080" w:themeColor="background1" w:themeShade="80"/>
            </w:tcBorders>
            <w:vAlign w:val="top"/>
          </w:tcPr>
          <w:p w14:paraId="73F48E52" w14:textId="77777777" w:rsidR="000D399E" w:rsidRDefault="000D399E" w:rsidP="00CA70CE">
            <w:pPr>
              <w:pStyle w:val="Tabletext"/>
              <w:ind w:left="146"/>
            </w:pPr>
            <w:r>
              <w:t xml:space="preserve">The Group could fail to anticipate significant political, legal, tax or regulatory changes, leading to a significant unforeseen financial or reputational impact. </w:t>
            </w:r>
          </w:p>
          <w:p w14:paraId="0804D9DA" w14:textId="77777777" w:rsidR="000D399E" w:rsidRDefault="000D399E" w:rsidP="00CA70CE">
            <w:pPr>
              <w:pStyle w:val="Tabletext"/>
              <w:ind w:left="146"/>
            </w:pPr>
            <w:r>
              <w:t xml:space="preserve">In general, regulatory matters present medium- to long-term risks with a medium likelihood of causing significant harm to the Group. </w:t>
            </w:r>
          </w:p>
          <w:p w14:paraId="3D262FA0" w14:textId="77777777" w:rsidR="000D399E" w:rsidRDefault="000D399E" w:rsidP="00CA70CE">
            <w:pPr>
              <w:pStyle w:val="Tabletext"/>
              <w:ind w:left="146"/>
            </w:pPr>
            <w:r>
              <w:t>Political risks could impact business confidence and conditions in the short and longer terms.</w:t>
            </w:r>
          </w:p>
          <w:p w14:paraId="7CFDE623" w14:textId="77777777" w:rsidR="000D399E" w:rsidRDefault="000D399E" w:rsidP="00CA70CE">
            <w:pPr>
              <w:pStyle w:val="Tabletext"/>
              <w:ind w:left="146"/>
              <w:rPr>
                <w:color w:val="FF0000"/>
              </w:rPr>
            </w:pPr>
          </w:p>
          <w:p w14:paraId="3372C4D3" w14:textId="77777777" w:rsidR="000D399E" w:rsidRPr="005F6D8A" w:rsidRDefault="000D399E" w:rsidP="00CA70CE">
            <w:pPr>
              <w:pStyle w:val="Tabletext"/>
              <w:ind w:left="146"/>
              <w:rPr>
                <w:color w:val="FF0000"/>
                <w:highlight w:val="yellow"/>
              </w:rPr>
            </w:pPr>
          </w:p>
        </w:tc>
        <w:tc>
          <w:tcPr>
            <w:tcW w:w="4394" w:type="dxa"/>
            <w:tcBorders>
              <w:top w:val="single" w:sz="8" w:space="0" w:color="808080" w:themeColor="background1" w:themeShade="80"/>
              <w:bottom w:val="single" w:sz="8" w:space="0" w:color="808080" w:themeColor="background1" w:themeShade="80"/>
            </w:tcBorders>
            <w:vAlign w:val="top"/>
          </w:tcPr>
          <w:p w14:paraId="54F5B316" w14:textId="77777777" w:rsidR="000D399E" w:rsidRDefault="000D399E" w:rsidP="00CA70CE">
            <w:pPr>
              <w:pStyle w:val="Tabletext"/>
              <w:ind w:left="147"/>
            </w:pPr>
            <w:r>
              <w:t xml:space="preserve">Legal and regulatory risks are reviewed regularly by the Executive Committee. Corporate heads of function consult with external advisers, attend industry and specialist briefings, and sit on key industry bodies such as EPRA and the British Property Federation. </w:t>
            </w:r>
          </w:p>
          <w:p w14:paraId="70E42410" w14:textId="77777777" w:rsidR="000D399E" w:rsidRDefault="000D399E" w:rsidP="00CA70CE">
            <w:pPr>
              <w:pStyle w:val="Tabletext"/>
              <w:ind w:left="147"/>
            </w:pPr>
            <w:r>
              <w:t xml:space="preserve">As the economic impact of the pandemic affects global economies, the likelihood of changes to taxation regulations increases. We continue to closely monitor the taxation regulations with our advisors to ensure changes which may impact the Group or our customers, are identified and addressed accordingly, in a timely fashion. </w:t>
            </w:r>
          </w:p>
          <w:p w14:paraId="7B48682E" w14:textId="77777777" w:rsidR="000D399E" w:rsidRDefault="000D399E" w:rsidP="00CA70CE">
            <w:pPr>
              <w:pStyle w:val="Tabletext"/>
              <w:ind w:left="147"/>
            </w:pPr>
          </w:p>
          <w:p w14:paraId="23D19BFB" w14:textId="77777777" w:rsidR="000D399E" w:rsidRPr="00BA4E4C" w:rsidRDefault="000D399E" w:rsidP="00CA70CE">
            <w:pPr>
              <w:pStyle w:val="Tabletext"/>
              <w:ind w:left="147"/>
              <w:rPr>
                <w:u w:val="single"/>
              </w:rPr>
            </w:pPr>
            <w:r w:rsidRPr="00BA4E4C">
              <w:rPr>
                <w:u w:val="single"/>
              </w:rPr>
              <w:t>Current year:</w:t>
            </w:r>
          </w:p>
          <w:p w14:paraId="3B59BBFC" w14:textId="77777777" w:rsidR="000D399E" w:rsidRPr="005F6D8A" w:rsidRDefault="000D399E" w:rsidP="00CA70CE">
            <w:pPr>
              <w:pStyle w:val="Tabletext"/>
              <w:ind w:left="147"/>
              <w:rPr>
                <w:color w:val="FF0000"/>
                <w:highlight w:val="yellow"/>
              </w:rPr>
            </w:pPr>
            <w:r>
              <w:t xml:space="preserve">The regulatory environment has been somewhat dynamic for a number of reasons including the UK leaving the EU and the impact of the pandemic. The Group continues to work closely with advisors to monitor changes in relevant legislation and regulations to ensure that they are identified and addressed appropriately. </w:t>
            </w:r>
          </w:p>
        </w:tc>
        <w:tc>
          <w:tcPr>
            <w:tcW w:w="1678" w:type="dxa"/>
            <w:tcBorders>
              <w:top w:val="single" w:sz="8" w:space="0" w:color="808080" w:themeColor="background1" w:themeShade="80"/>
              <w:bottom w:val="single" w:sz="8" w:space="0" w:color="808080" w:themeColor="background1" w:themeShade="80"/>
            </w:tcBorders>
            <w:shd w:val="clear" w:color="auto" w:fill="auto"/>
            <w:vAlign w:val="top"/>
          </w:tcPr>
          <w:p w14:paraId="7C8D772E" w14:textId="77777777" w:rsidR="000D399E" w:rsidRPr="0068185D" w:rsidRDefault="000D399E" w:rsidP="00CA70CE">
            <w:pPr>
              <w:pStyle w:val="Tabletext"/>
              <w:ind w:left="141"/>
              <w:rPr>
                <w:rFonts w:cs="Arial"/>
                <w:u w:val="single"/>
              </w:rPr>
            </w:pPr>
            <w:r w:rsidRPr="0068185D">
              <w:rPr>
                <w:rFonts w:cs="Arial"/>
                <w:u w:val="single"/>
              </w:rPr>
              <w:t>Impact on strategy:</w:t>
            </w:r>
          </w:p>
          <w:p w14:paraId="5A22083C" w14:textId="77777777" w:rsidR="000D399E" w:rsidRPr="0068185D" w:rsidRDefault="000D399E" w:rsidP="00CA70CE">
            <w:pPr>
              <w:pStyle w:val="Tabletext"/>
              <w:ind w:left="141"/>
              <w:rPr>
                <w:rFonts w:cs="Arial"/>
              </w:rPr>
            </w:pPr>
            <w:r w:rsidRPr="0068185D">
              <w:rPr>
                <w:rFonts w:cs="Arial"/>
              </w:rPr>
              <w:t xml:space="preserve">Efficient Capital and Corporate Structure </w:t>
            </w:r>
          </w:p>
          <w:p w14:paraId="66A2CE9F" w14:textId="77777777" w:rsidR="000D399E" w:rsidRPr="0068185D" w:rsidRDefault="000D399E" w:rsidP="00CA70CE">
            <w:pPr>
              <w:pStyle w:val="Tabletext"/>
              <w:ind w:left="141"/>
              <w:rPr>
                <w:rFonts w:cs="Arial"/>
              </w:rPr>
            </w:pPr>
          </w:p>
          <w:p w14:paraId="0EDD8806" w14:textId="77777777" w:rsidR="000D399E" w:rsidRPr="0068185D" w:rsidRDefault="000D399E" w:rsidP="00CA70CE">
            <w:pPr>
              <w:pStyle w:val="Tabletext"/>
              <w:ind w:left="141"/>
              <w:rPr>
                <w:rFonts w:cs="Arial"/>
                <w:u w:val="single"/>
              </w:rPr>
            </w:pPr>
            <w:r w:rsidRPr="0068185D">
              <w:rPr>
                <w:rFonts w:cs="Arial"/>
                <w:u w:val="single"/>
              </w:rPr>
              <w:t xml:space="preserve">Change in 2021: </w:t>
            </w:r>
          </w:p>
          <w:p w14:paraId="63B814FC" w14:textId="77777777" w:rsidR="000D399E" w:rsidRPr="0068185D" w:rsidRDefault="000D399E" w:rsidP="00CA70CE">
            <w:pPr>
              <w:pStyle w:val="Tabletext"/>
              <w:ind w:left="141"/>
              <w:rPr>
                <w:rFonts w:cs="Arial"/>
              </w:rPr>
            </w:pPr>
            <w:r w:rsidRPr="0068185D">
              <w:rPr>
                <w:rFonts w:cs="Arial"/>
              </w:rPr>
              <w:t>Similar risk</w:t>
            </w:r>
          </w:p>
          <w:p w14:paraId="2809FA57" w14:textId="77777777" w:rsidR="000D399E" w:rsidRPr="0068185D" w:rsidRDefault="000D399E" w:rsidP="00CA70CE">
            <w:pPr>
              <w:pStyle w:val="Tabletext"/>
              <w:ind w:left="141"/>
              <w:rPr>
                <w:rFonts w:cs="Arial"/>
              </w:rPr>
            </w:pPr>
          </w:p>
          <w:p w14:paraId="21D59993" w14:textId="77777777" w:rsidR="000D399E" w:rsidRPr="006871BD" w:rsidRDefault="000D399E" w:rsidP="00CA70CE">
            <w:pPr>
              <w:pStyle w:val="Tabletext"/>
              <w:ind w:left="141"/>
              <w:rPr>
                <w:color w:val="FF0000"/>
                <w:highlight w:val="yellow"/>
              </w:rPr>
            </w:pPr>
            <w:r w:rsidRPr="0068185D">
              <w:rPr>
                <w:rFonts w:cs="Arial"/>
              </w:rPr>
              <w:t>Risk is within appetite.</w:t>
            </w:r>
          </w:p>
        </w:tc>
      </w:tr>
      <w:tr w:rsidR="000D399E" w:rsidRPr="005F6D8A" w14:paraId="0B78209D" w14:textId="77777777" w:rsidTr="00BA4E4C">
        <w:tc>
          <w:tcPr>
            <w:tcW w:w="1418" w:type="dxa"/>
            <w:vAlign w:val="top"/>
          </w:tcPr>
          <w:p w14:paraId="09514E0F" w14:textId="77777777" w:rsidR="000D399E" w:rsidRPr="005F6D8A" w:rsidRDefault="000D399E" w:rsidP="00CA70CE">
            <w:pPr>
              <w:pStyle w:val="Tabletext"/>
              <w:rPr>
                <w:color w:val="FF0000"/>
                <w:highlight w:val="yellow"/>
              </w:rPr>
            </w:pPr>
            <w:r w:rsidRPr="006871BD">
              <w:rPr>
                <w:rFonts w:cs="Arial"/>
              </w:rPr>
              <w:t>9. Operational delivery and compliance</w:t>
            </w:r>
          </w:p>
        </w:tc>
        <w:tc>
          <w:tcPr>
            <w:tcW w:w="2977" w:type="dxa"/>
            <w:vAlign w:val="top"/>
          </w:tcPr>
          <w:p w14:paraId="0F2C4B67" w14:textId="77777777" w:rsidR="000D399E" w:rsidRDefault="000D399E" w:rsidP="00CA70CE">
            <w:pPr>
              <w:pStyle w:val="Tabletext"/>
              <w:ind w:left="146"/>
            </w:pPr>
            <w:r>
              <w:t xml:space="preserve">The Group’s ability to protect its reputation, revenues and shareholder value could be damaged by operational failures such as: failing to attract, retain and motivate key staff; major customer default; supply chain failure or the structural failure of one of our assets. Compliance failures, such as breaches of joint venture shareholders’ agreements, loan agreements or tax legislation could also damage reputation, revenue and shareholder value. </w:t>
            </w:r>
          </w:p>
          <w:p w14:paraId="31555981" w14:textId="77777777" w:rsidR="000D399E" w:rsidRPr="005F6D8A" w:rsidRDefault="000D399E" w:rsidP="00CA70CE">
            <w:pPr>
              <w:pStyle w:val="Tabletext"/>
              <w:ind w:left="146"/>
              <w:rPr>
                <w:color w:val="FF0000"/>
                <w:highlight w:val="yellow"/>
              </w:rPr>
            </w:pPr>
          </w:p>
        </w:tc>
        <w:tc>
          <w:tcPr>
            <w:tcW w:w="4394" w:type="dxa"/>
            <w:vAlign w:val="top"/>
          </w:tcPr>
          <w:p w14:paraId="32576E59" w14:textId="77777777" w:rsidR="000D399E" w:rsidRDefault="000D399E" w:rsidP="00CA70CE">
            <w:pPr>
              <w:pStyle w:val="Tabletext"/>
              <w:ind w:left="147"/>
            </w:pPr>
            <w:r>
              <w:t xml:space="preserve">The Group maintains a strong focus on Operational Excellence. The Executive, Operations, and Technology Committees regularly monitor the range of risks to property management, compliance, organisational effectiveness and customer management. </w:t>
            </w:r>
          </w:p>
          <w:p w14:paraId="5F3126EB" w14:textId="77777777" w:rsidR="000D399E" w:rsidRDefault="000D399E" w:rsidP="00CA70CE">
            <w:pPr>
              <w:pStyle w:val="Tabletext"/>
              <w:ind w:left="147"/>
            </w:pPr>
            <w:r>
              <w:t xml:space="preserve">The Group’s tax compliance is managed by an experienced internal tax team. REIT and SIIC tax regime compliance is demonstrated at least bi-annually. Compliance with joint venture shareholder agreements is managed by experienced property operations, finance and legal employees. The SELP joint venture additionally has comprehensive governance and compliance arrangements in place, including dedicated management, operating manuals, and specialist third party compliance support. </w:t>
            </w:r>
          </w:p>
          <w:p w14:paraId="7BAEF65C" w14:textId="77777777" w:rsidR="000D399E" w:rsidRDefault="000D399E" w:rsidP="00CA70CE">
            <w:pPr>
              <w:pStyle w:val="Tabletext"/>
              <w:ind w:left="147"/>
            </w:pPr>
            <w:r>
              <w:t>Our HR team is responsible for our organisational resilience ensuring the correct organisational structure and culture is in place to support the business and attract, retain and motivate a suitably talented workforce.</w:t>
            </w:r>
          </w:p>
          <w:p w14:paraId="022E2455" w14:textId="77777777" w:rsidR="000D399E" w:rsidRDefault="000D399E" w:rsidP="00CA70CE">
            <w:pPr>
              <w:pStyle w:val="Tabletext"/>
              <w:ind w:left="147"/>
            </w:pPr>
          </w:p>
          <w:p w14:paraId="3F347C90" w14:textId="77777777" w:rsidR="000D399E" w:rsidRPr="00BA4E4C" w:rsidRDefault="000D399E" w:rsidP="00CA70CE">
            <w:pPr>
              <w:pStyle w:val="Tabletext"/>
              <w:ind w:left="147"/>
              <w:rPr>
                <w:u w:val="single"/>
              </w:rPr>
            </w:pPr>
            <w:r w:rsidRPr="00BA4E4C">
              <w:rPr>
                <w:u w:val="single"/>
              </w:rPr>
              <w:t>Current year:</w:t>
            </w:r>
          </w:p>
          <w:p w14:paraId="7611B9B2" w14:textId="01F98697" w:rsidR="000D399E" w:rsidRPr="005F6D8A" w:rsidRDefault="000D399E">
            <w:pPr>
              <w:pStyle w:val="Tabletext"/>
              <w:ind w:left="147"/>
              <w:rPr>
                <w:color w:val="FF0000"/>
                <w:highlight w:val="yellow"/>
              </w:rPr>
            </w:pPr>
            <w:r>
              <w:t>During the year, the working life of staff has continued to be impacted and we have continually monitored the organisational resilience to respond to this, for example, ensuring that staff have the ability and resources to work away from the office for sustained periods, and that the resilience and the security of our technology systems is fully maintained.</w:t>
            </w:r>
            <w:r w:rsidRPr="005F6D8A">
              <w:rPr>
                <w:color w:val="FF0000"/>
              </w:rPr>
              <w:t xml:space="preserve"> </w:t>
            </w:r>
          </w:p>
        </w:tc>
        <w:tc>
          <w:tcPr>
            <w:tcW w:w="1678" w:type="dxa"/>
            <w:vAlign w:val="top"/>
          </w:tcPr>
          <w:p w14:paraId="210DCC97" w14:textId="77777777" w:rsidR="000D399E" w:rsidRPr="0068185D" w:rsidRDefault="000D399E" w:rsidP="00CA70CE">
            <w:pPr>
              <w:pStyle w:val="Tabletext"/>
              <w:ind w:left="141"/>
              <w:rPr>
                <w:rFonts w:cs="Arial"/>
                <w:u w:val="single"/>
              </w:rPr>
            </w:pPr>
            <w:r w:rsidRPr="0068185D">
              <w:rPr>
                <w:rFonts w:cs="Arial"/>
                <w:u w:val="single"/>
              </w:rPr>
              <w:t>Impact on strategy:</w:t>
            </w:r>
          </w:p>
          <w:p w14:paraId="296E7820" w14:textId="77777777" w:rsidR="000D399E" w:rsidRPr="0068185D" w:rsidRDefault="000D399E" w:rsidP="00CA70CE">
            <w:pPr>
              <w:pStyle w:val="Tabletext"/>
              <w:ind w:left="141"/>
              <w:rPr>
                <w:rFonts w:cs="Arial"/>
              </w:rPr>
            </w:pPr>
            <w:r w:rsidRPr="0068185D">
              <w:rPr>
                <w:rFonts w:cs="Arial"/>
              </w:rPr>
              <w:t xml:space="preserve">Operational Excellence </w:t>
            </w:r>
          </w:p>
          <w:p w14:paraId="0E03311B" w14:textId="77777777" w:rsidR="000D399E" w:rsidRPr="0068185D" w:rsidRDefault="000D399E" w:rsidP="00CA70CE">
            <w:pPr>
              <w:pStyle w:val="Tabletext"/>
              <w:ind w:left="141"/>
              <w:rPr>
                <w:rFonts w:cs="Arial"/>
              </w:rPr>
            </w:pPr>
          </w:p>
          <w:p w14:paraId="2B7F853E" w14:textId="77777777" w:rsidR="000D399E" w:rsidRPr="0068185D" w:rsidRDefault="000D399E" w:rsidP="00CA70CE">
            <w:pPr>
              <w:pStyle w:val="Tabletext"/>
              <w:ind w:left="141"/>
              <w:rPr>
                <w:rFonts w:cs="Arial"/>
                <w:u w:val="single"/>
              </w:rPr>
            </w:pPr>
            <w:r w:rsidRPr="0068185D">
              <w:rPr>
                <w:rFonts w:cs="Arial"/>
                <w:u w:val="single"/>
              </w:rPr>
              <w:t xml:space="preserve">Change in 2021: </w:t>
            </w:r>
          </w:p>
          <w:p w14:paraId="56276A59" w14:textId="77777777" w:rsidR="000D399E" w:rsidRPr="0068185D" w:rsidRDefault="000D399E" w:rsidP="00CA70CE">
            <w:pPr>
              <w:pStyle w:val="Tabletext"/>
              <w:ind w:left="141"/>
              <w:rPr>
                <w:rFonts w:cs="Arial"/>
              </w:rPr>
            </w:pPr>
            <w:r w:rsidRPr="0068185D">
              <w:rPr>
                <w:rFonts w:cs="Arial"/>
              </w:rPr>
              <w:t>Similar risk</w:t>
            </w:r>
          </w:p>
          <w:p w14:paraId="4127B578" w14:textId="77777777" w:rsidR="000D399E" w:rsidRPr="0068185D" w:rsidRDefault="000D399E" w:rsidP="00CA70CE">
            <w:pPr>
              <w:pStyle w:val="Tabletext"/>
              <w:ind w:left="141"/>
              <w:rPr>
                <w:rFonts w:cs="Arial"/>
              </w:rPr>
            </w:pPr>
          </w:p>
          <w:p w14:paraId="2B698DF8" w14:textId="77777777" w:rsidR="000D399E" w:rsidRPr="006871BD" w:rsidRDefault="000D399E" w:rsidP="00CA70CE">
            <w:pPr>
              <w:pStyle w:val="Tabletext"/>
              <w:ind w:left="141"/>
              <w:rPr>
                <w:color w:val="FF0000"/>
                <w:highlight w:val="yellow"/>
              </w:rPr>
            </w:pPr>
            <w:r w:rsidRPr="0068185D">
              <w:rPr>
                <w:rFonts w:cs="Arial"/>
              </w:rPr>
              <w:t>Risk is within appetite.</w:t>
            </w:r>
          </w:p>
        </w:tc>
      </w:tr>
    </w:tbl>
    <w:p w14:paraId="7EB815BB" w14:textId="77777777" w:rsidR="000D399E" w:rsidRPr="005F6D8A" w:rsidRDefault="000D399E" w:rsidP="005E793C">
      <w:pPr>
        <w:rPr>
          <w:color w:val="FF0000"/>
          <w:highlight w:val="yellow"/>
        </w:rPr>
      </w:pPr>
    </w:p>
    <w:p w14:paraId="2B54184C" w14:textId="77777777" w:rsidR="005E793C" w:rsidRPr="005F6D8A" w:rsidRDefault="005E793C" w:rsidP="005E793C">
      <w:pPr>
        <w:rPr>
          <w:color w:val="FF0000"/>
          <w:highlight w:val="yellow"/>
        </w:rPr>
      </w:pPr>
    </w:p>
    <w:p w14:paraId="410009DF" w14:textId="77777777" w:rsidR="00501C7A" w:rsidRPr="0068185D" w:rsidRDefault="00501C7A" w:rsidP="00501C7A">
      <w:pPr>
        <w:pStyle w:val="Heading1"/>
      </w:pPr>
      <w:r w:rsidRPr="0068185D">
        <w:t>RESPONSIBILITY STATEMENT</w:t>
      </w:r>
    </w:p>
    <w:p w14:paraId="39877FD0" w14:textId="77777777" w:rsidR="00501C7A" w:rsidRPr="0068185D" w:rsidRDefault="00501C7A" w:rsidP="00501C7A">
      <w:pPr>
        <w:pStyle w:val="Normal1"/>
      </w:pPr>
      <w:r w:rsidRPr="0068185D">
        <w:t>The Statement of Directors’ Responsibilities below has been prepared in connection with the Company’s full Annual Report and Accounts for the year ended 31 December 2021. Certain parts of the Annual Report and Accounts have not been included in this announcement as set out in Note 1 to the condensed financial information.</w:t>
      </w:r>
    </w:p>
    <w:p w14:paraId="1E3F1333" w14:textId="77777777" w:rsidR="00501C7A" w:rsidRPr="0068185D" w:rsidRDefault="00501C7A" w:rsidP="00501C7A">
      <w:pPr>
        <w:pStyle w:val="Normal1"/>
      </w:pPr>
      <w:r w:rsidRPr="0068185D">
        <w:t>The Directors consider that the annual report and accounts, taken as a whole, is fair, balanced and understandable and provides the information necessary for shareholders to assess a Company’s position and performance, business model and strategy.</w:t>
      </w:r>
    </w:p>
    <w:p w14:paraId="74D04DB0" w14:textId="77777777" w:rsidR="00501C7A" w:rsidRPr="0068185D" w:rsidRDefault="00501C7A" w:rsidP="00501C7A">
      <w:pPr>
        <w:pStyle w:val="Normal1"/>
      </w:pPr>
      <w:r w:rsidRPr="0068185D">
        <w:t>Each of the Directors, whose names and functions are listed in the Governance section of the Annual Report confirm that, to the best of their knowledge:</w:t>
      </w:r>
    </w:p>
    <w:p w14:paraId="764141AF" w14:textId="1FE1FC31" w:rsidR="00501C7A" w:rsidRPr="0068185D" w:rsidRDefault="00501C7A" w:rsidP="00501C7A">
      <w:pPr>
        <w:pStyle w:val="Normal1"/>
        <w:ind w:left="720" w:hanging="720"/>
      </w:pPr>
      <w:r w:rsidRPr="0068185D">
        <w:t>(a)</w:t>
      </w:r>
      <w:r w:rsidRPr="0068185D">
        <w:tab/>
        <w:t xml:space="preserve">the Group financial statements, which have been prepared in accordance with </w:t>
      </w:r>
      <w:r w:rsidRPr="00501C7A">
        <w:t xml:space="preserve">UK-adopted international accounting standards </w:t>
      </w:r>
      <w:r w:rsidR="00702017">
        <w:t xml:space="preserve">and with the requirements of the Companies Act 2006 as applicable to companies reporting under those standards </w:t>
      </w:r>
      <w:r w:rsidRPr="00501C7A">
        <w:t>and international financial reporting standards adopted pursuant to Regulation (EC) No 1606/2002 as it applies in the European Union</w:t>
      </w:r>
      <w:r w:rsidRPr="0068185D">
        <w:t>, give a true and fair view of the assets, liabilities, financial position and profit or loss of the Group; and</w:t>
      </w:r>
    </w:p>
    <w:p w14:paraId="4081D461" w14:textId="77777777" w:rsidR="00501C7A" w:rsidRPr="0068185D" w:rsidRDefault="00501C7A" w:rsidP="00501C7A">
      <w:pPr>
        <w:pStyle w:val="Normal1"/>
        <w:ind w:left="720" w:hanging="720"/>
      </w:pPr>
      <w:r w:rsidRPr="0068185D">
        <w:t>(b)</w:t>
      </w:r>
      <w:r w:rsidRPr="0068185D">
        <w:tab/>
        <w:t>the Strategic Report includes a fair review of the development and performance of the business and the position of the Group, together with a description of the principal risks and uncertainties that it faces.</w:t>
      </w:r>
    </w:p>
    <w:p w14:paraId="4FBD662D" w14:textId="77777777" w:rsidR="00501C7A" w:rsidRPr="0068185D" w:rsidRDefault="00501C7A" w:rsidP="00501C7A"/>
    <w:p w14:paraId="3005BD7E" w14:textId="77777777" w:rsidR="00501C7A" w:rsidRPr="0068185D" w:rsidRDefault="00501C7A" w:rsidP="00501C7A">
      <w:pPr>
        <w:pStyle w:val="Normal1"/>
      </w:pPr>
      <w:r w:rsidRPr="0068185D">
        <w:t>The responsibility statement was approved by the Board of Directors on 17 February 2022 and signed on its behalf by:</w:t>
      </w:r>
    </w:p>
    <w:p w14:paraId="674348E3" w14:textId="77777777" w:rsidR="00501C7A" w:rsidRPr="0068185D" w:rsidRDefault="00501C7A" w:rsidP="00501C7A">
      <w:pPr>
        <w:pStyle w:val="Normal1"/>
      </w:pPr>
    </w:p>
    <w:p w14:paraId="1B501C8F" w14:textId="77777777" w:rsidR="00501C7A" w:rsidRPr="0068185D" w:rsidRDefault="00501C7A" w:rsidP="00501C7A">
      <w:pPr>
        <w:pStyle w:val="Normal1"/>
      </w:pPr>
    </w:p>
    <w:p w14:paraId="6B646998" w14:textId="77777777" w:rsidR="00501C7A" w:rsidRPr="0068185D" w:rsidRDefault="00501C7A" w:rsidP="00501C7A">
      <w:pPr>
        <w:pStyle w:val="Normal1"/>
        <w:rPr>
          <w:rFonts w:cs="Arial"/>
        </w:rPr>
      </w:pPr>
    </w:p>
    <w:p w14:paraId="0633EFA6" w14:textId="77777777" w:rsidR="00501C7A" w:rsidRPr="0068185D" w:rsidRDefault="00501C7A" w:rsidP="00501C7A">
      <w:pPr>
        <w:pStyle w:val="Normal1"/>
        <w:rPr>
          <w:rFonts w:cs="Arial"/>
          <w:b/>
        </w:rPr>
      </w:pPr>
      <w:r w:rsidRPr="0068185D">
        <w:rPr>
          <w:rFonts w:cs="Arial"/>
          <w:b/>
        </w:rPr>
        <w:t xml:space="preserve">David Sleath </w:t>
      </w:r>
      <w:r w:rsidRPr="0068185D">
        <w:rPr>
          <w:rFonts w:cs="Arial"/>
          <w:b/>
        </w:rPr>
        <w:tab/>
      </w:r>
      <w:r w:rsidRPr="0068185D">
        <w:rPr>
          <w:rFonts w:cs="Arial"/>
          <w:b/>
        </w:rPr>
        <w:tab/>
      </w:r>
      <w:r w:rsidRPr="0068185D">
        <w:rPr>
          <w:rFonts w:cs="Arial"/>
          <w:b/>
        </w:rPr>
        <w:tab/>
      </w:r>
      <w:r w:rsidRPr="0068185D">
        <w:rPr>
          <w:rFonts w:cs="Arial"/>
          <w:b/>
        </w:rPr>
        <w:tab/>
      </w:r>
      <w:r w:rsidRPr="0068185D">
        <w:rPr>
          <w:rFonts w:cs="Arial"/>
          <w:b/>
        </w:rPr>
        <w:tab/>
      </w:r>
      <w:r w:rsidRPr="0068185D">
        <w:rPr>
          <w:rFonts w:cs="Arial"/>
          <w:b/>
        </w:rPr>
        <w:tab/>
      </w:r>
      <w:r w:rsidRPr="0068185D">
        <w:rPr>
          <w:rFonts w:cs="Arial"/>
          <w:b/>
        </w:rPr>
        <w:tab/>
        <w:t>Soumen Das</w:t>
      </w:r>
    </w:p>
    <w:p w14:paraId="117D5780" w14:textId="77777777" w:rsidR="00501C7A" w:rsidRPr="0068185D" w:rsidRDefault="00501C7A" w:rsidP="00501C7A">
      <w:pPr>
        <w:pStyle w:val="Normal1"/>
        <w:rPr>
          <w:rFonts w:cs="Arial"/>
        </w:rPr>
      </w:pPr>
      <w:r w:rsidRPr="0068185D">
        <w:rPr>
          <w:rFonts w:cs="Arial"/>
        </w:rPr>
        <w:t xml:space="preserve">Chief Executive </w:t>
      </w:r>
      <w:r w:rsidRPr="0068185D">
        <w:rPr>
          <w:rFonts w:cs="Arial"/>
        </w:rPr>
        <w:tab/>
      </w:r>
      <w:r w:rsidRPr="0068185D">
        <w:rPr>
          <w:rFonts w:cs="Arial"/>
        </w:rPr>
        <w:tab/>
      </w:r>
      <w:r w:rsidRPr="0068185D">
        <w:rPr>
          <w:rFonts w:cs="Arial"/>
        </w:rPr>
        <w:tab/>
      </w:r>
      <w:r w:rsidRPr="0068185D">
        <w:rPr>
          <w:rFonts w:cs="Arial"/>
        </w:rPr>
        <w:tab/>
      </w:r>
      <w:r w:rsidRPr="0068185D">
        <w:rPr>
          <w:rFonts w:cs="Arial"/>
        </w:rPr>
        <w:tab/>
      </w:r>
      <w:r w:rsidRPr="0068185D">
        <w:rPr>
          <w:rFonts w:cs="Arial"/>
        </w:rPr>
        <w:tab/>
        <w:t>Chief Financial Officer</w:t>
      </w:r>
    </w:p>
    <w:p w14:paraId="109272B7" w14:textId="0D14B88A" w:rsidR="00501C7A" w:rsidRPr="0068185D" w:rsidRDefault="00501C7A" w:rsidP="00501C7A">
      <w:pPr>
        <w:pStyle w:val="Normal1"/>
        <w:rPr>
          <w:rFonts w:cs="Arial"/>
        </w:rPr>
      </w:pPr>
      <w:r w:rsidRPr="0068185D">
        <w:rPr>
          <w:rFonts w:cs="Arial"/>
        </w:rPr>
        <w:t xml:space="preserve">17 February 2022 </w:t>
      </w:r>
      <w:r w:rsidRPr="0068185D">
        <w:rPr>
          <w:rFonts w:cs="Arial"/>
        </w:rPr>
        <w:tab/>
      </w:r>
      <w:r w:rsidRPr="0068185D">
        <w:rPr>
          <w:rFonts w:cs="Arial"/>
        </w:rPr>
        <w:tab/>
      </w:r>
      <w:r w:rsidRPr="0068185D">
        <w:rPr>
          <w:rFonts w:cs="Arial"/>
        </w:rPr>
        <w:tab/>
      </w:r>
      <w:r w:rsidRPr="0068185D">
        <w:rPr>
          <w:rFonts w:cs="Arial"/>
        </w:rPr>
        <w:tab/>
      </w:r>
      <w:r w:rsidRPr="0068185D">
        <w:rPr>
          <w:rFonts w:cs="Arial"/>
        </w:rPr>
        <w:tab/>
      </w:r>
      <w:r w:rsidRPr="0068185D">
        <w:rPr>
          <w:rFonts w:cs="Arial"/>
        </w:rPr>
        <w:tab/>
        <w:t>1</w:t>
      </w:r>
      <w:r w:rsidR="00F252A5">
        <w:rPr>
          <w:rFonts w:cs="Arial"/>
        </w:rPr>
        <w:t>7</w:t>
      </w:r>
      <w:r w:rsidRPr="0068185D">
        <w:rPr>
          <w:rFonts w:cs="Arial"/>
        </w:rPr>
        <w:t xml:space="preserve"> February 2022</w:t>
      </w:r>
    </w:p>
    <w:p w14:paraId="22235852" w14:textId="77777777" w:rsidR="00501C7A" w:rsidRDefault="00501C7A" w:rsidP="005E793C">
      <w:pPr>
        <w:pStyle w:val="Heading1"/>
        <w:rPr>
          <w:color w:val="FF0000"/>
          <w:highlight w:val="yellow"/>
        </w:rPr>
      </w:pPr>
    </w:p>
    <w:p w14:paraId="7FBB892F" w14:textId="77777777" w:rsidR="005E793C" w:rsidRPr="005F6D8A" w:rsidRDefault="005E793C" w:rsidP="005E793C">
      <w:pPr>
        <w:pStyle w:val="HEADER20"/>
        <w:rPr>
          <w:color w:val="FF0000"/>
          <w:highlight w:val="yellow"/>
        </w:rPr>
      </w:pPr>
      <w:bookmarkStart w:id="3" w:name="bookmark-name-166_⚫"/>
      <w:bookmarkStart w:id="4" w:name="bookmark-name-172_⚫"/>
      <w:bookmarkStart w:id="5" w:name="bookmark-name-195_⚫"/>
      <w:bookmarkStart w:id="6" w:name="bookmark-name-204_⚫"/>
      <w:bookmarkStart w:id="7" w:name="bookmark-name-298_⚫"/>
      <w:bookmarkStart w:id="8" w:name="bookmark-name-335_⚫"/>
      <w:bookmarkEnd w:id="3"/>
      <w:bookmarkEnd w:id="4"/>
      <w:bookmarkEnd w:id="5"/>
      <w:bookmarkEnd w:id="6"/>
      <w:bookmarkEnd w:id="7"/>
      <w:bookmarkEnd w:id="8"/>
    </w:p>
    <w:p w14:paraId="588ADF09" w14:textId="77777777" w:rsidR="005E793C" w:rsidRPr="005F6D8A" w:rsidRDefault="005E793C" w:rsidP="005E793C">
      <w:pPr>
        <w:rPr>
          <w:color w:val="FF0000"/>
          <w:szCs w:val="20"/>
          <w:highlight w:val="yellow"/>
        </w:rPr>
      </w:pPr>
    </w:p>
    <w:p w14:paraId="629B4BFC" w14:textId="77777777" w:rsidR="005E793C" w:rsidRPr="005F6D8A" w:rsidRDefault="005E793C" w:rsidP="005E793C">
      <w:pPr>
        <w:pStyle w:val="Normal1"/>
        <w:rPr>
          <w:color w:val="FF0000"/>
          <w:highlight w:val="yellow"/>
        </w:rPr>
      </w:pPr>
    </w:p>
    <w:p w14:paraId="7ABEFC14" w14:textId="77777777" w:rsidR="005E793C" w:rsidRPr="005F6D8A" w:rsidRDefault="005E793C" w:rsidP="005E793C">
      <w:pPr>
        <w:pStyle w:val="Normal1"/>
        <w:rPr>
          <w:color w:val="FF0000"/>
          <w:highlight w:val="yellow"/>
        </w:rPr>
      </w:pPr>
    </w:p>
    <w:p w14:paraId="0BD97CEF" w14:textId="77777777" w:rsidR="005E793C" w:rsidRPr="005F6D8A" w:rsidRDefault="005E793C" w:rsidP="005E793C">
      <w:pPr>
        <w:pStyle w:val="Normal1"/>
        <w:rPr>
          <w:color w:val="FF0000"/>
          <w:highlight w:val="yellow"/>
        </w:rPr>
      </w:pPr>
    </w:p>
    <w:p w14:paraId="319AA56E" w14:textId="77777777" w:rsidR="005E793C" w:rsidRPr="005F6D8A" w:rsidRDefault="005E793C" w:rsidP="005E793C">
      <w:pPr>
        <w:pStyle w:val="Normal1"/>
        <w:rPr>
          <w:color w:val="FF0000"/>
          <w:highlight w:val="yellow"/>
        </w:rPr>
      </w:pPr>
    </w:p>
    <w:p w14:paraId="14C9472D" w14:textId="77777777" w:rsidR="005E793C" w:rsidRPr="005F6D8A" w:rsidRDefault="005E793C" w:rsidP="005E793C">
      <w:pPr>
        <w:pStyle w:val="Normal1"/>
        <w:rPr>
          <w:color w:val="FF0000"/>
          <w:highlight w:val="yellow"/>
        </w:rPr>
      </w:pPr>
    </w:p>
    <w:p w14:paraId="08BC5780" w14:textId="77777777" w:rsidR="005E793C" w:rsidRPr="005F6D8A" w:rsidRDefault="005E793C" w:rsidP="005E793C">
      <w:pPr>
        <w:pStyle w:val="Normal1"/>
        <w:rPr>
          <w:color w:val="FF0000"/>
          <w:highlight w:val="yellow"/>
        </w:rPr>
      </w:pPr>
    </w:p>
    <w:p w14:paraId="3C758E49" w14:textId="77777777" w:rsidR="005E793C" w:rsidRPr="005F6D8A" w:rsidRDefault="005E793C" w:rsidP="005E793C">
      <w:pPr>
        <w:pStyle w:val="Normal1"/>
        <w:rPr>
          <w:color w:val="FF0000"/>
          <w:highlight w:val="yellow"/>
        </w:rPr>
      </w:pPr>
    </w:p>
    <w:p w14:paraId="04E0569F" w14:textId="77777777" w:rsidR="005E793C" w:rsidRPr="005F6D8A" w:rsidRDefault="005E793C" w:rsidP="005E793C">
      <w:pPr>
        <w:pStyle w:val="Normal1"/>
        <w:rPr>
          <w:color w:val="FF0000"/>
          <w:highlight w:val="yellow"/>
        </w:rPr>
      </w:pPr>
    </w:p>
    <w:p w14:paraId="2D67CBE8" w14:textId="77777777" w:rsidR="005E793C" w:rsidRPr="005F6D8A" w:rsidRDefault="005E793C" w:rsidP="005E793C">
      <w:pPr>
        <w:pStyle w:val="Normal1"/>
        <w:rPr>
          <w:color w:val="FF0000"/>
          <w:highlight w:val="yellow"/>
        </w:rPr>
      </w:pPr>
    </w:p>
    <w:p w14:paraId="3E72D758" w14:textId="08AFFF71" w:rsidR="005E793C" w:rsidRPr="00215F2B" w:rsidRDefault="005E793C" w:rsidP="005E793C">
      <w:pPr>
        <w:pStyle w:val="Heading2"/>
      </w:pPr>
      <w:r w:rsidRPr="00215F2B">
        <w:lastRenderedPageBreak/>
        <w:t xml:space="preserve">CONDENSED GROUP INCOME STATEMENT </w:t>
      </w:r>
    </w:p>
    <w:p w14:paraId="56BC1572" w14:textId="35C99200" w:rsidR="005E793C" w:rsidRPr="00215F2B" w:rsidRDefault="005E793C" w:rsidP="005E793C">
      <w:pPr>
        <w:pStyle w:val="Heading3"/>
        <w:rPr>
          <w:szCs w:val="20"/>
        </w:rPr>
      </w:pPr>
      <w:r w:rsidRPr="00215F2B">
        <w:rPr>
          <w:szCs w:val="20"/>
        </w:rPr>
        <w:t>For the year ended 31 December 20</w:t>
      </w:r>
      <w:r w:rsidR="009D2D76" w:rsidRPr="00215F2B">
        <w:rPr>
          <w:szCs w:val="20"/>
        </w:rPr>
        <w:t>2</w:t>
      </w:r>
      <w:r w:rsidR="00215F2B" w:rsidRPr="00215F2B">
        <w:rPr>
          <w:szCs w:val="20"/>
        </w:rPr>
        <w:t>1</w:t>
      </w:r>
    </w:p>
    <w:tbl>
      <w:tblPr>
        <w:tblW w:w="10206" w:type="dxa"/>
        <w:tblLayout w:type="fixed"/>
        <w:tblCellMar>
          <w:left w:w="0" w:type="dxa"/>
          <w:right w:w="0" w:type="dxa"/>
        </w:tblCellMar>
        <w:tblLook w:val="01E0" w:firstRow="1" w:lastRow="1" w:firstColumn="1" w:lastColumn="1" w:noHBand="0" w:noVBand="0"/>
      </w:tblPr>
      <w:tblGrid>
        <w:gridCol w:w="6010"/>
        <w:gridCol w:w="1134"/>
        <w:gridCol w:w="794"/>
        <w:gridCol w:w="1134"/>
        <w:gridCol w:w="1134"/>
      </w:tblGrid>
      <w:tr w:rsidR="005F6D8A" w:rsidRPr="00215F2B" w14:paraId="563A6E15" w14:textId="77777777" w:rsidTr="009D2D76">
        <w:tc>
          <w:tcPr>
            <w:tcW w:w="6010" w:type="dxa"/>
            <w:tcBorders>
              <w:bottom w:val="single" w:sz="8" w:space="0" w:color="808080" w:themeColor="background1" w:themeShade="80"/>
            </w:tcBorders>
            <w:shd w:val="clear" w:color="auto" w:fill="auto"/>
            <w:vAlign w:val="bottom"/>
          </w:tcPr>
          <w:p w14:paraId="088FA563" w14:textId="77777777" w:rsidR="009D2D76" w:rsidRPr="00215F2B" w:rsidRDefault="009D2D76" w:rsidP="009D2D76">
            <w:pPr>
              <w:pStyle w:val="TableColHeads"/>
              <w:spacing w:line="180" w:lineRule="exact"/>
            </w:pPr>
          </w:p>
        </w:tc>
        <w:tc>
          <w:tcPr>
            <w:tcW w:w="1134" w:type="dxa"/>
            <w:tcBorders>
              <w:bottom w:val="single" w:sz="8" w:space="0" w:color="808080" w:themeColor="background1" w:themeShade="80"/>
            </w:tcBorders>
          </w:tcPr>
          <w:p w14:paraId="09C87AD2" w14:textId="77777777" w:rsidR="009D2D76" w:rsidRPr="00215F2B" w:rsidRDefault="009D2D76" w:rsidP="009D2D76">
            <w:pPr>
              <w:pStyle w:val="TableColHeads"/>
              <w:spacing w:line="180" w:lineRule="exact"/>
              <w:rPr>
                <w:szCs w:val="18"/>
              </w:rPr>
            </w:pPr>
          </w:p>
        </w:tc>
        <w:tc>
          <w:tcPr>
            <w:tcW w:w="794" w:type="dxa"/>
            <w:tcBorders>
              <w:bottom w:val="single" w:sz="8" w:space="0" w:color="808080" w:themeColor="background1" w:themeShade="80"/>
            </w:tcBorders>
            <w:shd w:val="clear" w:color="auto" w:fill="auto"/>
            <w:vAlign w:val="bottom"/>
          </w:tcPr>
          <w:p w14:paraId="6B1C7213" w14:textId="77777777" w:rsidR="009D2D76" w:rsidRPr="008239CB" w:rsidRDefault="009D2D76" w:rsidP="009D2D76">
            <w:pPr>
              <w:pStyle w:val="TableColHeads"/>
              <w:spacing w:line="180" w:lineRule="exact"/>
              <w:rPr>
                <w:szCs w:val="18"/>
              </w:rPr>
            </w:pPr>
            <w:r w:rsidRPr="008239CB">
              <w:rPr>
                <w:szCs w:val="18"/>
              </w:rPr>
              <w:t>Notes</w:t>
            </w:r>
          </w:p>
        </w:tc>
        <w:tc>
          <w:tcPr>
            <w:tcW w:w="1134" w:type="dxa"/>
            <w:tcBorders>
              <w:bottom w:val="single" w:sz="8" w:space="0" w:color="808080" w:themeColor="background1" w:themeShade="80"/>
            </w:tcBorders>
            <w:shd w:val="clear" w:color="auto" w:fill="auto"/>
            <w:vAlign w:val="bottom"/>
          </w:tcPr>
          <w:p w14:paraId="3D512E0D" w14:textId="51663D6A" w:rsidR="009D2D76" w:rsidRPr="00215F2B" w:rsidRDefault="009D2D76" w:rsidP="009D2D76">
            <w:pPr>
              <w:pStyle w:val="TableColHeadsBold0"/>
            </w:pPr>
            <w:r w:rsidRPr="00215F2B">
              <w:t>202</w:t>
            </w:r>
            <w:r w:rsidR="00215F2B" w:rsidRPr="00215F2B">
              <w:t>1</w:t>
            </w:r>
            <w:r w:rsidRPr="00215F2B">
              <w:br/>
              <w:t>£m</w:t>
            </w:r>
          </w:p>
        </w:tc>
        <w:tc>
          <w:tcPr>
            <w:tcW w:w="1134" w:type="dxa"/>
            <w:tcBorders>
              <w:bottom w:val="single" w:sz="8" w:space="0" w:color="808080" w:themeColor="background1" w:themeShade="80"/>
            </w:tcBorders>
            <w:vAlign w:val="bottom"/>
          </w:tcPr>
          <w:p w14:paraId="1E3DA485" w14:textId="3B0F929E" w:rsidR="009D2D76" w:rsidRPr="00215F2B" w:rsidRDefault="009D2D76" w:rsidP="009D2D76">
            <w:pPr>
              <w:pStyle w:val="TableColHeadsBold0"/>
              <w:rPr>
                <w:b w:val="0"/>
                <w:bCs w:val="0"/>
              </w:rPr>
            </w:pPr>
            <w:r w:rsidRPr="00215F2B">
              <w:rPr>
                <w:b w:val="0"/>
                <w:bCs w:val="0"/>
              </w:rPr>
              <w:t>20</w:t>
            </w:r>
            <w:r w:rsidR="00215F2B" w:rsidRPr="00215F2B">
              <w:rPr>
                <w:b w:val="0"/>
                <w:bCs w:val="0"/>
              </w:rPr>
              <w:t>20</w:t>
            </w:r>
            <w:r w:rsidRPr="00215F2B">
              <w:rPr>
                <w:b w:val="0"/>
                <w:bCs w:val="0"/>
              </w:rPr>
              <w:br/>
              <w:t>£m</w:t>
            </w:r>
          </w:p>
        </w:tc>
      </w:tr>
      <w:tr w:rsidR="005F6D8A" w:rsidRPr="00215F2B" w14:paraId="111B62E1" w14:textId="3DDD4561" w:rsidTr="002A206B">
        <w:tc>
          <w:tcPr>
            <w:tcW w:w="7144" w:type="dxa"/>
            <w:gridSpan w:val="2"/>
            <w:tcBorders>
              <w:top w:val="single" w:sz="8" w:space="0" w:color="808080" w:themeColor="background1" w:themeShade="80"/>
            </w:tcBorders>
            <w:shd w:val="clear" w:color="auto" w:fill="auto"/>
            <w:vAlign w:val="bottom"/>
          </w:tcPr>
          <w:p w14:paraId="1A9DEE34" w14:textId="77777777" w:rsidR="009D2D76" w:rsidRPr="00215F2B" w:rsidRDefault="009D2D76" w:rsidP="009D2D76">
            <w:pPr>
              <w:pStyle w:val="TableFigures"/>
              <w:jc w:val="left"/>
            </w:pPr>
            <w:r w:rsidRPr="00215F2B">
              <w:t>Revenue</w:t>
            </w:r>
          </w:p>
        </w:tc>
        <w:tc>
          <w:tcPr>
            <w:tcW w:w="794" w:type="dxa"/>
            <w:tcBorders>
              <w:top w:val="single" w:sz="8" w:space="0" w:color="808080" w:themeColor="background1" w:themeShade="80"/>
            </w:tcBorders>
            <w:shd w:val="clear" w:color="auto" w:fill="auto"/>
            <w:vAlign w:val="bottom"/>
          </w:tcPr>
          <w:p w14:paraId="37C7FAD0" w14:textId="77777777" w:rsidR="009D2D76" w:rsidRPr="008239CB" w:rsidRDefault="009D2D76" w:rsidP="009D2D76">
            <w:pPr>
              <w:pStyle w:val="TableFigures"/>
              <w:rPr>
                <w:szCs w:val="18"/>
              </w:rPr>
            </w:pPr>
            <w:r w:rsidRPr="008239CB">
              <w:rPr>
                <w:szCs w:val="18"/>
              </w:rPr>
              <w:t>4</w:t>
            </w:r>
          </w:p>
        </w:tc>
        <w:tc>
          <w:tcPr>
            <w:tcW w:w="1134" w:type="dxa"/>
            <w:tcBorders>
              <w:top w:val="single" w:sz="8" w:space="0" w:color="808080" w:themeColor="background1" w:themeShade="80"/>
            </w:tcBorders>
            <w:shd w:val="clear" w:color="auto" w:fill="auto"/>
            <w:vAlign w:val="bottom"/>
          </w:tcPr>
          <w:p w14:paraId="0DEDC0B4" w14:textId="7732901C" w:rsidR="009D2D76" w:rsidRPr="00215F2B" w:rsidRDefault="00215F2B" w:rsidP="009D2D76">
            <w:pPr>
              <w:pStyle w:val="TableFiguresBold0"/>
            </w:pPr>
            <w:r w:rsidRPr="00215F2B">
              <w:t>546</w:t>
            </w:r>
          </w:p>
        </w:tc>
        <w:tc>
          <w:tcPr>
            <w:tcW w:w="1134" w:type="dxa"/>
            <w:tcBorders>
              <w:top w:val="single" w:sz="8" w:space="0" w:color="808080" w:themeColor="background1" w:themeShade="80"/>
            </w:tcBorders>
            <w:vAlign w:val="bottom"/>
          </w:tcPr>
          <w:p w14:paraId="75066346" w14:textId="5A3A241F" w:rsidR="009D2D76" w:rsidRPr="00215F2B" w:rsidRDefault="00215F2B" w:rsidP="009D2D76">
            <w:pPr>
              <w:pStyle w:val="TableFigures"/>
              <w:rPr>
                <w:b/>
              </w:rPr>
            </w:pPr>
            <w:r w:rsidRPr="00215F2B">
              <w:t>432</w:t>
            </w:r>
          </w:p>
        </w:tc>
      </w:tr>
      <w:tr w:rsidR="005F6D8A" w:rsidRPr="00215F2B" w14:paraId="4C1FA4E4" w14:textId="6BE5B184" w:rsidTr="002A206B">
        <w:tc>
          <w:tcPr>
            <w:tcW w:w="7144" w:type="dxa"/>
            <w:gridSpan w:val="2"/>
            <w:tcBorders>
              <w:bottom w:val="single" w:sz="4" w:space="0" w:color="808080" w:themeColor="background1" w:themeShade="80"/>
            </w:tcBorders>
            <w:shd w:val="clear" w:color="auto" w:fill="auto"/>
            <w:vAlign w:val="bottom"/>
          </w:tcPr>
          <w:p w14:paraId="62ACFB52" w14:textId="627735C5" w:rsidR="009D2D76" w:rsidRPr="00215F2B" w:rsidRDefault="009D2D76" w:rsidP="009D2D76">
            <w:pPr>
              <w:pStyle w:val="Tabletext"/>
              <w:rPr>
                <w:szCs w:val="18"/>
              </w:rPr>
            </w:pPr>
            <w:r w:rsidRPr="00215F2B">
              <w:t>Costs</w:t>
            </w:r>
          </w:p>
        </w:tc>
        <w:tc>
          <w:tcPr>
            <w:tcW w:w="794" w:type="dxa"/>
            <w:tcBorders>
              <w:bottom w:val="single" w:sz="4" w:space="0" w:color="808080" w:themeColor="background1" w:themeShade="80"/>
            </w:tcBorders>
            <w:shd w:val="clear" w:color="auto" w:fill="auto"/>
            <w:vAlign w:val="bottom"/>
          </w:tcPr>
          <w:p w14:paraId="213271BA" w14:textId="22C16B85" w:rsidR="009D2D76" w:rsidRPr="008239CB" w:rsidRDefault="009D2D76" w:rsidP="009D2D76">
            <w:pPr>
              <w:pStyle w:val="TableFigures"/>
              <w:rPr>
                <w:szCs w:val="18"/>
              </w:rPr>
            </w:pPr>
            <w:r w:rsidRPr="008239CB">
              <w:rPr>
                <w:szCs w:val="18"/>
              </w:rPr>
              <w:t>5</w:t>
            </w:r>
          </w:p>
        </w:tc>
        <w:tc>
          <w:tcPr>
            <w:tcW w:w="1134" w:type="dxa"/>
            <w:tcBorders>
              <w:bottom w:val="single" w:sz="4" w:space="0" w:color="808080" w:themeColor="background1" w:themeShade="80"/>
            </w:tcBorders>
            <w:shd w:val="clear" w:color="auto" w:fill="auto"/>
            <w:vAlign w:val="bottom"/>
          </w:tcPr>
          <w:p w14:paraId="2741A67E" w14:textId="77FEA164" w:rsidR="009D2D76" w:rsidRPr="00215F2B" w:rsidRDefault="00215F2B" w:rsidP="009D2D76">
            <w:pPr>
              <w:pStyle w:val="TableFiguresBracketsBold"/>
            </w:pPr>
            <w:r w:rsidRPr="00215F2B">
              <w:t>(140)</w:t>
            </w:r>
          </w:p>
        </w:tc>
        <w:tc>
          <w:tcPr>
            <w:tcW w:w="1134" w:type="dxa"/>
            <w:tcBorders>
              <w:bottom w:val="single" w:sz="4" w:space="0" w:color="808080" w:themeColor="background1" w:themeShade="80"/>
            </w:tcBorders>
            <w:vAlign w:val="bottom"/>
          </w:tcPr>
          <w:p w14:paraId="1C9CF2E9" w14:textId="0CEB3B39" w:rsidR="009D2D76" w:rsidRPr="00215F2B" w:rsidRDefault="00215F2B" w:rsidP="009D2D76">
            <w:pPr>
              <w:pStyle w:val="TableFiguresBrackets"/>
              <w:rPr>
                <w:b/>
              </w:rPr>
            </w:pPr>
            <w:r w:rsidRPr="00215F2B">
              <w:t>(104)</w:t>
            </w:r>
          </w:p>
        </w:tc>
      </w:tr>
      <w:tr w:rsidR="005F6D8A" w:rsidRPr="00215F2B" w14:paraId="1C17C2B2" w14:textId="2C23C320" w:rsidTr="002A206B">
        <w:tc>
          <w:tcPr>
            <w:tcW w:w="7144" w:type="dxa"/>
            <w:gridSpan w:val="2"/>
            <w:shd w:val="clear" w:color="auto" w:fill="auto"/>
            <w:vAlign w:val="bottom"/>
          </w:tcPr>
          <w:p w14:paraId="042300AB" w14:textId="77777777" w:rsidR="009D2D76" w:rsidRPr="00215F2B" w:rsidRDefault="009D2D76" w:rsidP="009D2D76">
            <w:pPr>
              <w:pStyle w:val="Tabletext"/>
            </w:pPr>
          </w:p>
        </w:tc>
        <w:tc>
          <w:tcPr>
            <w:tcW w:w="794" w:type="dxa"/>
            <w:shd w:val="clear" w:color="auto" w:fill="auto"/>
            <w:vAlign w:val="bottom"/>
          </w:tcPr>
          <w:p w14:paraId="4DDD40CA" w14:textId="77777777" w:rsidR="009D2D76" w:rsidRPr="008239CB" w:rsidRDefault="009D2D76" w:rsidP="009D2D76">
            <w:pPr>
              <w:pStyle w:val="TableFigures"/>
              <w:rPr>
                <w:szCs w:val="18"/>
              </w:rPr>
            </w:pPr>
          </w:p>
        </w:tc>
        <w:tc>
          <w:tcPr>
            <w:tcW w:w="1134" w:type="dxa"/>
            <w:shd w:val="clear" w:color="auto" w:fill="auto"/>
            <w:vAlign w:val="bottom"/>
          </w:tcPr>
          <w:p w14:paraId="3C0B66B7" w14:textId="364388BF" w:rsidR="009D2D76" w:rsidRPr="00215F2B" w:rsidRDefault="00215F2B" w:rsidP="009D2D76">
            <w:pPr>
              <w:pStyle w:val="TableFiguresBold0"/>
            </w:pPr>
            <w:r w:rsidRPr="00215F2B">
              <w:t>406</w:t>
            </w:r>
          </w:p>
        </w:tc>
        <w:tc>
          <w:tcPr>
            <w:tcW w:w="1134" w:type="dxa"/>
            <w:vAlign w:val="bottom"/>
          </w:tcPr>
          <w:p w14:paraId="1C705273" w14:textId="22F06DB3" w:rsidR="009D2D76" w:rsidRPr="00215F2B" w:rsidRDefault="00215F2B" w:rsidP="009D2D76">
            <w:pPr>
              <w:pStyle w:val="TableFigures"/>
            </w:pPr>
            <w:r w:rsidRPr="00215F2B">
              <w:t>328</w:t>
            </w:r>
          </w:p>
        </w:tc>
      </w:tr>
      <w:tr w:rsidR="005F6D8A" w:rsidRPr="00215F2B" w14:paraId="169B9ADD" w14:textId="77777777" w:rsidTr="002A206B">
        <w:tc>
          <w:tcPr>
            <w:tcW w:w="6010" w:type="dxa"/>
            <w:shd w:val="clear" w:color="auto" w:fill="auto"/>
            <w:vAlign w:val="bottom"/>
          </w:tcPr>
          <w:p w14:paraId="705CFE39" w14:textId="77777777" w:rsidR="009D2D76" w:rsidRPr="00215F2B" w:rsidRDefault="009D2D76" w:rsidP="009D2D76">
            <w:pPr>
              <w:pStyle w:val="Tabletext"/>
            </w:pPr>
            <w:r w:rsidRPr="00215F2B">
              <w:t>Administration expenses</w:t>
            </w:r>
          </w:p>
        </w:tc>
        <w:tc>
          <w:tcPr>
            <w:tcW w:w="1134" w:type="dxa"/>
          </w:tcPr>
          <w:p w14:paraId="3A91D10F" w14:textId="77777777" w:rsidR="009D2D76" w:rsidRPr="00215F2B" w:rsidRDefault="009D2D76" w:rsidP="009D2D76">
            <w:pPr>
              <w:pStyle w:val="TableFigures"/>
              <w:rPr>
                <w:szCs w:val="18"/>
              </w:rPr>
            </w:pPr>
          </w:p>
        </w:tc>
        <w:tc>
          <w:tcPr>
            <w:tcW w:w="794" w:type="dxa"/>
            <w:shd w:val="clear" w:color="auto" w:fill="auto"/>
            <w:vAlign w:val="bottom"/>
          </w:tcPr>
          <w:p w14:paraId="070E0C23" w14:textId="5BECBB16" w:rsidR="009D2D76" w:rsidRPr="008239CB" w:rsidRDefault="009D2D76" w:rsidP="009D2D76">
            <w:pPr>
              <w:pStyle w:val="TableFigures"/>
              <w:rPr>
                <w:szCs w:val="18"/>
              </w:rPr>
            </w:pPr>
          </w:p>
        </w:tc>
        <w:tc>
          <w:tcPr>
            <w:tcW w:w="1134" w:type="dxa"/>
            <w:shd w:val="clear" w:color="auto" w:fill="auto"/>
            <w:vAlign w:val="bottom"/>
          </w:tcPr>
          <w:p w14:paraId="40F44C78" w14:textId="27FBB9DD" w:rsidR="009D2D76" w:rsidRPr="00215F2B" w:rsidRDefault="00215F2B" w:rsidP="009D2D76">
            <w:pPr>
              <w:pStyle w:val="TableFiguresBracketsBold"/>
            </w:pPr>
            <w:r w:rsidRPr="00215F2B">
              <w:t>(59)</w:t>
            </w:r>
          </w:p>
        </w:tc>
        <w:tc>
          <w:tcPr>
            <w:tcW w:w="1134" w:type="dxa"/>
            <w:vAlign w:val="bottom"/>
          </w:tcPr>
          <w:p w14:paraId="1FD8E3B6" w14:textId="48314F82" w:rsidR="009D2D76" w:rsidRPr="00215F2B" w:rsidRDefault="00215F2B" w:rsidP="009D2D76">
            <w:pPr>
              <w:pStyle w:val="TableFiguresBrackets"/>
              <w:rPr>
                <w:szCs w:val="18"/>
              </w:rPr>
            </w:pPr>
            <w:r w:rsidRPr="00215F2B">
              <w:t>(52)</w:t>
            </w:r>
          </w:p>
        </w:tc>
      </w:tr>
      <w:tr w:rsidR="005F6D8A" w:rsidRPr="00215F2B" w14:paraId="59C032C8" w14:textId="77777777" w:rsidTr="002A206B">
        <w:tc>
          <w:tcPr>
            <w:tcW w:w="6010" w:type="dxa"/>
            <w:shd w:val="clear" w:color="auto" w:fill="auto"/>
            <w:vAlign w:val="bottom"/>
          </w:tcPr>
          <w:p w14:paraId="1B1ABBFB" w14:textId="77777777" w:rsidR="009D2D76" w:rsidRPr="00215F2B" w:rsidRDefault="009D2D76" w:rsidP="009D2D76">
            <w:pPr>
              <w:pStyle w:val="Tabletext"/>
            </w:pPr>
            <w:r w:rsidRPr="00215F2B">
              <w:t>Share of profit from joint ventures after tax</w:t>
            </w:r>
          </w:p>
        </w:tc>
        <w:tc>
          <w:tcPr>
            <w:tcW w:w="1134" w:type="dxa"/>
          </w:tcPr>
          <w:p w14:paraId="6BAA3AA3" w14:textId="77777777" w:rsidR="009D2D76" w:rsidRPr="00215F2B" w:rsidRDefault="009D2D76" w:rsidP="009D2D76">
            <w:pPr>
              <w:pStyle w:val="TableFigures"/>
              <w:rPr>
                <w:szCs w:val="18"/>
              </w:rPr>
            </w:pPr>
          </w:p>
        </w:tc>
        <w:tc>
          <w:tcPr>
            <w:tcW w:w="794" w:type="dxa"/>
            <w:shd w:val="clear" w:color="auto" w:fill="auto"/>
            <w:vAlign w:val="bottom"/>
          </w:tcPr>
          <w:p w14:paraId="7C9870BA" w14:textId="23D22505" w:rsidR="009D2D76" w:rsidRPr="008239CB" w:rsidRDefault="00D964CC" w:rsidP="009D2D76">
            <w:pPr>
              <w:pStyle w:val="TableFigures"/>
              <w:rPr>
                <w:szCs w:val="18"/>
              </w:rPr>
            </w:pPr>
            <w:r w:rsidRPr="008239CB">
              <w:rPr>
                <w:szCs w:val="18"/>
              </w:rPr>
              <w:t>6</w:t>
            </w:r>
          </w:p>
        </w:tc>
        <w:tc>
          <w:tcPr>
            <w:tcW w:w="1134" w:type="dxa"/>
            <w:shd w:val="clear" w:color="auto" w:fill="auto"/>
            <w:vAlign w:val="bottom"/>
          </w:tcPr>
          <w:p w14:paraId="7F2996F6" w14:textId="1D2802A0" w:rsidR="009D2D76" w:rsidRPr="00215F2B" w:rsidRDefault="00215F2B" w:rsidP="009D2D76">
            <w:pPr>
              <w:pStyle w:val="TableFiguresBold0"/>
            </w:pPr>
            <w:r w:rsidRPr="00215F2B">
              <w:t>461</w:t>
            </w:r>
          </w:p>
        </w:tc>
        <w:tc>
          <w:tcPr>
            <w:tcW w:w="1134" w:type="dxa"/>
            <w:vAlign w:val="bottom"/>
          </w:tcPr>
          <w:p w14:paraId="2F4E76C6" w14:textId="75076043" w:rsidR="009D2D76" w:rsidRPr="00215F2B" w:rsidRDefault="00215F2B" w:rsidP="009D2D76">
            <w:pPr>
              <w:pStyle w:val="TableFigures"/>
              <w:rPr>
                <w:szCs w:val="18"/>
              </w:rPr>
            </w:pPr>
            <w:r w:rsidRPr="00215F2B">
              <w:t>236</w:t>
            </w:r>
          </w:p>
        </w:tc>
      </w:tr>
      <w:tr w:rsidR="005F6D8A" w:rsidRPr="00215F2B" w14:paraId="1FB41C87" w14:textId="77777777" w:rsidTr="002A206B">
        <w:tc>
          <w:tcPr>
            <w:tcW w:w="6010" w:type="dxa"/>
            <w:shd w:val="clear" w:color="auto" w:fill="auto"/>
            <w:vAlign w:val="bottom"/>
          </w:tcPr>
          <w:p w14:paraId="3D6917C5" w14:textId="77777777" w:rsidR="009D2D76" w:rsidRPr="00215F2B" w:rsidRDefault="009D2D76" w:rsidP="009D2D76">
            <w:pPr>
              <w:pStyle w:val="Tabletext"/>
            </w:pPr>
            <w:r w:rsidRPr="00215F2B">
              <w:t>Realised and unrealised property gain</w:t>
            </w:r>
          </w:p>
        </w:tc>
        <w:tc>
          <w:tcPr>
            <w:tcW w:w="1134" w:type="dxa"/>
          </w:tcPr>
          <w:p w14:paraId="03C1B6BD" w14:textId="77777777" w:rsidR="009D2D76" w:rsidRPr="00215F2B" w:rsidRDefault="009D2D76" w:rsidP="009D2D76">
            <w:pPr>
              <w:pStyle w:val="TableFigures"/>
              <w:rPr>
                <w:szCs w:val="18"/>
              </w:rPr>
            </w:pPr>
          </w:p>
        </w:tc>
        <w:tc>
          <w:tcPr>
            <w:tcW w:w="794" w:type="dxa"/>
            <w:shd w:val="clear" w:color="auto" w:fill="auto"/>
            <w:vAlign w:val="bottom"/>
          </w:tcPr>
          <w:p w14:paraId="398C1FCA" w14:textId="4FE2E51E" w:rsidR="009D2D76" w:rsidRPr="008239CB" w:rsidRDefault="00D964CC" w:rsidP="009D2D76">
            <w:pPr>
              <w:pStyle w:val="TableFigures"/>
              <w:rPr>
                <w:szCs w:val="18"/>
              </w:rPr>
            </w:pPr>
            <w:r w:rsidRPr="008239CB">
              <w:rPr>
                <w:szCs w:val="18"/>
              </w:rPr>
              <w:t>7</w:t>
            </w:r>
          </w:p>
        </w:tc>
        <w:tc>
          <w:tcPr>
            <w:tcW w:w="1134" w:type="dxa"/>
            <w:shd w:val="clear" w:color="auto" w:fill="auto"/>
            <w:vAlign w:val="bottom"/>
          </w:tcPr>
          <w:p w14:paraId="4FAC6BE3" w14:textId="10D529C7" w:rsidR="009D2D76" w:rsidRPr="00215F2B" w:rsidRDefault="00215F2B" w:rsidP="009D2D76">
            <w:pPr>
              <w:pStyle w:val="TableFiguresBold0"/>
            </w:pPr>
            <w:r w:rsidRPr="00215F2B">
              <w:t>3,669</w:t>
            </w:r>
          </w:p>
        </w:tc>
        <w:tc>
          <w:tcPr>
            <w:tcW w:w="1134" w:type="dxa"/>
            <w:vAlign w:val="bottom"/>
          </w:tcPr>
          <w:p w14:paraId="635B8206" w14:textId="62542C8B" w:rsidR="009D2D76" w:rsidRPr="00215F2B" w:rsidRDefault="00215F2B" w:rsidP="009D2D76">
            <w:pPr>
              <w:pStyle w:val="TableFigures"/>
              <w:rPr>
                <w:szCs w:val="18"/>
              </w:rPr>
            </w:pPr>
            <w:r w:rsidRPr="00215F2B">
              <w:t>989</w:t>
            </w:r>
          </w:p>
        </w:tc>
      </w:tr>
      <w:tr w:rsidR="005F6D8A" w:rsidRPr="00215F2B" w14:paraId="5C778EB0" w14:textId="77777777" w:rsidTr="002A206B">
        <w:tc>
          <w:tcPr>
            <w:tcW w:w="6010" w:type="dxa"/>
            <w:tcBorders>
              <w:top w:val="single" w:sz="4" w:space="0" w:color="808080" w:themeColor="background1" w:themeShade="80"/>
            </w:tcBorders>
            <w:shd w:val="clear" w:color="auto" w:fill="auto"/>
            <w:vAlign w:val="bottom"/>
          </w:tcPr>
          <w:p w14:paraId="7220DF7C" w14:textId="77777777" w:rsidR="009D2D76" w:rsidRPr="00215F2B" w:rsidRDefault="009D2D76" w:rsidP="009D2D76">
            <w:pPr>
              <w:pStyle w:val="TabletextBold"/>
              <w:rPr>
                <w:szCs w:val="18"/>
              </w:rPr>
            </w:pPr>
            <w:r w:rsidRPr="00215F2B">
              <w:rPr>
                <w:szCs w:val="18"/>
              </w:rPr>
              <w:t>Operating profit</w:t>
            </w:r>
          </w:p>
        </w:tc>
        <w:tc>
          <w:tcPr>
            <w:tcW w:w="1134" w:type="dxa"/>
            <w:tcBorders>
              <w:top w:val="single" w:sz="4" w:space="0" w:color="808080" w:themeColor="background1" w:themeShade="80"/>
            </w:tcBorders>
          </w:tcPr>
          <w:p w14:paraId="722A934D" w14:textId="77777777" w:rsidR="009D2D76" w:rsidRPr="00215F2B" w:rsidRDefault="009D2D76" w:rsidP="009D2D76">
            <w:pPr>
              <w:pStyle w:val="TableFigures"/>
              <w:rPr>
                <w:szCs w:val="18"/>
              </w:rPr>
            </w:pPr>
          </w:p>
        </w:tc>
        <w:tc>
          <w:tcPr>
            <w:tcW w:w="794" w:type="dxa"/>
            <w:tcBorders>
              <w:top w:val="single" w:sz="4" w:space="0" w:color="808080" w:themeColor="background1" w:themeShade="80"/>
            </w:tcBorders>
            <w:shd w:val="clear" w:color="auto" w:fill="auto"/>
            <w:vAlign w:val="bottom"/>
          </w:tcPr>
          <w:p w14:paraId="6661E988" w14:textId="4D97F090" w:rsidR="009D2D76" w:rsidRPr="008239CB" w:rsidRDefault="009D2D76" w:rsidP="009D2D76">
            <w:pPr>
              <w:pStyle w:val="TableFigures"/>
              <w:rPr>
                <w:szCs w:val="18"/>
              </w:rPr>
            </w:pPr>
          </w:p>
        </w:tc>
        <w:tc>
          <w:tcPr>
            <w:tcW w:w="1134" w:type="dxa"/>
            <w:tcBorders>
              <w:top w:val="single" w:sz="4" w:space="0" w:color="808080" w:themeColor="background1" w:themeShade="80"/>
            </w:tcBorders>
            <w:shd w:val="clear" w:color="auto" w:fill="auto"/>
            <w:vAlign w:val="bottom"/>
          </w:tcPr>
          <w:p w14:paraId="5548EA49" w14:textId="3B001099" w:rsidR="009D2D76" w:rsidRPr="00215F2B" w:rsidRDefault="00215F2B" w:rsidP="009D2D76">
            <w:pPr>
              <w:pStyle w:val="TableFiguresBold0"/>
            </w:pPr>
            <w:r w:rsidRPr="00215F2B">
              <w:t>4,477</w:t>
            </w:r>
          </w:p>
        </w:tc>
        <w:tc>
          <w:tcPr>
            <w:tcW w:w="1134" w:type="dxa"/>
            <w:tcBorders>
              <w:top w:val="single" w:sz="4" w:space="0" w:color="808080" w:themeColor="background1" w:themeShade="80"/>
            </w:tcBorders>
            <w:vAlign w:val="bottom"/>
          </w:tcPr>
          <w:p w14:paraId="0BD2074C" w14:textId="5CB4D4C6" w:rsidR="009D2D76" w:rsidRPr="00215F2B" w:rsidRDefault="00215F2B" w:rsidP="009D2D76">
            <w:pPr>
              <w:pStyle w:val="TableFigures"/>
              <w:rPr>
                <w:szCs w:val="18"/>
              </w:rPr>
            </w:pPr>
            <w:r w:rsidRPr="00215F2B">
              <w:t>1,501</w:t>
            </w:r>
          </w:p>
        </w:tc>
      </w:tr>
      <w:tr w:rsidR="005F6D8A" w:rsidRPr="00215F2B" w14:paraId="68E88D28" w14:textId="77777777" w:rsidTr="002A206B">
        <w:tc>
          <w:tcPr>
            <w:tcW w:w="6010" w:type="dxa"/>
            <w:shd w:val="clear" w:color="auto" w:fill="auto"/>
            <w:vAlign w:val="bottom"/>
          </w:tcPr>
          <w:p w14:paraId="71A9D000" w14:textId="77777777" w:rsidR="009D2D76" w:rsidRPr="00215F2B" w:rsidRDefault="009D2D76" w:rsidP="009D2D76">
            <w:pPr>
              <w:pStyle w:val="Tabletext"/>
              <w:rPr>
                <w:szCs w:val="18"/>
              </w:rPr>
            </w:pPr>
            <w:r w:rsidRPr="00215F2B">
              <w:rPr>
                <w:szCs w:val="18"/>
              </w:rPr>
              <w:t>Finance income</w:t>
            </w:r>
          </w:p>
        </w:tc>
        <w:tc>
          <w:tcPr>
            <w:tcW w:w="1134" w:type="dxa"/>
          </w:tcPr>
          <w:p w14:paraId="1A9D7694" w14:textId="77777777" w:rsidR="009D2D76" w:rsidRPr="00215F2B" w:rsidRDefault="009D2D76" w:rsidP="009D2D76">
            <w:pPr>
              <w:pStyle w:val="TableFigures"/>
              <w:rPr>
                <w:szCs w:val="18"/>
              </w:rPr>
            </w:pPr>
          </w:p>
        </w:tc>
        <w:tc>
          <w:tcPr>
            <w:tcW w:w="794" w:type="dxa"/>
            <w:shd w:val="clear" w:color="auto" w:fill="auto"/>
            <w:vAlign w:val="bottom"/>
          </w:tcPr>
          <w:p w14:paraId="25DAD8DE" w14:textId="4E7C817F" w:rsidR="009D2D76" w:rsidRPr="008239CB" w:rsidRDefault="00D964CC" w:rsidP="009D2D76">
            <w:pPr>
              <w:pStyle w:val="TableFigures"/>
              <w:rPr>
                <w:szCs w:val="18"/>
              </w:rPr>
            </w:pPr>
            <w:r w:rsidRPr="008239CB">
              <w:rPr>
                <w:szCs w:val="18"/>
              </w:rPr>
              <w:t>8</w:t>
            </w:r>
          </w:p>
        </w:tc>
        <w:tc>
          <w:tcPr>
            <w:tcW w:w="1134" w:type="dxa"/>
            <w:shd w:val="clear" w:color="auto" w:fill="auto"/>
            <w:vAlign w:val="bottom"/>
          </w:tcPr>
          <w:p w14:paraId="57BE92F7" w14:textId="5D1B8564" w:rsidR="009D2D76" w:rsidRPr="00215F2B" w:rsidRDefault="00215F2B" w:rsidP="009D2D76">
            <w:pPr>
              <w:pStyle w:val="TableFiguresBold0"/>
            </w:pPr>
            <w:r w:rsidRPr="00215F2B">
              <w:t>35</w:t>
            </w:r>
          </w:p>
        </w:tc>
        <w:tc>
          <w:tcPr>
            <w:tcW w:w="1134" w:type="dxa"/>
            <w:vAlign w:val="bottom"/>
          </w:tcPr>
          <w:p w14:paraId="199451E7" w14:textId="002E62BC" w:rsidR="009D2D76" w:rsidRPr="00215F2B" w:rsidRDefault="00215F2B" w:rsidP="009D2D76">
            <w:pPr>
              <w:pStyle w:val="TableFigures"/>
              <w:rPr>
                <w:szCs w:val="18"/>
              </w:rPr>
            </w:pPr>
            <w:r w:rsidRPr="00215F2B">
              <w:t>50</w:t>
            </w:r>
          </w:p>
        </w:tc>
      </w:tr>
      <w:tr w:rsidR="005F6D8A" w:rsidRPr="00215F2B" w14:paraId="6952D900" w14:textId="77777777" w:rsidTr="002A206B">
        <w:tc>
          <w:tcPr>
            <w:tcW w:w="6010" w:type="dxa"/>
            <w:tcBorders>
              <w:bottom w:val="single" w:sz="4" w:space="0" w:color="808080" w:themeColor="background1" w:themeShade="80"/>
            </w:tcBorders>
            <w:shd w:val="clear" w:color="auto" w:fill="auto"/>
            <w:vAlign w:val="bottom"/>
          </w:tcPr>
          <w:p w14:paraId="3C7C1A83" w14:textId="77777777" w:rsidR="009D2D76" w:rsidRPr="00215F2B" w:rsidRDefault="009D2D76" w:rsidP="009D2D76">
            <w:pPr>
              <w:pStyle w:val="Tabletext"/>
              <w:rPr>
                <w:szCs w:val="18"/>
              </w:rPr>
            </w:pPr>
            <w:r w:rsidRPr="00215F2B">
              <w:rPr>
                <w:szCs w:val="18"/>
              </w:rPr>
              <w:t>Finance costs</w:t>
            </w:r>
          </w:p>
        </w:tc>
        <w:tc>
          <w:tcPr>
            <w:tcW w:w="1134" w:type="dxa"/>
            <w:tcBorders>
              <w:bottom w:val="single" w:sz="4" w:space="0" w:color="808080" w:themeColor="background1" w:themeShade="80"/>
            </w:tcBorders>
          </w:tcPr>
          <w:p w14:paraId="0011EB69" w14:textId="77777777" w:rsidR="009D2D76" w:rsidRPr="00215F2B" w:rsidRDefault="009D2D76" w:rsidP="009D2D76">
            <w:pPr>
              <w:pStyle w:val="TableFigures"/>
              <w:rPr>
                <w:szCs w:val="18"/>
              </w:rPr>
            </w:pPr>
          </w:p>
        </w:tc>
        <w:tc>
          <w:tcPr>
            <w:tcW w:w="794" w:type="dxa"/>
            <w:tcBorders>
              <w:bottom w:val="single" w:sz="4" w:space="0" w:color="808080" w:themeColor="background1" w:themeShade="80"/>
            </w:tcBorders>
            <w:shd w:val="clear" w:color="auto" w:fill="auto"/>
            <w:vAlign w:val="bottom"/>
          </w:tcPr>
          <w:p w14:paraId="4A80CA20" w14:textId="5C29F5A2" w:rsidR="009D2D76" w:rsidRPr="008239CB" w:rsidRDefault="009D2D76" w:rsidP="009D2D76">
            <w:pPr>
              <w:pStyle w:val="TableFigures"/>
              <w:rPr>
                <w:szCs w:val="18"/>
              </w:rPr>
            </w:pPr>
            <w:r w:rsidRPr="008239CB">
              <w:rPr>
                <w:szCs w:val="18"/>
              </w:rPr>
              <w:t>8</w:t>
            </w:r>
          </w:p>
        </w:tc>
        <w:tc>
          <w:tcPr>
            <w:tcW w:w="1134" w:type="dxa"/>
            <w:tcBorders>
              <w:bottom w:val="single" w:sz="4" w:space="0" w:color="808080" w:themeColor="background1" w:themeShade="80"/>
            </w:tcBorders>
            <w:shd w:val="clear" w:color="auto" w:fill="auto"/>
            <w:vAlign w:val="bottom"/>
          </w:tcPr>
          <w:p w14:paraId="49D70332" w14:textId="619DF265" w:rsidR="009D2D76" w:rsidRPr="00215F2B" w:rsidRDefault="00215F2B" w:rsidP="009D2D76">
            <w:pPr>
              <w:pStyle w:val="TableFiguresBracketsBold"/>
            </w:pPr>
            <w:r w:rsidRPr="00215F2B">
              <w:t>(157)</w:t>
            </w:r>
          </w:p>
        </w:tc>
        <w:tc>
          <w:tcPr>
            <w:tcW w:w="1134" w:type="dxa"/>
            <w:tcBorders>
              <w:bottom w:val="single" w:sz="4" w:space="0" w:color="808080" w:themeColor="background1" w:themeShade="80"/>
            </w:tcBorders>
            <w:vAlign w:val="bottom"/>
          </w:tcPr>
          <w:p w14:paraId="0925113E" w14:textId="24A57A88" w:rsidR="009D2D76" w:rsidRPr="00215F2B" w:rsidRDefault="00215F2B" w:rsidP="009D2D76">
            <w:pPr>
              <w:pStyle w:val="TableFiguresBrackets"/>
              <w:rPr>
                <w:szCs w:val="18"/>
              </w:rPr>
            </w:pPr>
            <w:r w:rsidRPr="00215F2B">
              <w:t>(87)</w:t>
            </w:r>
          </w:p>
        </w:tc>
      </w:tr>
      <w:tr w:rsidR="005F6D8A" w:rsidRPr="00215F2B" w14:paraId="3E67A3CB" w14:textId="77777777" w:rsidTr="002A206B">
        <w:tc>
          <w:tcPr>
            <w:tcW w:w="6010" w:type="dxa"/>
            <w:tcBorders>
              <w:top w:val="single" w:sz="4" w:space="0" w:color="808080" w:themeColor="background1" w:themeShade="80"/>
            </w:tcBorders>
            <w:shd w:val="clear" w:color="auto" w:fill="auto"/>
            <w:vAlign w:val="bottom"/>
          </w:tcPr>
          <w:p w14:paraId="2A5BC578" w14:textId="77777777" w:rsidR="009D2D76" w:rsidRPr="00215F2B" w:rsidRDefault="009D2D76" w:rsidP="009D2D76">
            <w:pPr>
              <w:pStyle w:val="TabletextBold"/>
              <w:rPr>
                <w:szCs w:val="18"/>
              </w:rPr>
            </w:pPr>
            <w:r w:rsidRPr="00215F2B">
              <w:rPr>
                <w:szCs w:val="18"/>
              </w:rPr>
              <w:t>Profit before tax</w:t>
            </w:r>
          </w:p>
        </w:tc>
        <w:tc>
          <w:tcPr>
            <w:tcW w:w="1134" w:type="dxa"/>
            <w:tcBorders>
              <w:top w:val="single" w:sz="4" w:space="0" w:color="808080" w:themeColor="background1" w:themeShade="80"/>
            </w:tcBorders>
          </w:tcPr>
          <w:p w14:paraId="1DB358B9" w14:textId="77777777" w:rsidR="009D2D76" w:rsidRPr="00215F2B" w:rsidRDefault="009D2D76" w:rsidP="009D2D76">
            <w:pPr>
              <w:pStyle w:val="TableFigures"/>
              <w:rPr>
                <w:szCs w:val="18"/>
              </w:rPr>
            </w:pPr>
          </w:p>
        </w:tc>
        <w:tc>
          <w:tcPr>
            <w:tcW w:w="794" w:type="dxa"/>
            <w:tcBorders>
              <w:top w:val="single" w:sz="4" w:space="0" w:color="808080" w:themeColor="background1" w:themeShade="80"/>
            </w:tcBorders>
            <w:shd w:val="clear" w:color="auto" w:fill="auto"/>
            <w:vAlign w:val="bottom"/>
          </w:tcPr>
          <w:p w14:paraId="045F79AB" w14:textId="77777777" w:rsidR="009D2D76" w:rsidRPr="008239CB" w:rsidRDefault="009D2D76" w:rsidP="009D2D76">
            <w:pPr>
              <w:pStyle w:val="TableFigures"/>
              <w:rPr>
                <w:szCs w:val="18"/>
              </w:rPr>
            </w:pPr>
          </w:p>
        </w:tc>
        <w:tc>
          <w:tcPr>
            <w:tcW w:w="1134" w:type="dxa"/>
            <w:tcBorders>
              <w:top w:val="single" w:sz="4" w:space="0" w:color="808080" w:themeColor="background1" w:themeShade="80"/>
            </w:tcBorders>
            <w:shd w:val="clear" w:color="auto" w:fill="auto"/>
            <w:vAlign w:val="bottom"/>
          </w:tcPr>
          <w:p w14:paraId="5DCB3B09" w14:textId="5A67E09F" w:rsidR="009D2D76" w:rsidRPr="00215F2B" w:rsidRDefault="00215F2B" w:rsidP="009D2D76">
            <w:pPr>
              <w:pStyle w:val="TableFiguresBold0"/>
            </w:pPr>
            <w:r w:rsidRPr="00215F2B">
              <w:t>4,355</w:t>
            </w:r>
          </w:p>
        </w:tc>
        <w:tc>
          <w:tcPr>
            <w:tcW w:w="1134" w:type="dxa"/>
            <w:tcBorders>
              <w:top w:val="single" w:sz="4" w:space="0" w:color="808080" w:themeColor="background1" w:themeShade="80"/>
            </w:tcBorders>
            <w:vAlign w:val="bottom"/>
          </w:tcPr>
          <w:p w14:paraId="6F687C0D" w14:textId="7A8D4FE0" w:rsidR="009D2D76" w:rsidRPr="00215F2B" w:rsidRDefault="00215F2B" w:rsidP="009D2D76">
            <w:pPr>
              <w:pStyle w:val="TableFigures"/>
              <w:rPr>
                <w:szCs w:val="18"/>
              </w:rPr>
            </w:pPr>
            <w:r w:rsidRPr="00215F2B">
              <w:t>1,464</w:t>
            </w:r>
          </w:p>
        </w:tc>
      </w:tr>
      <w:tr w:rsidR="005F6D8A" w:rsidRPr="00215F2B" w14:paraId="7AA70B3D" w14:textId="77777777" w:rsidTr="002A206B">
        <w:tc>
          <w:tcPr>
            <w:tcW w:w="6010" w:type="dxa"/>
            <w:tcBorders>
              <w:bottom w:val="single" w:sz="4" w:space="0" w:color="808080" w:themeColor="background1" w:themeShade="80"/>
            </w:tcBorders>
            <w:shd w:val="clear" w:color="auto" w:fill="auto"/>
            <w:vAlign w:val="bottom"/>
          </w:tcPr>
          <w:p w14:paraId="290379E4" w14:textId="77777777" w:rsidR="009D2D76" w:rsidRPr="00215F2B" w:rsidRDefault="009D2D76" w:rsidP="009D2D76">
            <w:pPr>
              <w:pStyle w:val="Tabletext"/>
              <w:rPr>
                <w:szCs w:val="18"/>
              </w:rPr>
            </w:pPr>
            <w:r w:rsidRPr="00215F2B">
              <w:rPr>
                <w:szCs w:val="18"/>
              </w:rPr>
              <w:t xml:space="preserve">Tax </w:t>
            </w:r>
          </w:p>
        </w:tc>
        <w:tc>
          <w:tcPr>
            <w:tcW w:w="1134" w:type="dxa"/>
            <w:tcBorders>
              <w:bottom w:val="single" w:sz="4" w:space="0" w:color="808080" w:themeColor="background1" w:themeShade="80"/>
            </w:tcBorders>
          </w:tcPr>
          <w:p w14:paraId="0567DCD3" w14:textId="77777777" w:rsidR="009D2D76" w:rsidRPr="00215F2B" w:rsidRDefault="009D2D76" w:rsidP="009D2D76">
            <w:pPr>
              <w:pStyle w:val="TableFigures"/>
              <w:rPr>
                <w:szCs w:val="18"/>
              </w:rPr>
            </w:pPr>
          </w:p>
        </w:tc>
        <w:tc>
          <w:tcPr>
            <w:tcW w:w="794" w:type="dxa"/>
            <w:tcBorders>
              <w:bottom w:val="single" w:sz="4" w:space="0" w:color="808080" w:themeColor="background1" w:themeShade="80"/>
            </w:tcBorders>
            <w:shd w:val="clear" w:color="auto" w:fill="auto"/>
            <w:vAlign w:val="bottom"/>
          </w:tcPr>
          <w:p w14:paraId="7C8F3894" w14:textId="50C141AF" w:rsidR="009D2D76" w:rsidRPr="008239CB" w:rsidRDefault="009D2D76" w:rsidP="009D2D76">
            <w:pPr>
              <w:pStyle w:val="TableFigures"/>
              <w:rPr>
                <w:szCs w:val="18"/>
              </w:rPr>
            </w:pPr>
            <w:r w:rsidRPr="008239CB">
              <w:rPr>
                <w:szCs w:val="18"/>
              </w:rPr>
              <w:t>9</w:t>
            </w:r>
          </w:p>
        </w:tc>
        <w:tc>
          <w:tcPr>
            <w:tcW w:w="1134" w:type="dxa"/>
            <w:tcBorders>
              <w:bottom w:val="single" w:sz="4" w:space="0" w:color="808080" w:themeColor="background1" w:themeShade="80"/>
            </w:tcBorders>
            <w:shd w:val="clear" w:color="auto" w:fill="auto"/>
            <w:vAlign w:val="bottom"/>
          </w:tcPr>
          <w:p w14:paraId="1D7A933C" w14:textId="75B5A78A" w:rsidR="009D2D76" w:rsidRPr="00215F2B" w:rsidRDefault="00215F2B" w:rsidP="009D2D76">
            <w:pPr>
              <w:pStyle w:val="TableFiguresBracketsBold"/>
            </w:pPr>
            <w:r w:rsidRPr="00215F2B">
              <w:t>(288)</w:t>
            </w:r>
          </w:p>
        </w:tc>
        <w:tc>
          <w:tcPr>
            <w:tcW w:w="1134" w:type="dxa"/>
            <w:tcBorders>
              <w:bottom w:val="single" w:sz="4" w:space="0" w:color="808080" w:themeColor="background1" w:themeShade="80"/>
            </w:tcBorders>
            <w:vAlign w:val="bottom"/>
          </w:tcPr>
          <w:p w14:paraId="44EF4093" w14:textId="1349C955" w:rsidR="009D2D76" w:rsidRPr="00215F2B" w:rsidRDefault="00215F2B" w:rsidP="009D2D76">
            <w:pPr>
              <w:pStyle w:val="TableFiguresBrackets"/>
              <w:rPr>
                <w:szCs w:val="18"/>
              </w:rPr>
            </w:pPr>
            <w:r w:rsidRPr="00215F2B">
              <w:t>(35)</w:t>
            </w:r>
          </w:p>
        </w:tc>
      </w:tr>
      <w:tr w:rsidR="005F6D8A" w:rsidRPr="00215F2B" w14:paraId="42C3BE18" w14:textId="77777777" w:rsidTr="002A206B">
        <w:tc>
          <w:tcPr>
            <w:tcW w:w="6010" w:type="dxa"/>
            <w:tcBorders>
              <w:top w:val="single" w:sz="4" w:space="0" w:color="808080" w:themeColor="background1" w:themeShade="80"/>
              <w:bottom w:val="single" w:sz="4" w:space="0" w:color="808080" w:themeColor="background1" w:themeShade="80"/>
            </w:tcBorders>
            <w:shd w:val="clear" w:color="auto" w:fill="auto"/>
            <w:vAlign w:val="bottom"/>
          </w:tcPr>
          <w:p w14:paraId="75670D55" w14:textId="77777777" w:rsidR="009D2D76" w:rsidRPr="00215F2B" w:rsidRDefault="009D2D76" w:rsidP="009D2D76">
            <w:pPr>
              <w:pStyle w:val="Tabletext"/>
              <w:rPr>
                <w:b/>
                <w:bCs/>
              </w:rPr>
            </w:pPr>
            <w:r w:rsidRPr="00215F2B">
              <w:rPr>
                <w:b/>
                <w:bCs/>
              </w:rPr>
              <w:t>Profit after tax</w:t>
            </w:r>
          </w:p>
        </w:tc>
        <w:tc>
          <w:tcPr>
            <w:tcW w:w="1134" w:type="dxa"/>
            <w:tcBorders>
              <w:top w:val="single" w:sz="4" w:space="0" w:color="808080" w:themeColor="background1" w:themeShade="80"/>
              <w:bottom w:val="single" w:sz="4" w:space="0" w:color="808080" w:themeColor="background1" w:themeShade="80"/>
            </w:tcBorders>
          </w:tcPr>
          <w:p w14:paraId="0D77757C" w14:textId="77777777" w:rsidR="009D2D76" w:rsidRPr="00215F2B" w:rsidRDefault="009D2D76" w:rsidP="009D2D76">
            <w:pPr>
              <w:pStyle w:val="TableFigures"/>
              <w:rPr>
                <w:szCs w:val="18"/>
              </w:rPr>
            </w:pPr>
          </w:p>
        </w:tc>
        <w:tc>
          <w:tcPr>
            <w:tcW w:w="794" w:type="dxa"/>
            <w:tcBorders>
              <w:top w:val="single" w:sz="4" w:space="0" w:color="808080" w:themeColor="background1" w:themeShade="80"/>
              <w:bottom w:val="single" w:sz="4" w:space="0" w:color="808080" w:themeColor="background1" w:themeShade="80"/>
            </w:tcBorders>
            <w:shd w:val="clear" w:color="auto" w:fill="auto"/>
            <w:vAlign w:val="bottom"/>
          </w:tcPr>
          <w:p w14:paraId="3AE2D669" w14:textId="7CE7CDF3" w:rsidR="009D2D76" w:rsidRPr="008239CB" w:rsidRDefault="009D2D76" w:rsidP="009D2D76">
            <w:pPr>
              <w:pStyle w:val="TableFigures"/>
              <w:rPr>
                <w:szCs w:val="18"/>
              </w:rPr>
            </w:pPr>
          </w:p>
        </w:tc>
        <w:tc>
          <w:tcPr>
            <w:tcW w:w="1134" w:type="dxa"/>
            <w:tcBorders>
              <w:top w:val="single" w:sz="4" w:space="0" w:color="808080" w:themeColor="background1" w:themeShade="80"/>
              <w:bottom w:val="single" w:sz="4" w:space="0" w:color="808080" w:themeColor="background1" w:themeShade="80"/>
            </w:tcBorders>
            <w:shd w:val="clear" w:color="auto" w:fill="auto"/>
            <w:vAlign w:val="bottom"/>
          </w:tcPr>
          <w:p w14:paraId="2B48551C" w14:textId="08E390AA" w:rsidR="009D2D76" w:rsidRPr="00215F2B" w:rsidRDefault="00215F2B" w:rsidP="009D2D76">
            <w:pPr>
              <w:pStyle w:val="TableFiguresBold0"/>
            </w:pPr>
            <w:r w:rsidRPr="00215F2B">
              <w:t>4,067</w:t>
            </w:r>
          </w:p>
        </w:tc>
        <w:tc>
          <w:tcPr>
            <w:tcW w:w="1134" w:type="dxa"/>
            <w:tcBorders>
              <w:top w:val="single" w:sz="4" w:space="0" w:color="808080" w:themeColor="background1" w:themeShade="80"/>
              <w:bottom w:val="single" w:sz="4" w:space="0" w:color="808080" w:themeColor="background1" w:themeShade="80"/>
            </w:tcBorders>
            <w:vAlign w:val="bottom"/>
          </w:tcPr>
          <w:p w14:paraId="2466CE89" w14:textId="3139923A" w:rsidR="009D2D76" w:rsidRPr="00215F2B" w:rsidRDefault="00215F2B" w:rsidP="009D2D76">
            <w:pPr>
              <w:pStyle w:val="TableFigures"/>
              <w:rPr>
                <w:szCs w:val="18"/>
              </w:rPr>
            </w:pPr>
            <w:r w:rsidRPr="00215F2B">
              <w:t>1,429</w:t>
            </w:r>
          </w:p>
        </w:tc>
      </w:tr>
      <w:tr w:rsidR="005F6D8A" w:rsidRPr="00215F2B" w14:paraId="5171ACE0" w14:textId="77777777" w:rsidTr="002A206B">
        <w:tc>
          <w:tcPr>
            <w:tcW w:w="6010" w:type="dxa"/>
            <w:tcBorders>
              <w:top w:val="single" w:sz="4" w:space="0" w:color="808080" w:themeColor="background1" w:themeShade="80"/>
            </w:tcBorders>
            <w:shd w:val="clear" w:color="auto" w:fill="auto"/>
            <w:vAlign w:val="bottom"/>
          </w:tcPr>
          <w:p w14:paraId="6A607290" w14:textId="77777777" w:rsidR="009D2D76" w:rsidRPr="00215F2B" w:rsidRDefault="009D2D76" w:rsidP="009D2D76">
            <w:pPr>
              <w:pStyle w:val="Tabletext"/>
              <w:rPr>
                <w:szCs w:val="18"/>
              </w:rPr>
            </w:pPr>
            <w:r w:rsidRPr="00215F2B">
              <w:rPr>
                <w:szCs w:val="18"/>
              </w:rPr>
              <w:t>Attributable to equity shareholders</w:t>
            </w:r>
          </w:p>
        </w:tc>
        <w:tc>
          <w:tcPr>
            <w:tcW w:w="1134" w:type="dxa"/>
            <w:tcBorders>
              <w:top w:val="single" w:sz="4" w:space="0" w:color="808080" w:themeColor="background1" w:themeShade="80"/>
            </w:tcBorders>
          </w:tcPr>
          <w:p w14:paraId="1117E1F8" w14:textId="77777777" w:rsidR="009D2D76" w:rsidRPr="00215F2B" w:rsidRDefault="009D2D76" w:rsidP="009D2D76">
            <w:pPr>
              <w:pStyle w:val="TableFigures"/>
              <w:rPr>
                <w:szCs w:val="18"/>
              </w:rPr>
            </w:pPr>
          </w:p>
        </w:tc>
        <w:tc>
          <w:tcPr>
            <w:tcW w:w="794" w:type="dxa"/>
            <w:tcBorders>
              <w:top w:val="single" w:sz="4" w:space="0" w:color="808080" w:themeColor="background1" w:themeShade="80"/>
            </w:tcBorders>
            <w:shd w:val="clear" w:color="auto" w:fill="auto"/>
            <w:vAlign w:val="bottom"/>
          </w:tcPr>
          <w:p w14:paraId="5C44B0E6" w14:textId="77777777" w:rsidR="009D2D76" w:rsidRPr="008239CB" w:rsidRDefault="009D2D76" w:rsidP="009D2D76">
            <w:pPr>
              <w:pStyle w:val="TableFigures"/>
              <w:rPr>
                <w:szCs w:val="18"/>
              </w:rPr>
            </w:pPr>
          </w:p>
        </w:tc>
        <w:tc>
          <w:tcPr>
            <w:tcW w:w="1134" w:type="dxa"/>
            <w:tcBorders>
              <w:top w:val="single" w:sz="4" w:space="0" w:color="808080" w:themeColor="background1" w:themeShade="80"/>
            </w:tcBorders>
            <w:shd w:val="clear" w:color="auto" w:fill="auto"/>
            <w:vAlign w:val="bottom"/>
          </w:tcPr>
          <w:p w14:paraId="52433E2C" w14:textId="3BE1F631" w:rsidR="009D2D76" w:rsidRPr="00215F2B" w:rsidRDefault="00215F2B" w:rsidP="009D2D76">
            <w:pPr>
              <w:pStyle w:val="TableFiguresBold0"/>
            </w:pPr>
            <w:r w:rsidRPr="00215F2B">
              <w:t>4,060</w:t>
            </w:r>
          </w:p>
        </w:tc>
        <w:tc>
          <w:tcPr>
            <w:tcW w:w="1134" w:type="dxa"/>
            <w:tcBorders>
              <w:top w:val="single" w:sz="4" w:space="0" w:color="808080" w:themeColor="background1" w:themeShade="80"/>
            </w:tcBorders>
            <w:vAlign w:val="bottom"/>
          </w:tcPr>
          <w:p w14:paraId="15D1A05C" w14:textId="7A186F3C" w:rsidR="009D2D76" w:rsidRPr="00215F2B" w:rsidRDefault="00215F2B" w:rsidP="009D2D76">
            <w:pPr>
              <w:pStyle w:val="TableFigures"/>
              <w:rPr>
                <w:szCs w:val="18"/>
              </w:rPr>
            </w:pPr>
            <w:r w:rsidRPr="00215F2B">
              <w:t>1,427</w:t>
            </w:r>
          </w:p>
        </w:tc>
      </w:tr>
      <w:tr w:rsidR="005F6D8A" w:rsidRPr="00215F2B" w14:paraId="59D30973" w14:textId="77777777" w:rsidTr="002A206B">
        <w:tc>
          <w:tcPr>
            <w:tcW w:w="6010" w:type="dxa"/>
            <w:tcBorders>
              <w:bottom w:val="single" w:sz="4" w:space="0" w:color="808080" w:themeColor="background1" w:themeShade="80"/>
            </w:tcBorders>
            <w:shd w:val="clear" w:color="auto" w:fill="auto"/>
            <w:vAlign w:val="bottom"/>
          </w:tcPr>
          <w:p w14:paraId="1101F202" w14:textId="77777777" w:rsidR="009D2D76" w:rsidRPr="00215F2B" w:rsidRDefault="009D2D76" w:rsidP="009D2D76">
            <w:pPr>
              <w:pStyle w:val="Tabletext"/>
              <w:rPr>
                <w:szCs w:val="18"/>
              </w:rPr>
            </w:pPr>
            <w:r w:rsidRPr="00215F2B">
              <w:rPr>
                <w:szCs w:val="18"/>
              </w:rPr>
              <w:t>Attributable to non-controlling interests</w:t>
            </w:r>
          </w:p>
        </w:tc>
        <w:tc>
          <w:tcPr>
            <w:tcW w:w="1134" w:type="dxa"/>
            <w:tcBorders>
              <w:bottom w:val="single" w:sz="4" w:space="0" w:color="808080" w:themeColor="background1" w:themeShade="80"/>
            </w:tcBorders>
          </w:tcPr>
          <w:p w14:paraId="12ADE808" w14:textId="77777777" w:rsidR="009D2D76" w:rsidRPr="00215F2B" w:rsidRDefault="009D2D76" w:rsidP="009D2D76">
            <w:pPr>
              <w:pStyle w:val="TableFigures"/>
              <w:rPr>
                <w:szCs w:val="18"/>
              </w:rPr>
            </w:pPr>
          </w:p>
        </w:tc>
        <w:tc>
          <w:tcPr>
            <w:tcW w:w="794" w:type="dxa"/>
            <w:tcBorders>
              <w:bottom w:val="single" w:sz="4" w:space="0" w:color="808080" w:themeColor="background1" w:themeShade="80"/>
            </w:tcBorders>
            <w:shd w:val="clear" w:color="auto" w:fill="auto"/>
            <w:vAlign w:val="bottom"/>
          </w:tcPr>
          <w:p w14:paraId="34AB4250" w14:textId="77777777" w:rsidR="009D2D76" w:rsidRPr="008239CB" w:rsidRDefault="009D2D76" w:rsidP="009D2D76">
            <w:pPr>
              <w:pStyle w:val="TableFigures"/>
              <w:rPr>
                <w:szCs w:val="18"/>
              </w:rPr>
            </w:pPr>
          </w:p>
        </w:tc>
        <w:tc>
          <w:tcPr>
            <w:tcW w:w="1134" w:type="dxa"/>
            <w:tcBorders>
              <w:bottom w:val="single" w:sz="4" w:space="0" w:color="808080" w:themeColor="background1" w:themeShade="80"/>
            </w:tcBorders>
            <w:shd w:val="clear" w:color="auto" w:fill="auto"/>
            <w:vAlign w:val="bottom"/>
          </w:tcPr>
          <w:p w14:paraId="291BD4E0" w14:textId="6FB1E9CB" w:rsidR="009D2D76" w:rsidRPr="00215F2B" w:rsidRDefault="00215F2B" w:rsidP="009D2D76">
            <w:pPr>
              <w:pStyle w:val="TableFiguresBold0"/>
            </w:pPr>
            <w:r w:rsidRPr="00215F2B">
              <w:t>7</w:t>
            </w:r>
          </w:p>
        </w:tc>
        <w:tc>
          <w:tcPr>
            <w:tcW w:w="1134" w:type="dxa"/>
            <w:tcBorders>
              <w:bottom w:val="single" w:sz="4" w:space="0" w:color="808080" w:themeColor="background1" w:themeShade="80"/>
            </w:tcBorders>
            <w:vAlign w:val="bottom"/>
          </w:tcPr>
          <w:p w14:paraId="25A823D8" w14:textId="4D37FB57" w:rsidR="009D2D76" w:rsidRPr="00215F2B" w:rsidRDefault="00215F2B" w:rsidP="009D2D76">
            <w:pPr>
              <w:pStyle w:val="TableFigures"/>
              <w:rPr>
                <w:szCs w:val="18"/>
              </w:rPr>
            </w:pPr>
            <w:r w:rsidRPr="00215F2B">
              <w:t>2</w:t>
            </w:r>
          </w:p>
        </w:tc>
      </w:tr>
      <w:tr w:rsidR="005F6D8A" w:rsidRPr="00215F2B" w14:paraId="539FEABF" w14:textId="77777777" w:rsidTr="002A206B">
        <w:tc>
          <w:tcPr>
            <w:tcW w:w="6010" w:type="dxa"/>
            <w:tcBorders>
              <w:top w:val="single" w:sz="4" w:space="0" w:color="808080" w:themeColor="background1" w:themeShade="80"/>
              <w:bottom w:val="single" w:sz="4" w:space="0" w:color="808080" w:themeColor="background1" w:themeShade="80"/>
            </w:tcBorders>
            <w:shd w:val="clear" w:color="auto" w:fill="auto"/>
            <w:vAlign w:val="bottom"/>
          </w:tcPr>
          <w:p w14:paraId="101E62DD" w14:textId="77777777" w:rsidR="009D2D76" w:rsidRPr="00215F2B" w:rsidRDefault="009D2D76" w:rsidP="009D2D76">
            <w:pPr>
              <w:pStyle w:val="Tabletext"/>
              <w:rPr>
                <w:szCs w:val="18"/>
              </w:rPr>
            </w:pPr>
          </w:p>
        </w:tc>
        <w:tc>
          <w:tcPr>
            <w:tcW w:w="1134" w:type="dxa"/>
            <w:tcBorders>
              <w:top w:val="single" w:sz="4" w:space="0" w:color="808080" w:themeColor="background1" w:themeShade="80"/>
              <w:bottom w:val="single" w:sz="4" w:space="0" w:color="808080" w:themeColor="background1" w:themeShade="80"/>
            </w:tcBorders>
          </w:tcPr>
          <w:p w14:paraId="78C362D7" w14:textId="77777777" w:rsidR="009D2D76" w:rsidRPr="00215F2B" w:rsidRDefault="009D2D76" w:rsidP="009D2D76">
            <w:pPr>
              <w:pStyle w:val="TableFigures"/>
              <w:rPr>
                <w:szCs w:val="18"/>
              </w:rPr>
            </w:pPr>
          </w:p>
        </w:tc>
        <w:tc>
          <w:tcPr>
            <w:tcW w:w="794" w:type="dxa"/>
            <w:tcBorders>
              <w:top w:val="single" w:sz="4" w:space="0" w:color="808080" w:themeColor="background1" w:themeShade="80"/>
              <w:bottom w:val="single" w:sz="4" w:space="0" w:color="808080" w:themeColor="background1" w:themeShade="80"/>
            </w:tcBorders>
            <w:shd w:val="clear" w:color="auto" w:fill="auto"/>
            <w:vAlign w:val="bottom"/>
          </w:tcPr>
          <w:p w14:paraId="7AB3D8E6" w14:textId="77777777" w:rsidR="009D2D76" w:rsidRPr="008239CB" w:rsidRDefault="009D2D76" w:rsidP="009D2D76">
            <w:pPr>
              <w:pStyle w:val="TableFigures"/>
              <w:rPr>
                <w:szCs w:val="18"/>
              </w:rPr>
            </w:pPr>
          </w:p>
        </w:tc>
        <w:tc>
          <w:tcPr>
            <w:tcW w:w="1134" w:type="dxa"/>
            <w:tcBorders>
              <w:top w:val="single" w:sz="4" w:space="0" w:color="808080" w:themeColor="background1" w:themeShade="80"/>
              <w:bottom w:val="single" w:sz="4" w:space="0" w:color="808080" w:themeColor="background1" w:themeShade="80"/>
            </w:tcBorders>
            <w:shd w:val="clear" w:color="auto" w:fill="auto"/>
            <w:vAlign w:val="bottom"/>
          </w:tcPr>
          <w:p w14:paraId="6094E710" w14:textId="77777777" w:rsidR="009D2D76" w:rsidRPr="00215F2B" w:rsidRDefault="009D2D76" w:rsidP="009D2D76">
            <w:pPr>
              <w:pStyle w:val="TableFigures"/>
              <w:rPr>
                <w:szCs w:val="18"/>
              </w:rPr>
            </w:pPr>
          </w:p>
        </w:tc>
        <w:tc>
          <w:tcPr>
            <w:tcW w:w="1134" w:type="dxa"/>
            <w:tcBorders>
              <w:top w:val="single" w:sz="4" w:space="0" w:color="808080" w:themeColor="background1" w:themeShade="80"/>
              <w:bottom w:val="single" w:sz="4" w:space="0" w:color="808080" w:themeColor="background1" w:themeShade="80"/>
            </w:tcBorders>
            <w:vAlign w:val="bottom"/>
          </w:tcPr>
          <w:p w14:paraId="7BAB952D" w14:textId="77777777" w:rsidR="009D2D76" w:rsidRPr="00215F2B" w:rsidRDefault="009D2D76" w:rsidP="009D2D76">
            <w:pPr>
              <w:pStyle w:val="TableFigures"/>
              <w:rPr>
                <w:b/>
                <w:szCs w:val="18"/>
              </w:rPr>
            </w:pPr>
          </w:p>
        </w:tc>
      </w:tr>
      <w:tr w:rsidR="005F6D8A" w:rsidRPr="00215F2B" w14:paraId="5DB133B2" w14:textId="77777777" w:rsidTr="002A206B">
        <w:tc>
          <w:tcPr>
            <w:tcW w:w="6010" w:type="dxa"/>
            <w:tcBorders>
              <w:top w:val="single" w:sz="4" w:space="0" w:color="808080" w:themeColor="background1" w:themeShade="80"/>
            </w:tcBorders>
            <w:shd w:val="clear" w:color="auto" w:fill="auto"/>
            <w:vAlign w:val="bottom"/>
          </w:tcPr>
          <w:p w14:paraId="38FD8CC2" w14:textId="77777777" w:rsidR="009D2D76" w:rsidRPr="00215F2B" w:rsidRDefault="009D2D76" w:rsidP="009D2D76">
            <w:pPr>
              <w:pStyle w:val="TabletextBold"/>
              <w:rPr>
                <w:szCs w:val="18"/>
                <w:vertAlign w:val="superscript"/>
              </w:rPr>
            </w:pPr>
            <w:r w:rsidRPr="00215F2B">
              <w:rPr>
                <w:szCs w:val="18"/>
              </w:rPr>
              <w:t>Earnings per share (pence)</w:t>
            </w:r>
          </w:p>
        </w:tc>
        <w:tc>
          <w:tcPr>
            <w:tcW w:w="1134" w:type="dxa"/>
            <w:tcBorders>
              <w:top w:val="single" w:sz="4" w:space="0" w:color="808080" w:themeColor="background1" w:themeShade="80"/>
            </w:tcBorders>
          </w:tcPr>
          <w:p w14:paraId="720DD37A" w14:textId="77777777" w:rsidR="009D2D76" w:rsidRPr="00215F2B" w:rsidRDefault="009D2D76" w:rsidP="009D2D76">
            <w:pPr>
              <w:pStyle w:val="TableFigures"/>
              <w:rPr>
                <w:szCs w:val="18"/>
              </w:rPr>
            </w:pPr>
          </w:p>
        </w:tc>
        <w:tc>
          <w:tcPr>
            <w:tcW w:w="794" w:type="dxa"/>
            <w:tcBorders>
              <w:top w:val="single" w:sz="4" w:space="0" w:color="808080" w:themeColor="background1" w:themeShade="80"/>
            </w:tcBorders>
            <w:shd w:val="clear" w:color="auto" w:fill="auto"/>
            <w:vAlign w:val="bottom"/>
          </w:tcPr>
          <w:p w14:paraId="1776E9D5" w14:textId="77777777" w:rsidR="009D2D76" w:rsidRPr="008239CB" w:rsidRDefault="009D2D76" w:rsidP="009D2D76">
            <w:pPr>
              <w:pStyle w:val="TableFigures"/>
              <w:rPr>
                <w:szCs w:val="18"/>
              </w:rPr>
            </w:pPr>
          </w:p>
        </w:tc>
        <w:tc>
          <w:tcPr>
            <w:tcW w:w="1134" w:type="dxa"/>
            <w:tcBorders>
              <w:top w:val="single" w:sz="4" w:space="0" w:color="808080" w:themeColor="background1" w:themeShade="80"/>
            </w:tcBorders>
            <w:shd w:val="clear" w:color="auto" w:fill="auto"/>
            <w:vAlign w:val="bottom"/>
          </w:tcPr>
          <w:p w14:paraId="47F54341" w14:textId="77777777" w:rsidR="009D2D76" w:rsidRPr="00215F2B" w:rsidRDefault="009D2D76" w:rsidP="009D2D76">
            <w:pPr>
              <w:pStyle w:val="TableFigures"/>
              <w:rPr>
                <w:szCs w:val="18"/>
              </w:rPr>
            </w:pPr>
          </w:p>
        </w:tc>
        <w:tc>
          <w:tcPr>
            <w:tcW w:w="1134" w:type="dxa"/>
            <w:tcBorders>
              <w:top w:val="single" w:sz="4" w:space="0" w:color="808080" w:themeColor="background1" w:themeShade="80"/>
            </w:tcBorders>
            <w:vAlign w:val="bottom"/>
          </w:tcPr>
          <w:p w14:paraId="514395A8" w14:textId="77777777" w:rsidR="009D2D76" w:rsidRPr="00215F2B" w:rsidRDefault="009D2D76" w:rsidP="009D2D76">
            <w:pPr>
              <w:pStyle w:val="TableFigures"/>
              <w:rPr>
                <w:b/>
                <w:szCs w:val="18"/>
              </w:rPr>
            </w:pPr>
          </w:p>
        </w:tc>
      </w:tr>
      <w:tr w:rsidR="005F6D8A" w:rsidRPr="00215F2B" w14:paraId="7D135AF9" w14:textId="77777777" w:rsidTr="002A206B">
        <w:tc>
          <w:tcPr>
            <w:tcW w:w="6010" w:type="dxa"/>
            <w:shd w:val="clear" w:color="auto" w:fill="auto"/>
            <w:vAlign w:val="bottom"/>
          </w:tcPr>
          <w:p w14:paraId="72192541" w14:textId="77777777" w:rsidR="009D2D76" w:rsidRPr="00215F2B" w:rsidRDefault="009D2D76" w:rsidP="009D2D76">
            <w:pPr>
              <w:pStyle w:val="Tabletext"/>
              <w:rPr>
                <w:szCs w:val="18"/>
              </w:rPr>
            </w:pPr>
            <w:r w:rsidRPr="00215F2B">
              <w:rPr>
                <w:szCs w:val="18"/>
              </w:rPr>
              <w:t xml:space="preserve">Basic </w:t>
            </w:r>
          </w:p>
        </w:tc>
        <w:tc>
          <w:tcPr>
            <w:tcW w:w="1134" w:type="dxa"/>
          </w:tcPr>
          <w:p w14:paraId="49B7168A" w14:textId="77777777" w:rsidR="009D2D76" w:rsidRPr="00215F2B" w:rsidRDefault="009D2D76" w:rsidP="009D2D76">
            <w:pPr>
              <w:pStyle w:val="TableFigures"/>
              <w:rPr>
                <w:szCs w:val="18"/>
              </w:rPr>
            </w:pPr>
          </w:p>
        </w:tc>
        <w:tc>
          <w:tcPr>
            <w:tcW w:w="794" w:type="dxa"/>
            <w:shd w:val="clear" w:color="auto" w:fill="auto"/>
            <w:vAlign w:val="bottom"/>
          </w:tcPr>
          <w:p w14:paraId="0FE88394" w14:textId="2101BDC1" w:rsidR="009D2D76" w:rsidRPr="008239CB" w:rsidRDefault="009D2D76" w:rsidP="009D2D76">
            <w:pPr>
              <w:pStyle w:val="TableFigures"/>
              <w:rPr>
                <w:szCs w:val="18"/>
              </w:rPr>
            </w:pPr>
            <w:r w:rsidRPr="008239CB">
              <w:rPr>
                <w:szCs w:val="18"/>
              </w:rPr>
              <w:t>11</w:t>
            </w:r>
          </w:p>
        </w:tc>
        <w:tc>
          <w:tcPr>
            <w:tcW w:w="1134" w:type="dxa"/>
            <w:shd w:val="clear" w:color="auto" w:fill="auto"/>
            <w:vAlign w:val="bottom"/>
          </w:tcPr>
          <w:p w14:paraId="660C7744" w14:textId="5ACE7CB1" w:rsidR="009D2D76" w:rsidRPr="00215F2B" w:rsidRDefault="00215F2B" w:rsidP="009D2D76">
            <w:pPr>
              <w:pStyle w:val="TableFiguresBold0"/>
            </w:pPr>
            <w:r w:rsidRPr="00215F2B">
              <w:t>339.0</w:t>
            </w:r>
          </w:p>
        </w:tc>
        <w:tc>
          <w:tcPr>
            <w:tcW w:w="1134" w:type="dxa"/>
            <w:vAlign w:val="bottom"/>
          </w:tcPr>
          <w:p w14:paraId="7B1E9134" w14:textId="544B362E" w:rsidR="009D2D76" w:rsidRPr="00215F2B" w:rsidRDefault="00215F2B" w:rsidP="009D2D76">
            <w:pPr>
              <w:pStyle w:val="TableFigures"/>
            </w:pPr>
            <w:r w:rsidRPr="00215F2B">
              <w:t>124.1</w:t>
            </w:r>
          </w:p>
        </w:tc>
      </w:tr>
      <w:tr w:rsidR="009D2D76" w:rsidRPr="00215F2B" w14:paraId="3ACDDF6A" w14:textId="77777777" w:rsidTr="002A206B">
        <w:tc>
          <w:tcPr>
            <w:tcW w:w="6010" w:type="dxa"/>
            <w:tcBorders>
              <w:bottom w:val="single" w:sz="8" w:space="0" w:color="A6A6A6" w:themeColor="background1" w:themeShade="A6"/>
            </w:tcBorders>
            <w:shd w:val="clear" w:color="auto" w:fill="auto"/>
            <w:vAlign w:val="bottom"/>
          </w:tcPr>
          <w:p w14:paraId="6A95F22C" w14:textId="77777777" w:rsidR="009D2D76" w:rsidRPr="00215F2B" w:rsidRDefault="009D2D76" w:rsidP="009D2D76">
            <w:pPr>
              <w:pStyle w:val="Tabletext"/>
              <w:rPr>
                <w:szCs w:val="18"/>
              </w:rPr>
            </w:pPr>
            <w:r w:rsidRPr="00215F2B">
              <w:rPr>
                <w:szCs w:val="18"/>
              </w:rPr>
              <w:t>Diluted</w:t>
            </w:r>
          </w:p>
        </w:tc>
        <w:tc>
          <w:tcPr>
            <w:tcW w:w="1134" w:type="dxa"/>
            <w:tcBorders>
              <w:bottom w:val="single" w:sz="8" w:space="0" w:color="A6A6A6" w:themeColor="background1" w:themeShade="A6"/>
            </w:tcBorders>
          </w:tcPr>
          <w:p w14:paraId="15787B99" w14:textId="77777777" w:rsidR="009D2D76" w:rsidRPr="00215F2B" w:rsidRDefault="009D2D76" w:rsidP="009D2D76">
            <w:pPr>
              <w:pStyle w:val="TableFigures"/>
              <w:rPr>
                <w:szCs w:val="18"/>
              </w:rPr>
            </w:pPr>
          </w:p>
        </w:tc>
        <w:tc>
          <w:tcPr>
            <w:tcW w:w="794" w:type="dxa"/>
            <w:tcBorders>
              <w:bottom w:val="single" w:sz="8" w:space="0" w:color="A6A6A6" w:themeColor="background1" w:themeShade="A6"/>
            </w:tcBorders>
            <w:shd w:val="clear" w:color="auto" w:fill="auto"/>
            <w:vAlign w:val="bottom"/>
          </w:tcPr>
          <w:p w14:paraId="4A2A487D" w14:textId="5AD94D29" w:rsidR="009D2D76" w:rsidRPr="008239CB" w:rsidRDefault="009D2D76" w:rsidP="009D2D76">
            <w:pPr>
              <w:pStyle w:val="TableFigures"/>
              <w:rPr>
                <w:szCs w:val="18"/>
              </w:rPr>
            </w:pPr>
            <w:r w:rsidRPr="008239CB">
              <w:rPr>
                <w:szCs w:val="18"/>
              </w:rPr>
              <w:t>11</w:t>
            </w:r>
          </w:p>
        </w:tc>
        <w:tc>
          <w:tcPr>
            <w:tcW w:w="1134" w:type="dxa"/>
            <w:tcBorders>
              <w:bottom w:val="single" w:sz="8" w:space="0" w:color="A6A6A6" w:themeColor="background1" w:themeShade="A6"/>
            </w:tcBorders>
            <w:shd w:val="clear" w:color="auto" w:fill="auto"/>
            <w:vAlign w:val="bottom"/>
          </w:tcPr>
          <w:p w14:paraId="532BCE2F" w14:textId="2AD9001B" w:rsidR="009D2D76" w:rsidRPr="00215F2B" w:rsidRDefault="00215F2B" w:rsidP="009D2D76">
            <w:pPr>
              <w:pStyle w:val="TableFiguresBold0"/>
            </w:pPr>
            <w:r w:rsidRPr="00215F2B">
              <w:t>338.1</w:t>
            </w:r>
          </w:p>
        </w:tc>
        <w:tc>
          <w:tcPr>
            <w:tcW w:w="1134" w:type="dxa"/>
            <w:tcBorders>
              <w:bottom w:val="single" w:sz="8" w:space="0" w:color="A6A6A6" w:themeColor="background1" w:themeShade="A6"/>
            </w:tcBorders>
            <w:vAlign w:val="bottom"/>
          </w:tcPr>
          <w:p w14:paraId="73C43757" w14:textId="2CC89555" w:rsidR="009D2D76" w:rsidRPr="00215F2B" w:rsidRDefault="00215F2B" w:rsidP="009D2D76">
            <w:pPr>
              <w:pStyle w:val="TableFigures"/>
              <w:rPr>
                <w:szCs w:val="18"/>
              </w:rPr>
            </w:pPr>
            <w:r w:rsidRPr="00215F2B">
              <w:t>123.6</w:t>
            </w:r>
          </w:p>
        </w:tc>
      </w:tr>
    </w:tbl>
    <w:p w14:paraId="0700BBAE" w14:textId="4C3DC45C" w:rsidR="005E793C" w:rsidRPr="005F6D8A" w:rsidRDefault="005E793C" w:rsidP="00D449E6">
      <w:pPr>
        <w:pStyle w:val="FootnotesNoSpace"/>
        <w:rPr>
          <w:i w:val="0"/>
          <w:color w:val="FF0000"/>
        </w:rPr>
      </w:pPr>
    </w:p>
    <w:p w14:paraId="422CB157" w14:textId="77777777" w:rsidR="005E793C" w:rsidRPr="005F6D8A" w:rsidRDefault="005E793C" w:rsidP="005E793C">
      <w:pPr>
        <w:pStyle w:val="FootnotesNoSpace"/>
        <w:rPr>
          <w:i w:val="0"/>
          <w:iCs/>
          <w:color w:val="FF0000"/>
          <w:highlight w:val="yellow"/>
        </w:rPr>
      </w:pPr>
    </w:p>
    <w:p w14:paraId="479C3A1C" w14:textId="77777777" w:rsidR="005E793C" w:rsidRPr="00215F2B" w:rsidRDefault="005E793C" w:rsidP="005E793C">
      <w:pPr>
        <w:pStyle w:val="Heading2"/>
      </w:pPr>
      <w:r w:rsidRPr="00215F2B">
        <w:t xml:space="preserve">CONDENSED GROUP STATEMENT OF COMPREHENSIVE INCOME </w:t>
      </w:r>
    </w:p>
    <w:p w14:paraId="4F6E2667" w14:textId="220E4AE5" w:rsidR="005E793C" w:rsidRPr="00215F2B" w:rsidRDefault="005E793C" w:rsidP="005E793C">
      <w:pPr>
        <w:pStyle w:val="Heading3"/>
      </w:pPr>
      <w:r w:rsidRPr="00215F2B">
        <w:t>For the year ended 31 December 20</w:t>
      </w:r>
      <w:r w:rsidR="009D2D76" w:rsidRPr="00215F2B">
        <w:t>2</w:t>
      </w:r>
      <w:r w:rsidR="00215F2B" w:rsidRPr="00215F2B">
        <w:t>1</w:t>
      </w:r>
    </w:p>
    <w:tbl>
      <w:tblPr>
        <w:tblW w:w="10566" w:type="dxa"/>
        <w:tblCellMar>
          <w:left w:w="0" w:type="dxa"/>
          <w:right w:w="0" w:type="dxa"/>
        </w:tblCellMar>
        <w:tblLook w:val="01E0" w:firstRow="1" w:lastRow="1" w:firstColumn="1" w:lastColumn="1" w:noHBand="0" w:noVBand="0"/>
      </w:tblPr>
      <w:tblGrid>
        <w:gridCol w:w="6237"/>
        <w:gridCol w:w="927"/>
        <w:gridCol w:w="1134"/>
        <w:gridCol w:w="1134"/>
        <w:gridCol w:w="1134"/>
      </w:tblGrid>
      <w:tr w:rsidR="005F6D8A" w:rsidRPr="00215F2B" w14:paraId="404DB5AB" w14:textId="77777777" w:rsidTr="00FA7C8E">
        <w:tc>
          <w:tcPr>
            <w:tcW w:w="6237" w:type="dxa"/>
            <w:tcBorders>
              <w:bottom w:val="single" w:sz="8" w:space="0" w:color="808080" w:themeColor="background1" w:themeShade="80"/>
            </w:tcBorders>
            <w:shd w:val="clear" w:color="auto" w:fill="auto"/>
            <w:vAlign w:val="bottom"/>
          </w:tcPr>
          <w:p w14:paraId="4FC41C47" w14:textId="77777777" w:rsidR="005E793C" w:rsidRPr="00215F2B" w:rsidRDefault="005E793C" w:rsidP="00E30618">
            <w:pPr>
              <w:pStyle w:val="TableColHeads"/>
              <w:spacing w:line="-180" w:lineRule="auto"/>
              <w:rPr>
                <w:rFonts w:cs="Arial"/>
                <w:szCs w:val="18"/>
              </w:rPr>
            </w:pPr>
          </w:p>
        </w:tc>
        <w:tc>
          <w:tcPr>
            <w:tcW w:w="927" w:type="dxa"/>
            <w:tcBorders>
              <w:bottom w:val="single" w:sz="8" w:space="0" w:color="808080" w:themeColor="background1" w:themeShade="80"/>
            </w:tcBorders>
            <w:shd w:val="clear" w:color="auto" w:fill="auto"/>
            <w:vAlign w:val="bottom"/>
          </w:tcPr>
          <w:p w14:paraId="317DA7FC" w14:textId="77777777" w:rsidR="005E793C" w:rsidRPr="00215F2B" w:rsidRDefault="005E793C" w:rsidP="00E30618">
            <w:pPr>
              <w:pStyle w:val="TableColHeads"/>
              <w:spacing w:line="-180" w:lineRule="auto"/>
              <w:rPr>
                <w:rFonts w:cs="Arial"/>
                <w:szCs w:val="18"/>
              </w:rPr>
            </w:pPr>
          </w:p>
        </w:tc>
        <w:tc>
          <w:tcPr>
            <w:tcW w:w="1134" w:type="dxa"/>
            <w:tcBorders>
              <w:bottom w:val="single" w:sz="8" w:space="0" w:color="808080" w:themeColor="background1" w:themeShade="80"/>
            </w:tcBorders>
            <w:shd w:val="clear" w:color="auto" w:fill="auto"/>
            <w:vAlign w:val="bottom"/>
          </w:tcPr>
          <w:p w14:paraId="3CA2405E" w14:textId="77777777" w:rsidR="005E793C" w:rsidRPr="00215F2B" w:rsidRDefault="005E793C" w:rsidP="00E30618">
            <w:pPr>
              <w:pStyle w:val="TableColHeads"/>
              <w:spacing w:line="180" w:lineRule="exact"/>
            </w:pPr>
          </w:p>
        </w:tc>
        <w:tc>
          <w:tcPr>
            <w:tcW w:w="1134" w:type="dxa"/>
            <w:tcBorders>
              <w:bottom w:val="single" w:sz="8" w:space="0" w:color="808080" w:themeColor="background1" w:themeShade="80"/>
            </w:tcBorders>
            <w:shd w:val="clear" w:color="auto" w:fill="auto"/>
            <w:vAlign w:val="bottom"/>
          </w:tcPr>
          <w:p w14:paraId="378C3D7A" w14:textId="7B10C1B7" w:rsidR="005E793C" w:rsidRPr="00215F2B" w:rsidRDefault="005E793C" w:rsidP="00E30618">
            <w:pPr>
              <w:pStyle w:val="TableColHeadsBold0"/>
            </w:pPr>
            <w:r w:rsidRPr="00215F2B">
              <w:t>20</w:t>
            </w:r>
            <w:r w:rsidR="009D2D76" w:rsidRPr="00215F2B">
              <w:t>2</w:t>
            </w:r>
            <w:r w:rsidR="00215F2B" w:rsidRPr="00215F2B">
              <w:t>1</w:t>
            </w:r>
          </w:p>
          <w:p w14:paraId="1A1F374E" w14:textId="77777777" w:rsidR="005E793C" w:rsidRPr="00215F2B" w:rsidRDefault="005E793C" w:rsidP="00E30618">
            <w:pPr>
              <w:pStyle w:val="TableColHeadsBold0"/>
            </w:pPr>
            <w:r w:rsidRPr="00215F2B">
              <w:t>£m</w:t>
            </w:r>
          </w:p>
        </w:tc>
        <w:tc>
          <w:tcPr>
            <w:tcW w:w="1134" w:type="dxa"/>
            <w:tcBorders>
              <w:bottom w:val="single" w:sz="8" w:space="0" w:color="808080" w:themeColor="background1" w:themeShade="80"/>
            </w:tcBorders>
            <w:shd w:val="clear" w:color="auto" w:fill="auto"/>
            <w:vAlign w:val="bottom"/>
          </w:tcPr>
          <w:p w14:paraId="3A9977D7" w14:textId="3613F24C" w:rsidR="005E793C" w:rsidRPr="00215F2B" w:rsidRDefault="005E793C" w:rsidP="00E30618">
            <w:pPr>
              <w:pStyle w:val="TableColHeadsBold0"/>
              <w:rPr>
                <w:b w:val="0"/>
                <w:bCs w:val="0"/>
              </w:rPr>
            </w:pPr>
            <w:r w:rsidRPr="00215F2B">
              <w:br/>
            </w:r>
            <w:r w:rsidRPr="00215F2B">
              <w:rPr>
                <w:b w:val="0"/>
                <w:bCs w:val="0"/>
              </w:rPr>
              <w:t xml:space="preserve"> 20</w:t>
            </w:r>
            <w:r w:rsidR="00215F2B" w:rsidRPr="00215F2B">
              <w:rPr>
                <w:b w:val="0"/>
                <w:bCs w:val="0"/>
              </w:rPr>
              <w:t>20</w:t>
            </w:r>
          </w:p>
          <w:p w14:paraId="2C97380A" w14:textId="77777777" w:rsidR="005E793C" w:rsidRPr="00215F2B" w:rsidRDefault="005E793C" w:rsidP="00E30618">
            <w:pPr>
              <w:pStyle w:val="TableColHeadsBold0"/>
            </w:pPr>
            <w:r w:rsidRPr="00215F2B">
              <w:rPr>
                <w:b w:val="0"/>
                <w:bCs w:val="0"/>
              </w:rPr>
              <w:t>£m</w:t>
            </w:r>
          </w:p>
        </w:tc>
      </w:tr>
      <w:tr w:rsidR="005F6D8A" w:rsidRPr="00215F2B" w14:paraId="39413E37" w14:textId="77777777" w:rsidTr="00FA7C8E">
        <w:tc>
          <w:tcPr>
            <w:tcW w:w="6237" w:type="dxa"/>
            <w:tcBorders>
              <w:top w:val="single" w:sz="8" w:space="0" w:color="808080" w:themeColor="background1" w:themeShade="80"/>
              <w:bottom w:val="single" w:sz="4" w:space="0" w:color="808080" w:themeColor="background1" w:themeShade="80"/>
            </w:tcBorders>
            <w:shd w:val="clear" w:color="auto" w:fill="auto"/>
            <w:vAlign w:val="bottom"/>
          </w:tcPr>
          <w:p w14:paraId="003F3964" w14:textId="77777777" w:rsidR="009D2D76" w:rsidRPr="00215F2B" w:rsidRDefault="009D2D76" w:rsidP="009D2D76">
            <w:pPr>
              <w:pStyle w:val="TabletextBold"/>
            </w:pPr>
            <w:r w:rsidRPr="00215F2B">
              <w:t>Profit for the year</w:t>
            </w:r>
          </w:p>
        </w:tc>
        <w:tc>
          <w:tcPr>
            <w:tcW w:w="927" w:type="dxa"/>
            <w:tcBorders>
              <w:top w:val="single" w:sz="8" w:space="0" w:color="808080" w:themeColor="background1" w:themeShade="80"/>
              <w:bottom w:val="single" w:sz="4" w:space="0" w:color="808080" w:themeColor="background1" w:themeShade="80"/>
            </w:tcBorders>
            <w:shd w:val="clear" w:color="auto" w:fill="auto"/>
            <w:vAlign w:val="bottom"/>
          </w:tcPr>
          <w:p w14:paraId="148963C2" w14:textId="071728A0" w:rsidR="009D2D76" w:rsidRPr="00215F2B" w:rsidRDefault="009D2D76" w:rsidP="009D2D76">
            <w:pPr>
              <w:pStyle w:val="TableFigures"/>
              <w:rPr>
                <w:rFonts w:cs="Arial"/>
                <w:szCs w:val="18"/>
              </w:rPr>
            </w:pPr>
          </w:p>
        </w:tc>
        <w:tc>
          <w:tcPr>
            <w:tcW w:w="1134" w:type="dxa"/>
            <w:tcBorders>
              <w:top w:val="single" w:sz="8" w:space="0" w:color="808080" w:themeColor="background1" w:themeShade="80"/>
              <w:bottom w:val="single" w:sz="4" w:space="0" w:color="808080" w:themeColor="background1" w:themeShade="80"/>
            </w:tcBorders>
            <w:shd w:val="clear" w:color="auto" w:fill="auto"/>
            <w:vAlign w:val="bottom"/>
          </w:tcPr>
          <w:p w14:paraId="75C4C651" w14:textId="39755779" w:rsidR="009D2D76" w:rsidRPr="00215F2B" w:rsidRDefault="009D2D76" w:rsidP="009D2D76">
            <w:pPr>
              <w:pStyle w:val="TableFiguresBold0"/>
              <w:rPr>
                <w:rFonts w:cs="Arial"/>
                <w:szCs w:val="18"/>
              </w:rPr>
            </w:pPr>
          </w:p>
        </w:tc>
        <w:tc>
          <w:tcPr>
            <w:tcW w:w="1134" w:type="dxa"/>
            <w:tcBorders>
              <w:top w:val="single" w:sz="8" w:space="0" w:color="808080" w:themeColor="background1" w:themeShade="80"/>
              <w:bottom w:val="single" w:sz="4" w:space="0" w:color="808080" w:themeColor="background1" w:themeShade="80"/>
            </w:tcBorders>
            <w:shd w:val="clear" w:color="auto" w:fill="auto"/>
            <w:vAlign w:val="bottom"/>
          </w:tcPr>
          <w:p w14:paraId="18F90C84" w14:textId="4290CC0F" w:rsidR="009D2D76" w:rsidRPr="00215F2B" w:rsidRDefault="00215F2B" w:rsidP="009D2D76">
            <w:pPr>
              <w:pStyle w:val="TableFiguresBold0"/>
            </w:pPr>
            <w:r w:rsidRPr="00215F2B">
              <w:t>4,067</w:t>
            </w:r>
          </w:p>
        </w:tc>
        <w:tc>
          <w:tcPr>
            <w:tcW w:w="1134" w:type="dxa"/>
            <w:tcBorders>
              <w:top w:val="single" w:sz="8" w:space="0" w:color="808080" w:themeColor="background1" w:themeShade="80"/>
              <w:bottom w:val="single" w:sz="4" w:space="0" w:color="808080" w:themeColor="background1" w:themeShade="80"/>
            </w:tcBorders>
            <w:vAlign w:val="bottom"/>
          </w:tcPr>
          <w:p w14:paraId="2561F002" w14:textId="2DEAE811" w:rsidR="009D2D76" w:rsidRPr="00215F2B" w:rsidRDefault="00215F2B" w:rsidP="009D2D76">
            <w:pPr>
              <w:pStyle w:val="TableFigures"/>
              <w:rPr>
                <w:rFonts w:cs="Arial"/>
                <w:szCs w:val="18"/>
              </w:rPr>
            </w:pPr>
            <w:r w:rsidRPr="00215F2B">
              <w:t>1,429</w:t>
            </w:r>
          </w:p>
        </w:tc>
      </w:tr>
      <w:tr w:rsidR="005F6D8A" w:rsidRPr="00215F2B" w14:paraId="1B30E297" w14:textId="77777777" w:rsidTr="00E30618">
        <w:tc>
          <w:tcPr>
            <w:tcW w:w="6237" w:type="dxa"/>
            <w:shd w:val="clear" w:color="auto" w:fill="auto"/>
            <w:vAlign w:val="bottom"/>
          </w:tcPr>
          <w:p w14:paraId="58E578D1" w14:textId="77777777" w:rsidR="009D2D76" w:rsidRPr="00215F2B" w:rsidRDefault="009D2D76" w:rsidP="009D2D76">
            <w:pPr>
              <w:pStyle w:val="TabletextBold"/>
              <w:rPr>
                <w:rFonts w:cs="Arial"/>
                <w:szCs w:val="18"/>
              </w:rPr>
            </w:pPr>
            <w:r w:rsidRPr="00215F2B">
              <w:rPr>
                <w:rFonts w:cs="Arial"/>
                <w:szCs w:val="18"/>
              </w:rPr>
              <w:t>Items that may be reclassified subsequently to profit or loss</w:t>
            </w:r>
          </w:p>
        </w:tc>
        <w:tc>
          <w:tcPr>
            <w:tcW w:w="927" w:type="dxa"/>
            <w:shd w:val="clear" w:color="auto" w:fill="auto"/>
            <w:vAlign w:val="bottom"/>
          </w:tcPr>
          <w:p w14:paraId="7658D0F3" w14:textId="77777777" w:rsidR="009D2D76" w:rsidRPr="00215F2B" w:rsidRDefault="009D2D76" w:rsidP="009D2D76">
            <w:pPr>
              <w:pStyle w:val="TableFigures"/>
              <w:rPr>
                <w:rFonts w:cs="Arial"/>
                <w:szCs w:val="18"/>
              </w:rPr>
            </w:pPr>
          </w:p>
        </w:tc>
        <w:tc>
          <w:tcPr>
            <w:tcW w:w="1134" w:type="dxa"/>
            <w:shd w:val="clear" w:color="auto" w:fill="auto"/>
            <w:vAlign w:val="bottom"/>
          </w:tcPr>
          <w:p w14:paraId="4854F11D" w14:textId="77777777" w:rsidR="009D2D76" w:rsidRPr="00215F2B" w:rsidRDefault="009D2D76" w:rsidP="009D2D76">
            <w:pPr>
              <w:pStyle w:val="TableFiguresBold0"/>
              <w:rPr>
                <w:rFonts w:cs="Arial"/>
                <w:szCs w:val="18"/>
              </w:rPr>
            </w:pPr>
          </w:p>
        </w:tc>
        <w:tc>
          <w:tcPr>
            <w:tcW w:w="1134" w:type="dxa"/>
            <w:shd w:val="clear" w:color="auto" w:fill="auto"/>
            <w:vAlign w:val="bottom"/>
          </w:tcPr>
          <w:p w14:paraId="7DB2C2AB" w14:textId="77777777" w:rsidR="009D2D76" w:rsidRPr="00215F2B" w:rsidRDefault="009D2D76" w:rsidP="009D2D76">
            <w:pPr>
              <w:pStyle w:val="TableFiguresBold0"/>
              <w:rPr>
                <w:rFonts w:cs="Arial"/>
                <w:b w:val="0"/>
                <w:szCs w:val="18"/>
              </w:rPr>
            </w:pPr>
          </w:p>
        </w:tc>
        <w:tc>
          <w:tcPr>
            <w:tcW w:w="1134" w:type="dxa"/>
            <w:vAlign w:val="bottom"/>
          </w:tcPr>
          <w:p w14:paraId="4DE311DB" w14:textId="77777777" w:rsidR="009D2D76" w:rsidRPr="00215F2B" w:rsidRDefault="009D2D76" w:rsidP="009D2D76">
            <w:pPr>
              <w:pStyle w:val="TableFiguresBrackets"/>
              <w:rPr>
                <w:rFonts w:cs="Arial"/>
                <w:szCs w:val="18"/>
              </w:rPr>
            </w:pPr>
          </w:p>
        </w:tc>
      </w:tr>
      <w:tr w:rsidR="005F6D8A" w:rsidRPr="00215F2B" w14:paraId="1B71FF16" w14:textId="77777777" w:rsidTr="00E30618">
        <w:tc>
          <w:tcPr>
            <w:tcW w:w="6237" w:type="dxa"/>
            <w:shd w:val="clear" w:color="auto" w:fill="auto"/>
            <w:vAlign w:val="bottom"/>
          </w:tcPr>
          <w:p w14:paraId="3D718124" w14:textId="77777777" w:rsidR="009D2D76" w:rsidRPr="00215F2B" w:rsidRDefault="009D2D76" w:rsidP="009D2D76">
            <w:pPr>
              <w:pStyle w:val="Tabletext"/>
            </w:pPr>
            <w:r w:rsidRPr="00215F2B">
              <w:t>Foreign exchange movement arising on translation of international operations</w:t>
            </w:r>
          </w:p>
        </w:tc>
        <w:tc>
          <w:tcPr>
            <w:tcW w:w="927" w:type="dxa"/>
            <w:shd w:val="clear" w:color="auto" w:fill="auto"/>
            <w:vAlign w:val="bottom"/>
          </w:tcPr>
          <w:p w14:paraId="46740417" w14:textId="77777777" w:rsidR="009D2D76" w:rsidRPr="00215F2B" w:rsidRDefault="009D2D76" w:rsidP="009D2D76">
            <w:pPr>
              <w:pStyle w:val="TableFigures"/>
              <w:rPr>
                <w:rFonts w:cs="Arial"/>
                <w:szCs w:val="18"/>
              </w:rPr>
            </w:pPr>
          </w:p>
        </w:tc>
        <w:tc>
          <w:tcPr>
            <w:tcW w:w="1134" w:type="dxa"/>
            <w:shd w:val="clear" w:color="auto" w:fill="auto"/>
            <w:vAlign w:val="bottom"/>
          </w:tcPr>
          <w:p w14:paraId="6BCDC12B" w14:textId="77777777" w:rsidR="009D2D76" w:rsidRPr="00215F2B" w:rsidRDefault="009D2D76" w:rsidP="009D2D76">
            <w:pPr>
              <w:pStyle w:val="TableFiguresBold0"/>
            </w:pPr>
          </w:p>
        </w:tc>
        <w:tc>
          <w:tcPr>
            <w:tcW w:w="1134" w:type="dxa"/>
            <w:shd w:val="clear" w:color="auto" w:fill="auto"/>
            <w:vAlign w:val="bottom"/>
          </w:tcPr>
          <w:p w14:paraId="4F786E27" w14:textId="124BA145" w:rsidR="009D2D76" w:rsidRPr="00215F2B" w:rsidRDefault="00215F2B" w:rsidP="0068185D">
            <w:pPr>
              <w:pStyle w:val="TableFiguresBracketsBold"/>
            </w:pPr>
            <w:r w:rsidRPr="00215F2B">
              <w:t>(184)</w:t>
            </w:r>
          </w:p>
        </w:tc>
        <w:tc>
          <w:tcPr>
            <w:tcW w:w="1134" w:type="dxa"/>
            <w:vAlign w:val="bottom"/>
          </w:tcPr>
          <w:p w14:paraId="5A26BEC9" w14:textId="35F05A9B" w:rsidR="009D2D76" w:rsidRPr="00215F2B" w:rsidRDefault="00215F2B" w:rsidP="0068185D">
            <w:pPr>
              <w:pStyle w:val="TableFigures"/>
              <w:rPr>
                <w:rFonts w:cs="Arial"/>
                <w:szCs w:val="18"/>
              </w:rPr>
            </w:pPr>
            <w:r w:rsidRPr="00215F2B">
              <w:t>112</w:t>
            </w:r>
          </w:p>
        </w:tc>
      </w:tr>
      <w:tr w:rsidR="005F6D8A" w:rsidRPr="00215F2B" w14:paraId="2291EC32" w14:textId="77777777" w:rsidTr="00C75A70">
        <w:tc>
          <w:tcPr>
            <w:tcW w:w="7164" w:type="dxa"/>
            <w:gridSpan w:val="2"/>
            <w:tcBorders>
              <w:bottom w:val="single" w:sz="4" w:space="0" w:color="808080" w:themeColor="background1" w:themeShade="80"/>
            </w:tcBorders>
            <w:shd w:val="clear" w:color="auto" w:fill="auto"/>
            <w:vAlign w:val="bottom"/>
          </w:tcPr>
          <w:p w14:paraId="48755148" w14:textId="5C71171E" w:rsidR="009D2D76" w:rsidRPr="00215F2B" w:rsidRDefault="009D2D76" w:rsidP="009D2D76">
            <w:pPr>
              <w:pStyle w:val="TableFigures"/>
              <w:jc w:val="left"/>
              <w:rPr>
                <w:rFonts w:cs="Arial"/>
                <w:szCs w:val="18"/>
              </w:rPr>
            </w:pPr>
            <w:r w:rsidRPr="00215F2B">
              <w:t>Fair value movements on derivatives and borrowings in effective hedge relationships</w:t>
            </w:r>
          </w:p>
        </w:tc>
        <w:tc>
          <w:tcPr>
            <w:tcW w:w="1134" w:type="dxa"/>
            <w:tcBorders>
              <w:bottom w:val="single" w:sz="4" w:space="0" w:color="808080" w:themeColor="background1" w:themeShade="80"/>
            </w:tcBorders>
            <w:shd w:val="clear" w:color="auto" w:fill="auto"/>
            <w:vAlign w:val="bottom"/>
          </w:tcPr>
          <w:p w14:paraId="57BC0681" w14:textId="77777777" w:rsidR="009D2D76" w:rsidRPr="00215F2B" w:rsidRDefault="009D2D76" w:rsidP="009D2D76">
            <w:pPr>
              <w:pStyle w:val="TableFiguresBracketsBold"/>
            </w:pPr>
          </w:p>
        </w:tc>
        <w:tc>
          <w:tcPr>
            <w:tcW w:w="1134" w:type="dxa"/>
            <w:tcBorders>
              <w:bottom w:val="single" w:sz="4" w:space="0" w:color="808080" w:themeColor="background1" w:themeShade="80"/>
            </w:tcBorders>
            <w:shd w:val="clear" w:color="auto" w:fill="auto"/>
            <w:vAlign w:val="bottom"/>
          </w:tcPr>
          <w:p w14:paraId="63526A6A" w14:textId="6ED7E68D" w:rsidR="009D2D76" w:rsidRPr="00215F2B" w:rsidRDefault="00215F2B" w:rsidP="00215F2B">
            <w:pPr>
              <w:pStyle w:val="TableFiguresBold0"/>
            </w:pPr>
            <w:r w:rsidRPr="00215F2B">
              <w:t>74</w:t>
            </w:r>
          </w:p>
        </w:tc>
        <w:tc>
          <w:tcPr>
            <w:tcW w:w="1134" w:type="dxa"/>
            <w:tcBorders>
              <w:bottom w:val="single" w:sz="4" w:space="0" w:color="808080" w:themeColor="background1" w:themeShade="80"/>
            </w:tcBorders>
            <w:vAlign w:val="bottom"/>
          </w:tcPr>
          <w:p w14:paraId="6BC93F65" w14:textId="7A68DDE5" w:rsidR="009D2D76" w:rsidRPr="00215F2B" w:rsidRDefault="00215F2B" w:rsidP="00215F2B">
            <w:pPr>
              <w:pStyle w:val="TableFiguresBrackets"/>
              <w:rPr>
                <w:rFonts w:cs="Arial"/>
                <w:szCs w:val="18"/>
              </w:rPr>
            </w:pPr>
            <w:r w:rsidRPr="00215F2B">
              <w:t>(52)</w:t>
            </w:r>
          </w:p>
        </w:tc>
      </w:tr>
      <w:tr w:rsidR="005F6D8A" w:rsidRPr="00215F2B" w14:paraId="540B36A1" w14:textId="77777777" w:rsidTr="00E30618">
        <w:tc>
          <w:tcPr>
            <w:tcW w:w="6237" w:type="dxa"/>
            <w:tcBorders>
              <w:top w:val="single" w:sz="4" w:space="0" w:color="808080" w:themeColor="background1" w:themeShade="80"/>
            </w:tcBorders>
            <w:shd w:val="clear" w:color="auto" w:fill="auto"/>
            <w:vAlign w:val="bottom"/>
          </w:tcPr>
          <w:p w14:paraId="531F0039" w14:textId="77777777" w:rsidR="009D2D76" w:rsidRPr="00215F2B" w:rsidRDefault="009D2D76" w:rsidP="009D2D76">
            <w:pPr>
              <w:pStyle w:val="Tabletext"/>
            </w:pPr>
          </w:p>
        </w:tc>
        <w:tc>
          <w:tcPr>
            <w:tcW w:w="927" w:type="dxa"/>
            <w:tcBorders>
              <w:top w:val="single" w:sz="4" w:space="0" w:color="808080" w:themeColor="background1" w:themeShade="80"/>
            </w:tcBorders>
            <w:shd w:val="clear" w:color="auto" w:fill="auto"/>
            <w:vAlign w:val="bottom"/>
          </w:tcPr>
          <w:p w14:paraId="67585E2D" w14:textId="77777777" w:rsidR="009D2D76" w:rsidRPr="00215F2B" w:rsidRDefault="009D2D76" w:rsidP="009D2D76">
            <w:pPr>
              <w:pStyle w:val="TableFigures"/>
              <w:rPr>
                <w:rFonts w:cs="Arial"/>
                <w:szCs w:val="18"/>
              </w:rPr>
            </w:pPr>
          </w:p>
        </w:tc>
        <w:tc>
          <w:tcPr>
            <w:tcW w:w="1134" w:type="dxa"/>
            <w:tcBorders>
              <w:top w:val="single" w:sz="4" w:space="0" w:color="808080" w:themeColor="background1" w:themeShade="80"/>
            </w:tcBorders>
            <w:shd w:val="clear" w:color="auto" w:fill="auto"/>
            <w:vAlign w:val="bottom"/>
          </w:tcPr>
          <w:p w14:paraId="4421CB86" w14:textId="77777777" w:rsidR="009D2D76" w:rsidRPr="00215F2B" w:rsidRDefault="009D2D76" w:rsidP="009D2D76">
            <w:pPr>
              <w:pStyle w:val="TableFiguresBold0"/>
            </w:pPr>
          </w:p>
        </w:tc>
        <w:tc>
          <w:tcPr>
            <w:tcW w:w="1134" w:type="dxa"/>
            <w:tcBorders>
              <w:top w:val="single" w:sz="4" w:space="0" w:color="808080" w:themeColor="background1" w:themeShade="80"/>
            </w:tcBorders>
            <w:shd w:val="clear" w:color="auto" w:fill="auto"/>
            <w:vAlign w:val="bottom"/>
          </w:tcPr>
          <w:p w14:paraId="5F89B216" w14:textId="5C155F81" w:rsidR="009D2D76" w:rsidRPr="00215F2B" w:rsidRDefault="00215F2B" w:rsidP="00215F2B">
            <w:pPr>
              <w:pStyle w:val="TableFiguresBracketsBold"/>
            </w:pPr>
            <w:r w:rsidRPr="00215F2B">
              <w:t>(110)</w:t>
            </w:r>
          </w:p>
        </w:tc>
        <w:tc>
          <w:tcPr>
            <w:tcW w:w="1134" w:type="dxa"/>
            <w:tcBorders>
              <w:top w:val="single" w:sz="4" w:space="0" w:color="808080" w:themeColor="background1" w:themeShade="80"/>
            </w:tcBorders>
            <w:vAlign w:val="bottom"/>
          </w:tcPr>
          <w:p w14:paraId="4081F11A" w14:textId="7BF59683" w:rsidR="009D2D76" w:rsidRPr="00215F2B" w:rsidRDefault="00215F2B" w:rsidP="00215F2B">
            <w:pPr>
              <w:pStyle w:val="TableFigures"/>
              <w:rPr>
                <w:rFonts w:cs="Arial"/>
                <w:szCs w:val="18"/>
              </w:rPr>
            </w:pPr>
            <w:r w:rsidRPr="00215F2B">
              <w:t>60</w:t>
            </w:r>
          </w:p>
        </w:tc>
      </w:tr>
      <w:tr w:rsidR="005F6D8A" w:rsidRPr="00215F2B" w14:paraId="6A68DEBC" w14:textId="77777777" w:rsidTr="00E30618">
        <w:tc>
          <w:tcPr>
            <w:tcW w:w="6237" w:type="dxa"/>
            <w:tcBorders>
              <w:bottom w:val="single" w:sz="4" w:space="0" w:color="808080" w:themeColor="background1" w:themeShade="80"/>
            </w:tcBorders>
            <w:shd w:val="clear" w:color="auto" w:fill="auto"/>
            <w:vAlign w:val="bottom"/>
          </w:tcPr>
          <w:p w14:paraId="4D3BA391" w14:textId="0C441FB1" w:rsidR="009D2D76" w:rsidRPr="00215F2B" w:rsidRDefault="009D2D76" w:rsidP="009D2D76">
            <w:pPr>
              <w:pStyle w:val="Tabletext"/>
            </w:pPr>
            <w:r w:rsidRPr="00215F2B">
              <w:t>Tax on components of other comprehensive (expense)</w:t>
            </w:r>
            <w:r w:rsidR="00215F2B" w:rsidRPr="00215F2B">
              <w:t>/income</w:t>
            </w:r>
          </w:p>
        </w:tc>
        <w:tc>
          <w:tcPr>
            <w:tcW w:w="927" w:type="dxa"/>
            <w:tcBorders>
              <w:bottom w:val="single" w:sz="4" w:space="0" w:color="808080" w:themeColor="background1" w:themeShade="80"/>
            </w:tcBorders>
            <w:shd w:val="clear" w:color="auto" w:fill="auto"/>
            <w:vAlign w:val="bottom"/>
          </w:tcPr>
          <w:p w14:paraId="03FECCCB" w14:textId="77777777" w:rsidR="009D2D76" w:rsidRPr="00215F2B" w:rsidRDefault="009D2D76" w:rsidP="009D2D76">
            <w:pPr>
              <w:pStyle w:val="TableFigures"/>
              <w:rPr>
                <w:rFonts w:cs="Arial"/>
                <w:szCs w:val="18"/>
              </w:rPr>
            </w:pPr>
          </w:p>
        </w:tc>
        <w:tc>
          <w:tcPr>
            <w:tcW w:w="1134" w:type="dxa"/>
            <w:tcBorders>
              <w:bottom w:val="single" w:sz="4" w:space="0" w:color="808080" w:themeColor="background1" w:themeShade="80"/>
            </w:tcBorders>
            <w:shd w:val="clear" w:color="auto" w:fill="auto"/>
            <w:vAlign w:val="bottom"/>
          </w:tcPr>
          <w:p w14:paraId="6103366D" w14:textId="77777777" w:rsidR="009D2D76" w:rsidRPr="00215F2B" w:rsidRDefault="009D2D76" w:rsidP="009D2D76">
            <w:pPr>
              <w:pStyle w:val="TableFiguresBold0"/>
            </w:pPr>
          </w:p>
        </w:tc>
        <w:tc>
          <w:tcPr>
            <w:tcW w:w="1134" w:type="dxa"/>
            <w:tcBorders>
              <w:bottom w:val="single" w:sz="4" w:space="0" w:color="808080" w:themeColor="background1" w:themeShade="80"/>
            </w:tcBorders>
            <w:shd w:val="clear" w:color="auto" w:fill="auto"/>
            <w:vAlign w:val="bottom"/>
          </w:tcPr>
          <w:p w14:paraId="534BD3A8" w14:textId="77777777" w:rsidR="009D2D76" w:rsidRPr="00215F2B" w:rsidRDefault="009D2D76" w:rsidP="009D2D76">
            <w:pPr>
              <w:pStyle w:val="TableFiguresBold0"/>
            </w:pPr>
            <w:r w:rsidRPr="00215F2B">
              <w:t>–</w:t>
            </w:r>
          </w:p>
        </w:tc>
        <w:tc>
          <w:tcPr>
            <w:tcW w:w="1134" w:type="dxa"/>
            <w:tcBorders>
              <w:bottom w:val="single" w:sz="4" w:space="0" w:color="808080" w:themeColor="background1" w:themeShade="80"/>
            </w:tcBorders>
            <w:vAlign w:val="bottom"/>
          </w:tcPr>
          <w:p w14:paraId="1F03A8A1" w14:textId="3994B230" w:rsidR="009D2D76" w:rsidRPr="00215F2B" w:rsidRDefault="009D2D76" w:rsidP="009D2D76">
            <w:pPr>
              <w:pStyle w:val="TableFigures"/>
              <w:rPr>
                <w:rFonts w:cs="Arial"/>
                <w:szCs w:val="18"/>
              </w:rPr>
            </w:pPr>
            <w:r w:rsidRPr="00215F2B">
              <w:t>–</w:t>
            </w:r>
          </w:p>
        </w:tc>
      </w:tr>
      <w:tr w:rsidR="005F6D8A" w:rsidRPr="00215F2B" w14:paraId="281BF915" w14:textId="77777777" w:rsidTr="00E30618">
        <w:tc>
          <w:tcPr>
            <w:tcW w:w="6237" w:type="dxa"/>
            <w:tcBorders>
              <w:top w:val="single" w:sz="4" w:space="0" w:color="808080" w:themeColor="background1" w:themeShade="80"/>
            </w:tcBorders>
            <w:shd w:val="clear" w:color="auto" w:fill="auto"/>
            <w:vAlign w:val="bottom"/>
          </w:tcPr>
          <w:p w14:paraId="5435BF9E" w14:textId="7C558DA1" w:rsidR="009D2D76" w:rsidRPr="00215F2B" w:rsidRDefault="009D2D76" w:rsidP="009D2D76">
            <w:pPr>
              <w:pStyle w:val="TabletextBold"/>
              <w:rPr>
                <w:rFonts w:cs="Arial"/>
                <w:szCs w:val="18"/>
              </w:rPr>
            </w:pPr>
            <w:r w:rsidRPr="00215F2B">
              <w:rPr>
                <w:rFonts w:cs="Arial"/>
                <w:szCs w:val="18"/>
              </w:rPr>
              <w:t>Other comprehensive (expense)</w:t>
            </w:r>
            <w:r w:rsidR="00215F2B" w:rsidRPr="00215F2B">
              <w:rPr>
                <w:rFonts w:cs="Arial"/>
                <w:szCs w:val="18"/>
              </w:rPr>
              <w:t>/income</w:t>
            </w:r>
          </w:p>
        </w:tc>
        <w:tc>
          <w:tcPr>
            <w:tcW w:w="927" w:type="dxa"/>
            <w:tcBorders>
              <w:top w:val="single" w:sz="4" w:space="0" w:color="808080" w:themeColor="background1" w:themeShade="80"/>
            </w:tcBorders>
            <w:shd w:val="clear" w:color="auto" w:fill="auto"/>
            <w:vAlign w:val="bottom"/>
          </w:tcPr>
          <w:p w14:paraId="2D04EAC3" w14:textId="77777777" w:rsidR="009D2D76" w:rsidRPr="00215F2B" w:rsidRDefault="009D2D76" w:rsidP="009D2D76">
            <w:pPr>
              <w:pStyle w:val="TableFigures"/>
              <w:rPr>
                <w:rFonts w:cs="Arial"/>
                <w:szCs w:val="18"/>
              </w:rPr>
            </w:pPr>
          </w:p>
        </w:tc>
        <w:tc>
          <w:tcPr>
            <w:tcW w:w="1134" w:type="dxa"/>
            <w:tcBorders>
              <w:top w:val="single" w:sz="4" w:space="0" w:color="808080" w:themeColor="background1" w:themeShade="80"/>
            </w:tcBorders>
            <w:shd w:val="clear" w:color="auto" w:fill="auto"/>
            <w:vAlign w:val="bottom"/>
          </w:tcPr>
          <w:p w14:paraId="30AF16EE" w14:textId="77777777" w:rsidR="009D2D76" w:rsidRPr="00215F2B" w:rsidRDefault="009D2D76" w:rsidP="009D2D76">
            <w:pPr>
              <w:pStyle w:val="TableFiguresBold0"/>
            </w:pPr>
          </w:p>
        </w:tc>
        <w:tc>
          <w:tcPr>
            <w:tcW w:w="1134" w:type="dxa"/>
            <w:tcBorders>
              <w:top w:val="single" w:sz="4" w:space="0" w:color="808080" w:themeColor="background1" w:themeShade="80"/>
            </w:tcBorders>
            <w:shd w:val="clear" w:color="auto" w:fill="auto"/>
            <w:vAlign w:val="bottom"/>
          </w:tcPr>
          <w:p w14:paraId="480F6501" w14:textId="3013A612" w:rsidR="009D2D76" w:rsidRPr="00215F2B" w:rsidRDefault="00215F2B" w:rsidP="00215F2B">
            <w:pPr>
              <w:pStyle w:val="TableFiguresBracketsBold"/>
            </w:pPr>
            <w:r w:rsidRPr="00215F2B">
              <w:t>(110)</w:t>
            </w:r>
          </w:p>
        </w:tc>
        <w:tc>
          <w:tcPr>
            <w:tcW w:w="1134" w:type="dxa"/>
            <w:tcBorders>
              <w:top w:val="single" w:sz="4" w:space="0" w:color="808080" w:themeColor="background1" w:themeShade="80"/>
            </w:tcBorders>
            <w:vAlign w:val="bottom"/>
          </w:tcPr>
          <w:p w14:paraId="11A2A837" w14:textId="37F4991E" w:rsidR="009D2D76" w:rsidRPr="00215F2B" w:rsidRDefault="00215F2B" w:rsidP="00215F2B">
            <w:pPr>
              <w:pStyle w:val="TableFigures"/>
            </w:pPr>
            <w:r w:rsidRPr="00215F2B">
              <w:t>60</w:t>
            </w:r>
          </w:p>
        </w:tc>
      </w:tr>
      <w:tr w:rsidR="005F6D8A" w:rsidRPr="00215F2B" w14:paraId="15E1CDA9" w14:textId="77777777" w:rsidTr="00E30618">
        <w:tc>
          <w:tcPr>
            <w:tcW w:w="6237" w:type="dxa"/>
            <w:tcBorders>
              <w:top w:val="single" w:sz="4" w:space="0" w:color="808080" w:themeColor="background1" w:themeShade="80"/>
              <w:bottom w:val="single" w:sz="4" w:space="0" w:color="808080" w:themeColor="background1" w:themeShade="80"/>
            </w:tcBorders>
            <w:shd w:val="clear" w:color="auto" w:fill="auto"/>
            <w:vAlign w:val="bottom"/>
          </w:tcPr>
          <w:p w14:paraId="48202A9A" w14:textId="34CAE690" w:rsidR="009D2D76" w:rsidRPr="00215F2B" w:rsidRDefault="009D2D76" w:rsidP="009D2D76">
            <w:pPr>
              <w:pStyle w:val="TabletextBold"/>
              <w:rPr>
                <w:rFonts w:cs="Arial"/>
                <w:szCs w:val="18"/>
              </w:rPr>
            </w:pPr>
            <w:r w:rsidRPr="00215F2B">
              <w:rPr>
                <w:rFonts w:cs="Arial"/>
                <w:szCs w:val="18"/>
              </w:rPr>
              <w:t>Total comprehensive income for the year</w:t>
            </w:r>
          </w:p>
        </w:tc>
        <w:tc>
          <w:tcPr>
            <w:tcW w:w="927" w:type="dxa"/>
            <w:tcBorders>
              <w:top w:val="single" w:sz="4" w:space="0" w:color="808080" w:themeColor="background1" w:themeShade="80"/>
              <w:bottom w:val="single" w:sz="4" w:space="0" w:color="808080" w:themeColor="background1" w:themeShade="80"/>
            </w:tcBorders>
            <w:shd w:val="clear" w:color="auto" w:fill="auto"/>
            <w:vAlign w:val="bottom"/>
          </w:tcPr>
          <w:p w14:paraId="150F2B4B" w14:textId="77777777" w:rsidR="009D2D76" w:rsidRPr="00215F2B" w:rsidRDefault="009D2D76" w:rsidP="009D2D76">
            <w:pPr>
              <w:pStyle w:val="TableFigures"/>
              <w:rPr>
                <w:rFonts w:cs="Arial"/>
                <w:szCs w:val="18"/>
              </w:rPr>
            </w:pPr>
          </w:p>
        </w:tc>
        <w:tc>
          <w:tcPr>
            <w:tcW w:w="1134" w:type="dxa"/>
            <w:tcBorders>
              <w:top w:val="single" w:sz="4" w:space="0" w:color="808080" w:themeColor="background1" w:themeShade="80"/>
              <w:bottom w:val="single" w:sz="4" w:space="0" w:color="808080" w:themeColor="background1" w:themeShade="80"/>
            </w:tcBorders>
            <w:shd w:val="clear" w:color="auto" w:fill="auto"/>
            <w:vAlign w:val="bottom"/>
          </w:tcPr>
          <w:p w14:paraId="01FC8B74" w14:textId="77777777" w:rsidR="009D2D76" w:rsidRPr="00215F2B" w:rsidRDefault="009D2D76" w:rsidP="009D2D76">
            <w:pPr>
              <w:pStyle w:val="TableFiguresBold0"/>
              <w:rPr>
                <w:rFonts w:cs="Arial"/>
                <w:szCs w:val="18"/>
              </w:rPr>
            </w:pPr>
          </w:p>
        </w:tc>
        <w:tc>
          <w:tcPr>
            <w:tcW w:w="1134" w:type="dxa"/>
            <w:tcBorders>
              <w:top w:val="single" w:sz="4" w:space="0" w:color="808080" w:themeColor="background1" w:themeShade="80"/>
              <w:bottom w:val="single" w:sz="4" w:space="0" w:color="808080" w:themeColor="background1" w:themeShade="80"/>
            </w:tcBorders>
            <w:shd w:val="clear" w:color="auto" w:fill="auto"/>
            <w:vAlign w:val="bottom"/>
          </w:tcPr>
          <w:p w14:paraId="507EA540" w14:textId="139E2D35" w:rsidR="009D2D76" w:rsidRPr="00215F2B" w:rsidRDefault="00215F2B" w:rsidP="009D2D76">
            <w:pPr>
              <w:pStyle w:val="TableFiguresBold0"/>
            </w:pPr>
            <w:r w:rsidRPr="00215F2B">
              <w:t>3,957</w:t>
            </w:r>
          </w:p>
        </w:tc>
        <w:tc>
          <w:tcPr>
            <w:tcW w:w="1134" w:type="dxa"/>
            <w:tcBorders>
              <w:top w:val="single" w:sz="4" w:space="0" w:color="808080" w:themeColor="background1" w:themeShade="80"/>
              <w:bottom w:val="single" w:sz="4" w:space="0" w:color="808080" w:themeColor="background1" w:themeShade="80"/>
            </w:tcBorders>
            <w:vAlign w:val="bottom"/>
          </w:tcPr>
          <w:p w14:paraId="2596665D" w14:textId="6C5E59D8" w:rsidR="009D2D76" w:rsidRPr="00215F2B" w:rsidRDefault="00215F2B" w:rsidP="009D2D76">
            <w:pPr>
              <w:pStyle w:val="TableFigures"/>
            </w:pPr>
            <w:r w:rsidRPr="00215F2B">
              <w:t>1,489</w:t>
            </w:r>
          </w:p>
        </w:tc>
      </w:tr>
      <w:tr w:rsidR="005F6D8A" w:rsidRPr="00215F2B" w14:paraId="50B1AC38" w14:textId="77777777" w:rsidTr="00E30618">
        <w:tc>
          <w:tcPr>
            <w:tcW w:w="6237" w:type="dxa"/>
            <w:tcBorders>
              <w:top w:val="single" w:sz="4" w:space="0" w:color="808080" w:themeColor="background1" w:themeShade="80"/>
            </w:tcBorders>
            <w:shd w:val="clear" w:color="auto" w:fill="auto"/>
            <w:vAlign w:val="bottom"/>
          </w:tcPr>
          <w:p w14:paraId="129B9800" w14:textId="77777777" w:rsidR="009D2D76" w:rsidRPr="00215F2B" w:rsidRDefault="009D2D76" w:rsidP="009D2D76">
            <w:pPr>
              <w:pStyle w:val="Tabletext"/>
              <w:rPr>
                <w:rFonts w:cs="Arial"/>
                <w:szCs w:val="18"/>
              </w:rPr>
            </w:pPr>
            <w:r w:rsidRPr="00215F2B">
              <w:rPr>
                <w:rFonts w:cs="Arial"/>
                <w:szCs w:val="18"/>
              </w:rPr>
              <w:t>Attributable to equity shareholders</w:t>
            </w:r>
          </w:p>
        </w:tc>
        <w:tc>
          <w:tcPr>
            <w:tcW w:w="927" w:type="dxa"/>
            <w:tcBorders>
              <w:top w:val="single" w:sz="4" w:space="0" w:color="808080" w:themeColor="background1" w:themeShade="80"/>
            </w:tcBorders>
            <w:shd w:val="clear" w:color="auto" w:fill="auto"/>
            <w:vAlign w:val="bottom"/>
          </w:tcPr>
          <w:p w14:paraId="7622F60A" w14:textId="77777777" w:rsidR="009D2D76" w:rsidRPr="00215F2B" w:rsidRDefault="009D2D76" w:rsidP="009D2D76">
            <w:pPr>
              <w:pStyle w:val="TableFigures"/>
              <w:rPr>
                <w:rFonts w:cs="Arial"/>
                <w:szCs w:val="18"/>
              </w:rPr>
            </w:pPr>
          </w:p>
        </w:tc>
        <w:tc>
          <w:tcPr>
            <w:tcW w:w="1134" w:type="dxa"/>
            <w:tcBorders>
              <w:top w:val="single" w:sz="4" w:space="0" w:color="808080" w:themeColor="background1" w:themeShade="80"/>
            </w:tcBorders>
            <w:shd w:val="clear" w:color="auto" w:fill="auto"/>
            <w:vAlign w:val="bottom"/>
          </w:tcPr>
          <w:p w14:paraId="3645C6C2" w14:textId="77777777" w:rsidR="009D2D76" w:rsidRPr="00215F2B" w:rsidRDefault="009D2D76" w:rsidP="009D2D76">
            <w:pPr>
              <w:pStyle w:val="TableFiguresBold0"/>
              <w:rPr>
                <w:rFonts w:cs="Arial"/>
                <w:szCs w:val="18"/>
              </w:rPr>
            </w:pPr>
          </w:p>
        </w:tc>
        <w:tc>
          <w:tcPr>
            <w:tcW w:w="1134" w:type="dxa"/>
            <w:tcBorders>
              <w:top w:val="single" w:sz="4" w:space="0" w:color="808080" w:themeColor="background1" w:themeShade="80"/>
            </w:tcBorders>
            <w:shd w:val="clear" w:color="auto" w:fill="auto"/>
            <w:vAlign w:val="bottom"/>
          </w:tcPr>
          <w:p w14:paraId="2DE6D453" w14:textId="25DD85C7" w:rsidR="009D2D76" w:rsidRPr="00215F2B" w:rsidRDefault="00215F2B" w:rsidP="009D2D76">
            <w:pPr>
              <w:pStyle w:val="TableFiguresBold0"/>
            </w:pPr>
            <w:r w:rsidRPr="00215F2B">
              <w:t>3,949</w:t>
            </w:r>
          </w:p>
        </w:tc>
        <w:tc>
          <w:tcPr>
            <w:tcW w:w="1134" w:type="dxa"/>
            <w:tcBorders>
              <w:top w:val="single" w:sz="4" w:space="0" w:color="808080" w:themeColor="background1" w:themeShade="80"/>
            </w:tcBorders>
            <w:vAlign w:val="bottom"/>
          </w:tcPr>
          <w:p w14:paraId="0B6C3172" w14:textId="0FF2D176" w:rsidR="009D2D76" w:rsidRPr="00215F2B" w:rsidRDefault="00215F2B" w:rsidP="009D2D76">
            <w:pPr>
              <w:pStyle w:val="TableFigures"/>
            </w:pPr>
            <w:r w:rsidRPr="00215F2B">
              <w:t>1,487</w:t>
            </w:r>
          </w:p>
        </w:tc>
      </w:tr>
      <w:tr w:rsidR="00215F2B" w:rsidRPr="00215F2B" w14:paraId="091C6D53" w14:textId="77777777" w:rsidTr="00E30618">
        <w:tc>
          <w:tcPr>
            <w:tcW w:w="6237" w:type="dxa"/>
            <w:tcBorders>
              <w:bottom w:val="single" w:sz="8" w:space="0" w:color="808080" w:themeColor="background1" w:themeShade="80"/>
            </w:tcBorders>
            <w:shd w:val="clear" w:color="auto" w:fill="auto"/>
            <w:vAlign w:val="bottom"/>
          </w:tcPr>
          <w:p w14:paraId="4B28B6F6" w14:textId="77777777" w:rsidR="009D2D76" w:rsidRPr="00215F2B" w:rsidRDefault="009D2D76" w:rsidP="009D2D76">
            <w:pPr>
              <w:pStyle w:val="Tabletext"/>
              <w:rPr>
                <w:rFonts w:cs="Arial"/>
                <w:szCs w:val="18"/>
              </w:rPr>
            </w:pPr>
            <w:r w:rsidRPr="00215F2B">
              <w:rPr>
                <w:rFonts w:cs="Arial"/>
                <w:szCs w:val="18"/>
              </w:rPr>
              <w:t>Attributable to non-controlling interests</w:t>
            </w:r>
          </w:p>
        </w:tc>
        <w:tc>
          <w:tcPr>
            <w:tcW w:w="927" w:type="dxa"/>
            <w:tcBorders>
              <w:bottom w:val="single" w:sz="8" w:space="0" w:color="808080" w:themeColor="background1" w:themeShade="80"/>
            </w:tcBorders>
            <w:shd w:val="clear" w:color="auto" w:fill="auto"/>
            <w:vAlign w:val="bottom"/>
          </w:tcPr>
          <w:p w14:paraId="73FFD44E" w14:textId="77777777" w:rsidR="009D2D76" w:rsidRPr="00215F2B" w:rsidRDefault="009D2D76" w:rsidP="009D2D76">
            <w:pPr>
              <w:pStyle w:val="TableFigures"/>
              <w:rPr>
                <w:rFonts w:cs="Arial"/>
                <w:szCs w:val="18"/>
              </w:rPr>
            </w:pPr>
          </w:p>
        </w:tc>
        <w:tc>
          <w:tcPr>
            <w:tcW w:w="1134" w:type="dxa"/>
            <w:tcBorders>
              <w:bottom w:val="single" w:sz="8" w:space="0" w:color="808080" w:themeColor="background1" w:themeShade="80"/>
            </w:tcBorders>
            <w:shd w:val="clear" w:color="auto" w:fill="auto"/>
            <w:vAlign w:val="bottom"/>
          </w:tcPr>
          <w:p w14:paraId="3880A57A" w14:textId="77777777" w:rsidR="009D2D76" w:rsidRPr="00215F2B" w:rsidRDefault="009D2D76" w:rsidP="009D2D76">
            <w:pPr>
              <w:pStyle w:val="TableFiguresBold0"/>
              <w:rPr>
                <w:rFonts w:cs="Arial"/>
                <w:szCs w:val="18"/>
              </w:rPr>
            </w:pPr>
          </w:p>
        </w:tc>
        <w:tc>
          <w:tcPr>
            <w:tcW w:w="1134" w:type="dxa"/>
            <w:tcBorders>
              <w:bottom w:val="single" w:sz="8" w:space="0" w:color="808080" w:themeColor="background1" w:themeShade="80"/>
            </w:tcBorders>
            <w:shd w:val="clear" w:color="auto" w:fill="auto"/>
            <w:vAlign w:val="bottom"/>
          </w:tcPr>
          <w:p w14:paraId="3A591DF3" w14:textId="3040F90A" w:rsidR="009D2D76" w:rsidRPr="00215F2B" w:rsidRDefault="00215F2B" w:rsidP="009D2D76">
            <w:pPr>
              <w:pStyle w:val="TableFiguresBold0"/>
            </w:pPr>
            <w:r w:rsidRPr="00215F2B">
              <w:t>8</w:t>
            </w:r>
          </w:p>
        </w:tc>
        <w:tc>
          <w:tcPr>
            <w:tcW w:w="1134" w:type="dxa"/>
            <w:tcBorders>
              <w:bottom w:val="single" w:sz="8" w:space="0" w:color="808080" w:themeColor="background1" w:themeShade="80"/>
            </w:tcBorders>
            <w:vAlign w:val="bottom"/>
          </w:tcPr>
          <w:p w14:paraId="07DECAF2" w14:textId="1E12C297" w:rsidR="00215F2B" w:rsidRPr="00215F2B" w:rsidRDefault="00215F2B" w:rsidP="00215F2B">
            <w:pPr>
              <w:pStyle w:val="TableFigures"/>
            </w:pPr>
            <w:r w:rsidRPr="00215F2B">
              <w:t>2</w:t>
            </w:r>
          </w:p>
        </w:tc>
      </w:tr>
    </w:tbl>
    <w:p w14:paraId="229AC09A" w14:textId="77777777" w:rsidR="005E793C" w:rsidRPr="005F6D8A" w:rsidRDefault="005E793C" w:rsidP="005E793C">
      <w:pPr>
        <w:pStyle w:val="Normal1"/>
        <w:rPr>
          <w:color w:val="FF0000"/>
          <w:highlight w:val="yellow"/>
        </w:rPr>
      </w:pPr>
      <w:r w:rsidRPr="005F6D8A">
        <w:rPr>
          <w:color w:val="FF0000"/>
          <w:highlight w:val="yellow"/>
        </w:rPr>
        <w:br w:type="page"/>
      </w:r>
    </w:p>
    <w:p w14:paraId="25DB974F" w14:textId="77777777" w:rsidR="005E793C" w:rsidRPr="000A02E3" w:rsidRDefault="005E793C" w:rsidP="005E793C">
      <w:pPr>
        <w:pStyle w:val="Heading2"/>
      </w:pPr>
      <w:r w:rsidRPr="000A02E3">
        <w:lastRenderedPageBreak/>
        <w:t>CONDENSED GROUP BALANCE SHEET</w:t>
      </w:r>
    </w:p>
    <w:p w14:paraId="7448707C" w14:textId="72934F76" w:rsidR="005E793C" w:rsidRPr="000A02E3" w:rsidRDefault="005E793C" w:rsidP="005E793C">
      <w:pPr>
        <w:pStyle w:val="Heading3"/>
      </w:pPr>
      <w:r w:rsidRPr="000A02E3">
        <w:t>As at 31 December 20</w:t>
      </w:r>
      <w:r w:rsidR="00782FDC" w:rsidRPr="000A02E3">
        <w:t>2</w:t>
      </w:r>
      <w:r w:rsidR="000A02E3" w:rsidRPr="000A02E3">
        <w:t>1</w:t>
      </w:r>
    </w:p>
    <w:tbl>
      <w:tblPr>
        <w:tblW w:w="10348" w:type="dxa"/>
        <w:tblLayout w:type="fixed"/>
        <w:tblCellMar>
          <w:left w:w="0" w:type="dxa"/>
          <w:right w:w="0" w:type="dxa"/>
        </w:tblCellMar>
        <w:tblLook w:val="01E0" w:firstRow="1" w:lastRow="1" w:firstColumn="1" w:lastColumn="1" w:noHBand="0" w:noVBand="0"/>
      </w:tblPr>
      <w:tblGrid>
        <w:gridCol w:w="6379"/>
        <w:gridCol w:w="851"/>
        <w:gridCol w:w="708"/>
        <w:gridCol w:w="1134"/>
        <w:gridCol w:w="1276"/>
      </w:tblGrid>
      <w:tr w:rsidR="005F6D8A" w:rsidRPr="005F6D8A" w14:paraId="15445F23" w14:textId="77777777" w:rsidTr="002A206B">
        <w:tc>
          <w:tcPr>
            <w:tcW w:w="6379" w:type="dxa"/>
            <w:tcBorders>
              <w:bottom w:val="single" w:sz="8" w:space="0" w:color="808080" w:themeColor="background1" w:themeShade="80"/>
            </w:tcBorders>
            <w:shd w:val="clear" w:color="auto" w:fill="auto"/>
            <w:noWrap/>
            <w:vAlign w:val="bottom"/>
          </w:tcPr>
          <w:p w14:paraId="1A104D7E" w14:textId="77777777" w:rsidR="005E793C" w:rsidRPr="000A02E3" w:rsidRDefault="005E793C" w:rsidP="00E30618">
            <w:pPr>
              <w:pStyle w:val="TableColHeads"/>
              <w:spacing w:line="-180" w:lineRule="auto"/>
            </w:pPr>
          </w:p>
        </w:tc>
        <w:tc>
          <w:tcPr>
            <w:tcW w:w="851" w:type="dxa"/>
            <w:tcBorders>
              <w:bottom w:val="single" w:sz="8" w:space="0" w:color="808080" w:themeColor="background1" w:themeShade="80"/>
            </w:tcBorders>
            <w:shd w:val="clear" w:color="auto" w:fill="auto"/>
            <w:noWrap/>
            <w:vAlign w:val="bottom"/>
          </w:tcPr>
          <w:p w14:paraId="7E79ABC4" w14:textId="77777777" w:rsidR="005E793C" w:rsidRPr="000A02E3" w:rsidRDefault="005E793C" w:rsidP="00E30618">
            <w:pPr>
              <w:pStyle w:val="TableColHeads"/>
              <w:spacing w:line="-180" w:lineRule="auto"/>
              <w:rPr>
                <w:sz w:val="16"/>
                <w:szCs w:val="16"/>
              </w:rPr>
            </w:pPr>
          </w:p>
        </w:tc>
        <w:tc>
          <w:tcPr>
            <w:tcW w:w="708" w:type="dxa"/>
            <w:tcBorders>
              <w:bottom w:val="single" w:sz="8" w:space="0" w:color="808080" w:themeColor="background1" w:themeShade="80"/>
            </w:tcBorders>
            <w:shd w:val="clear" w:color="auto" w:fill="auto"/>
            <w:vAlign w:val="bottom"/>
          </w:tcPr>
          <w:p w14:paraId="1CBF8BF8" w14:textId="77777777" w:rsidR="005E793C" w:rsidRPr="008239CB" w:rsidRDefault="005E793C" w:rsidP="00E30618">
            <w:pPr>
              <w:pStyle w:val="TableColHeadsBold0"/>
              <w:rPr>
                <w:b w:val="0"/>
              </w:rPr>
            </w:pPr>
            <w:r w:rsidRPr="008239CB">
              <w:rPr>
                <w:b w:val="0"/>
                <w:sz w:val="16"/>
                <w:szCs w:val="16"/>
              </w:rPr>
              <w:t>Notes</w:t>
            </w:r>
          </w:p>
        </w:tc>
        <w:tc>
          <w:tcPr>
            <w:tcW w:w="1134" w:type="dxa"/>
            <w:tcBorders>
              <w:bottom w:val="single" w:sz="8" w:space="0" w:color="808080" w:themeColor="background1" w:themeShade="80"/>
            </w:tcBorders>
            <w:shd w:val="clear" w:color="auto" w:fill="auto"/>
            <w:noWrap/>
            <w:vAlign w:val="bottom"/>
          </w:tcPr>
          <w:p w14:paraId="7B69760B" w14:textId="64310C69" w:rsidR="005E793C" w:rsidRPr="000A02E3" w:rsidRDefault="005E793C" w:rsidP="00E30618">
            <w:pPr>
              <w:pStyle w:val="TableColHeadsBold0"/>
            </w:pPr>
            <w:r w:rsidRPr="000A02E3">
              <w:t>20</w:t>
            </w:r>
            <w:r w:rsidR="00782FDC" w:rsidRPr="000A02E3">
              <w:t>2</w:t>
            </w:r>
            <w:r w:rsidR="000A02E3" w:rsidRPr="000A02E3">
              <w:t>1</w:t>
            </w:r>
            <w:r w:rsidRPr="000A02E3">
              <w:br/>
              <w:t xml:space="preserve"> £m </w:t>
            </w:r>
          </w:p>
        </w:tc>
        <w:tc>
          <w:tcPr>
            <w:tcW w:w="1276" w:type="dxa"/>
            <w:tcBorders>
              <w:bottom w:val="single" w:sz="8" w:space="0" w:color="808080" w:themeColor="background1" w:themeShade="80"/>
            </w:tcBorders>
            <w:shd w:val="clear" w:color="auto" w:fill="auto"/>
            <w:noWrap/>
            <w:vAlign w:val="bottom"/>
          </w:tcPr>
          <w:p w14:paraId="17E272BE" w14:textId="0CEE7AE0" w:rsidR="005E793C" w:rsidRPr="000A02E3" w:rsidRDefault="005E793C" w:rsidP="00E30618">
            <w:pPr>
              <w:pStyle w:val="TableColHeadsBold0"/>
              <w:rPr>
                <w:b w:val="0"/>
                <w:bCs w:val="0"/>
              </w:rPr>
            </w:pPr>
            <w:r w:rsidRPr="000A02E3">
              <w:rPr>
                <w:b w:val="0"/>
                <w:bCs w:val="0"/>
              </w:rPr>
              <w:br/>
            </w:r>
            <w:r w:rsidR="000A02E3" w:rsidRPr="000A02E3">
              <w:rPr>
                <w:b w:val="0"/>
                <w:bCs w:val="0"/>
              </w:rPr>
              <w:t>2020</w:t>
            </w:r>
          </w:p>
          <w:p w14:paraId="6558A87B" w14:textId="77777777" w:rsidR="005E793C" w:rsidRPr="000A02E3" w:rsidRDefault="005E793C" w:rsidP="00E30618">
            <w:pPr>
              <w:pStyle w:val="TableColHeadsBold0"/>
              <w:rPr>
                <w:b w:val="0"/>
                <w:bCs w:val="0"/>
              </w:rPr>
            </w:pPr>
            <w:r w:rsidRPr="000A02E3">
              <w:rPr>
                <w:b w:val="0"/>
                <w:bCs w:val="0"/>
              </w:rPr>
              <w:t xml:space="preserve"> £m </w:t>
            </w:r>
          </w:p>
        </w:tc>
      </w:tr>
      <w:tr w:rsidR="005F6D8A" w:rsidRPr="005F6D8A" w14:paraId="1F582374" w14:textId="77777777" w:rsidTr="002A206B">
        <w:tc>
          <w:tcPr>
            <w:tcW w:w="6379" w:type="dxa"/>
            <w:tcBorders>
              <w:top w:val="single" w:sz="8" w:space="0" w:color="808080" w:themeColor="background1" w:themeShade="80"/>
            </w:tcBorders>
            <w:shd w:val="clear" w:color="auto" w:fill="auto"/>
            <w:noWrap/>
            <w:vAlign w:val="bottom"/>
          </w:tcPr>
          <w:p w14:paraId="7B027D21" w14:textId="77777777" w:rsidR="005E793C" w:rsidRPr="000A02E3" w:rsidRDefault="005E793C" w:rsidP="00E30618">
            <w:pPr>
              <w:pStyle w:val="TabletextBold"/>
            </w:pPr>
            <w:r w:rsidRPr="000A02E3">
              <w:t>Assets</w:t>
            </w:r>
          </w:p>
        </w:tc>
        <w:tc>
          <w:tcPr>
            <w:tcW w:w="851" w:type="dxa"/>
            <w:tcBorders>
              <w:top w:val="single" w:sz="8" w:space="0" w:color="808080" w:themeColor="background1" w:themeShade="80"/>
            </w:tcBorders>
            <w:shd w:val="clear" w:color="auto" w:fill="auto"/>
            <w:noWrap/>
            <w:vAlign w:val="bottom"/>
          </w:tcPr>
          <w:p w14:paraId="29875CC4" w14:textId="77777777" w:rsidR="005E793C" w:rsidRPr="000A02E3" w:rsidRDefault="005E793C" w:rsidP="00E30618">
            <w:pPr>
              <w:pStyle w:val="TableFigures"/>
              <w:rPr>
                <w:szCs w:val="20"/>
              </w:rPr>
            </w:pPr>
          </w:p>
        </w:tc>
        <w:tc>
          <w:tcPr>
            <w:tcW w:w="708" w:type="dxa"/>
            <w:tcBorders>
              <w:top w:val="single" w:sz="8" w:space="0" w:color="808080" w:themeColor="background1" w:themeShade="80"/>
            </w:tcBorders>
            <w:shd w:val="clear" w:color="auto" w:fill="auto"/>
            <w:vAlign w:val="bottom"/>
          </w:tcPr>
          <w:p w14:paraId="48FE95C2" w14:textId="77777777" w:rsidR="005E793C" w:rsidRPr="008239CB" w:rsidRDefault="005E793C" w:rsidP="00E30618">
            <w:pPr>
              <w:pStyle w:val="TableFiguresBold0"/>
              <w:rPr>
                <w:b w:val="0"/>
                <w:szCs w:val="20"/>
              </w:rPr>
            </w:pPr>
          </w:p>
        </w:tc>
        <w:tc>
          <w:tcPr>
            <w:tcW w:w="1134" w:type="dxa"/>
            <w:tcBorders>
              <w:top w:val="single" w:sz="8" w:space="0" w:color="808080" w:themeColor="background1" w:themeShade="80"/>
            </w:tcBorders>
            <w:shd w:val="clear" w:color="auto" w:fill="auto"/>
            <w:noWrap/>
            <w:vAlign w:val="bottom"/>
          </w:tcPr>
          <w:p w14:paraId="69C4030C" w14:textId="77777777" w:rsidR="005E793C" w:rsidRPr="000A02E3" w:rsidRDefault="005E793C" w:rsidP="00E30618">
            <w:pPr>
              <w:pStyle w:val="TableFiguresBold0"/>
              <w:rPr>
                <w:szCs w:val="20"/>
              </w:rPr>
            </w:pPr>
          </w:p>
        </w:tc>
        <w:tc>
          <w:tcPr>
            <w:tcW w:w="1276" w:type="dxa"/>
            <w:tcBorders>
              <w:top w:val="single" w:sz="8" w:space="0" w:color="808080" w:themeColor="background1" w:themeShade="80"/>
            </w:tcBorders>
            <w:noWrap/>
          </w:tcPr>
          <w:p w14:paraId="1FB5DFD1" w14:textId="77777777" w:rsidR="005E793C" w:rsidRPr="000A02E3" w:rsidRDefault="005E793C" w:rsidP="00E30618">
            <w:pPr>
              <w:pStyle w:val="TableFigures"/>
              <w:rPr>
                <w:szCs w:val="20"/>
              </w:rPr>
            </w:pPr>
          </w:p>
        </w:tc>
      </w:tr>
      <w:tr w:rsidR="005F6D8A" w:rsidRPr="005F6D8A" w14:paraId="44058210" w14:textId="77777777" w:rsidTr="002A206B">
        <w:tc>
          <w:tcPr>
            <w:tcW w:w="6379" w:type="dxa"/>
            <w:shd w:val="clear" w:color="auto" w:fill="auto"/>
            <w:noWrap/>
            <w:vAlign w:val="bottom"/>
          </w:tcPr>
          <w:p w14:paraId="1354DA68" w14:textId="77777777" w:rsidR="005E793C" w:rsidRPr="000A02E3" w:rsidRDefault="005E793C" w:rsidP="00E30618">
            <w:pPr>
              <w:pStyle w:val="TabletextBold"/>
            </w:pPr>
            <w:r w:rsidRPr="000A02E3">
              <w:t>Non-current assets</w:t>
            </w:r>
          </w:p>
        </w:tc>
        <w:tc>
          <w:tcPr>
            <w:tcW w:w="851" w:type="dxa"/>
            <w:shd w:val="clear" w:color="auto" w:fill="auto"/>
            <w:noWrap/>
            <w:vAlign w:val="bottom"/>
          </w:tcPr>
          <w:p w14:paraId="394B8346" w14:textId="77777777" w:rsidR="005E793C" w:rsidRPr="000A02E3" w:rsidRDefault="005E793C" w:rsidP="00E30618">
            <w:pPr>
              <w:pStyle w:val="TableFigures"/>
            </w:pPr>
          </w:p>
        </w:tc>
        <w:tc>
          <w:tcPr>
            <w:tcW w:w="708" w:type="dxa"/>
            <w:shd w:val="clear" w:color="auto" w:fill="auto"/>
            <w:vAlign w:val="bottom"/>
          </w:tcPr>
          <w:p w14:paraId="20F7F6D0" w14:textId="77777777" w:rsidR="005E793C" w:rsidRPr="008239CB" w:rsidRDefault="005E793C" w:rsidP="00E30618">
            <w:pPr>
              <w:pStyle w:val="TableFiguresBold0"/>
              <w:rPr>
                <w:b w:val="0"/>
                <w:szCs w:val="20"/>
              </w:rPr>
            </w:pPr>
          </w:p>
        </w:tc>
        <w:tc>
          <w:tcPr>
            <w:tcW w:w="1134" w:type="dxa"/>
            <w:shd w:val="clear" w:color="auto" w:fill="auto"/>
            <w:noWrap/>
            <w:vAlign w:val="bottom"/>
          </w:tcPr>
          <w:p w14:paraId="63C44FFE" w14:textId="77777777" w:rsidR="005E793C" w:rsidRPr="000A02E3" w:rsidRDefault="005E793C" w:rsidP="00E30618">
            <w:pPr>
              <w:pStyle w:val="TableFiguresBold0"/>
              <w:rPr>
                <w:szCs w:val="20"/>
              </w:rPr>
            </w:pPr>
          </w:p>
        </w:tc>
        <w:tc>
          <w:tcPr>
            <w:tcW w:w="1276" w:type="dxa"/>
            <w:noWrap/>
          </w:tcPr>
          <w:p w14:paraId="7D3DB995" w14:textId="77777777" w:rsidR="005E793C" w:rsidRPr="000A02E3" w:rsidRDefault="005E793C" w:rsidP="00E30618">
            <w:pPr>
              <w:pStyle w:val="TableFigures"/>
              <w:rPr>
                <w:szCs w:val="20"/>
              </w:rPr>
            </w:pPr>
          </w:p>
        </w:tc>
      </w:tr>
      <w:tr w:rsidR="005F6D8A" w:rsidRPr="005F6D8A" w14:paraId="530B3860" w14:textId="77777777" w:rsidTr="002A206B">
        <w:tc>
          <w:tcPr>
            <w:tcW w:w="6379" w:type="dxa"/>
            <w:shd w:val="clear" w:color="auto" w:fill="auto"/>
            <w:noWrap/>
            <w:vAlign w:val="bottom"/>
          </w:tcPr>
          <w:p w14:paraId="225B803F" w14:textId="77777777" w:rsidR="00782FDC" w:rsidRPr="000A02E3" w:rsidRDefault="00782FDC" w:rsidP="00782FDC">
            <w:pPr>
              <w:pStyle w:val="Tabletext"/>
            </w:pPr>
            <w:r w:rsidRPr="000A02E3">
              <w:t>Intangible assets</w:t>
            </w:r>
          </w:p>
        </w:tc>
        <w:tc>
          <w:tcPr>
            <w:tcW w:w="851" w:type="dxa"/>
            <w:shd w:val="clear" w:color="auto" w:fill="auto"/>
            <w:noWrap/>
            <w:vAlign w:val="bottom"/>
          </w:tcPr>
          <w:p w14:paraId="2B53C1F6" w14:textId="77777777" w:rsidR="00782FDC" w:rsidRPr="000A02E3" w:rsidRDefault="00782FDC" w:rsidP="00782FDC">
            <w:pPr>
              <w:pStyle w:val="TableFigures"/>
            </w:pPr>
          </w:p>
        </w:tc>
        <w:tc>
          <w:tcPr>
            <w:tcW w:w="708" w:type="dxa"/>
            <w:shd w:val="clear" w:color="auto" w:fill="auto"/>
            <w:vAlign w:val="bottom"/>
          </w:tcPr>
          <w:p w14:paraId="4744C260" w14:textId="77777777" w:rsidR="00782FDC" w:rsidRPr="008239CB" w:rsidRDefault="00782FDC" w:rsidP="00782FDC">
            <w:pPr>
              <w:pStyle w:val="TableFiguresBold0"/>
              <w:rPr>
                <w:b w:val="0"/>
              </w:rPr>
            </w:pPr>
          </w:p>
        </w:tc>
        <w:tc>
          <w:tcPr>
            <w:tcW w:w="1134" w:type="dxa"/>
            <w:shd w:val="clear" w:color="auto" w:fill="auto"/>
            <w:noWrap/>
            <w:vAlign w:val="bottom"/>
          </w:tcPr>
          <w:p w14:paraId="33E1A5B5" w14:textId="182D064F" w:rsidR="00782FDC" w:rsidRPr="000A02E3" w:rsidRDefault="000A02E3" w:rsidP="00DC4F14">
            <w:pPr>
              <w:pStyle w:val="TableFiguresBold0"/>
            </w:pPr>
            <w:r w:rsidRPr="000A02E3">
              <w:t>9</w:t>
            </w:r>
          </w:p>
        </w:tc>
        <w:tc>
          <w:tcPr>
            <w:tcW w:w="1276" w:type="dxa"/>
            <w:noWrap/>
            <w:vAlign w:val="bottom"/>
          </w:tcPr>
          <w:p w14:paraId="729ED982" w14:textId="49BA4E19" w:rsidR="00782FDC" w:rsidRPr="000A02E3" w:rsidRDefault="000A02E3" w:rsidP="00DC4F14">
            <w:pPr>
              <w:pStyle w:val="TableFigures"/>
            </w:pPr>
            <w:r w:rsidRPr="000A02E3">
              <w:t>2</w:t>
            </w:r>
          </w:p>
        </w:tc>
      </w:tr>
      <w:tr w:rsidR="005F6D8A" w:rsidRPr="005F6D8A" w14:paraId="2CD3375E" w14:textId="77777777" w:rsidTr="002A206B">
        <w:tc>
          <w:tcPr>
            <w:tcW w:w="6379" w:type="dxa"/>
            <w:shd w:val="clear" w:color="auto" w:fill="auto"/>
            <w:noWrap/>
            <w:vAlign w:val="bottom"/>
          </w:tcPr>
          <w:p w14:paraId="707EA74B" w14:textId="77777777" w:rsidR="00782FDC" w:rsidRPr="000A02E3" w:rsidRDefault="00782FDC" w:rsidP="00782FDC">
            <w:pPr>
              <w:pStyle w:val="Tabletext"/>
            </w:pPr>
            <w:r w:rsidRPr="000A02E3">
              <w:t>Investment properties</w:t>
            </w:r>
          </w:p>
        </w:tc>
        <w:tc>
          <w:tcPr>
            <w:tcW w:w="851" w:type="dxa"/>
            <w:shd w:val="clear" w:color="auto" w:fill="auto"/>
            <w:noWrap/>
            <w:vAlign w:val="bottom"/>
          </w:tcPr>
          <w:p w14:paraId="45E4E214" w14:textId="77777777" w:rsidR="00782FDC" w:rsidRPr="000A02E3" w:rsidRDefault="00782FDC" w:rsidP="00782FDC">
            <w:pPr>
              <w:pStyle w:val="TableFigures"/>
            </w:pPr>
          </w:p>
        </w:tc>
        <w:tc>
          <w:tcPr>
            <w:tcW w:w="708" w:type="dxa"/>
            <w:shd w:val="clear" w:color="auto" w:fill="auto"/>
            <w:vAlign w:val="bottom"/>
          </w:tcPr>
          <w:p w14:paraId="78C20097" w14:textId="5D71F2A3" w:rsidR="00782FDC" w:rsidRPr="008239CB" w:rsidRDefault="00782FDC" w:rsidP="00BE37F4">
            <w:pPr>
              <w:pStyle w:val="TableFigures"/>
            </w:pPr>
            <w:r w:rsidRPr="008239CB">
              <w:t>12</w:t>
            </w:r>
          </w:p>
        </w:tc>
        <w:tc>
          <w:tcPr>
            <w:tcW w:w="1134" w:type="dxa"/>
            <w:shd w:val="clear" w:color="auto" w:fill="auto"/>
            <w:vAlign w:val="bottom"/>
          </w:tcPr>
          <w:p w14:paraId="459D8D34" w14:textId="7DEB9C5F" w:rsidR="00782FDC" w:rsidRPr="000A02E3" w:rsidRDefault="000A02E3" w:rsidP="00DC4F14">
            <w:pPr>
              <w:pStyle w:val="TableFiguresBold0"/>
            </w:pPr>
            <w:r w:rsidRPr="000A02E3">
              <w:t>15,492</w:t>
            </w:r>
          </w:p>
        </w:tc>
        <w:tc>
          <w:tcPr>
            <w:tcW w:w="1276" w:type="dxa"/>
            <w:vAlign w:val="bottom"/>
          </w:tcPr>
          <w:p w14:paraId="483ED08B" w14:textId="24144126" w:rsidR="00782FDC" w:rsidRPr="000A02E3" w:rsidRDefault="000A02E3" w:rsidP="00DC4F14">
            <w:pPr>
              <w:pStyle w:val="TableFigures"/>
            </w:pPr>
            <w:r w:rsidRPr="000A02E3">
              <w:t>10,671</w:t>
            </w:r>
          </w:p>
        </w:tc>
      </w:tr>
      <w:tr w:rsidR="005F6D8A" w:rsidRPr="005F6D8A" w14:paraId="6343F005" w14:textId="77777777" w:rsidTr="002A206B">
        <w:tc>
          <w:tcPr>
            <w:tcW w:w="6379" w:type="dxa"/>
            <w:shd w:val="clear" w:color="auto" w:fill="auto"/>
            <w:noWrap/>
            <w:vAlign w:val="bottom"/>
          </w:tcPr>
          <w:p w14:paraId="3DFFE6F1" w14:textId="77777777" w:rsidR="00782FDC" w:rsidRPr="000A02E3" w:rsidRDefault="00782FDC" w:rsidP="00782FDC">
            <w:pPr>
              <w:pStyle w:val="Tabletext"/>
            </w:pPr>
            <w:r w:rsidRPr="000A02E3">
              <w:t>Other interests in property</w:t>
            </w:r>
          </w:p>
        </w:tc>
        <w:tc>
          <w:tcPr>
            <w:tcW w:w="851" w:type="dxa"/>
            <w:shd w:val="clear" w:color="auto" w:fill="auto"/>
            <w:noWrap/>
            <w:vAlign w:val="bottom"/>
          </w:tcPr>
          <w:p w14:paraId="1D4B8491" w14:textId="77777777" w:rsidR="00782FDC" w:rsidRPr="000A02E3" w:rsidRDefault="00782FDC" w:rsidP="00782FDC">
            <w:pPr>
              <w:pStyle w:val="TableFigures"/>
            </w:pPr>
          </w:p>
        </w:tc>
        <w:tc>
          <w:tcPr>
            <w:tcW w:w="708" w:type="dxa"/>
            <w:shd w:val="clear" w:color="auto" w:fill="auto"/>
            <w:vAlign w:val="bottom"/>
          </w:tcPr>
          <w:p w14:paraId="7529806B" w14:textId="77777777" w:rsidR="00782FDC" w:rsidRPr="008239CB" w:rsidRDefault="00782FDC" w:rsidP="00BE37F4">
            <w:pPr>
              <w:pStyle w:val="TableFigures"/>
            </w:pPr>
          </w:p>
        </w:tc>
        <w:tc>
          <w:tcPr>
            <w:tcW w:w="1134" w:type="dxa"/>
            <w:shd w:val="clear" w:color="auto" w:fill="auto"/>
            <w:vAlign w:val="bottom"/>
          </w:tcPr>
          <w:p w14:paraId="54308F97" w14:textId="6DED211D" w:rsidR="00782FDC" w:rsidRPr="000A02E3" w:rsidRDefault="000A02E3" w:rsidP="00DC4F14">
            <w:pPr>
              <w:pStyle w:val="TableFiguresBold0"/>
            </w:pPr>
            <w:r w:rsidRPr="000A02E3">
              <w:t>24</w:t>
            </w:r>
          </w:p>
        </w:tc>
        <w:tc>
          <w:tcPr>
            <w:tcW w:w="1276" w:type="dxa"/>
            <w:vAlign w:val="bottom"/>
          </w:tcPr>
          <w:p w14:paraId="66018478" w14:textId="4E93965F" w:rsidR="00782FDC" w:rsidRPr="000A02E3" w:rsidRDefault="000A02E3" w:rsidP="00DC4F14">
            <w:pPr>
              <w:pStyle w:val="TableFigures"/>
            </w:pPr>
            <w:r w:rsidRPr="000A02E3">
              <w:t>16</w:t>
            </w:r>
          </w:p>
        </w:tc>
      </w:tr>
      <w:tr w:rsidR="005F6D8A" w:rsidRPr="005F6D8A" w14:paraId="268573A2" w14:textId="77777777" w:rsidTr="002A206B">
        <w:tc>
          <w:tcPr>
            <w:tcW w:w="6379" w:type="dxa"/>
            <w:shd w:val="clear" w:color="auto" w:fill="auto"/>
            <w:noWrap/>
            <w:vAlign w:val="bottom"/>
          </w:tcPr>
          <w:p w14:paraId="405BD665" w14:textId="74E25D09" w:rsidR="00782FDC" w:rsidRPr="000A02E3" w:rsidRDefault="00782FDC" w:rsidP="00782FDC">
            <w:pPr>
              <w:pStyle w:val="Tabletext"/>
            </w:pPr>
            <w:r w:rsidRPr="000A02E3">
              <w:t>Property, plant and equipment</w:t>
            </w:r>
          </w:p>
        </w:tc>
        <w:tc>
          <w:tcPr>
            <w:tcW w:w="851" w:type="dxa"/>
            <w:shd w:val="clear" w:color="auto" w:fill="auto"/>
            <w:noWrap/>
            <w:vAlign w:val="bottom"/>
          </w:tcPr>
          <w:p w14:paraId="1E3CADB8" w14:textId="77777777" w:rsidR="00782FDC" w:rsidRPr="000A02E3" w:rsidRDefault="00782FDC" w:rsidP="00782FDC">
            <w:pPr>
              <w:pStyle w:val="TableFigures"/>
            </w:pPr>
          </w:p>
        </w:tc>
        <w:tc>
          <w:tcPr>
            <w:tcW w:w="708" w:type="dxa"/>
            <w:shd w:val="clear" w:color="auto" w:fill="auto"/>
            <w:vAlign w:val="bottom"/>
          </w:tcPr>
          <w:p w14:paraId="18E13B32" w14:textId="77777777" w:rsidR="00782FDC" w:rsidRPr="008239CB" w:rsidRDefault="00782FDC" w:rsidP="00BE37F4">
            <w:pPr>
              <w:pStyle w:val="TableFigures"/>
            </w:pPr>
          </w:p>
        </w:tc>
        <w:tc>
          <w:tcPr>
            <w:tcW w:w="1134" w:type="dxa"/>
            <w:shd w:val="clear" w:color="auto" w:fill="auto"/>
            <w:vAlign w:val="bottom"/>
          </w:tcPr>
          <w:p w14:paraId="13A8AE5B" w14:textId="39A0E48C" w:rsidR="00782FDC" w:rsidRPr="000A02E3" w:rsidRDefault="000A02E3" w:rsidP="00DC4F14">
            <w:pPr>
              <w:pStyle w:val="TableFiguresBold0"/>
            </w:pPr>
            <w:r w:rsidRPr="000A02E3">
              <w:t>22</w:t>
            </w:r>
          </w:p>
        </w:tc>
        <w:tc>
          <w:tcPr>
            <w:tcW w:w="1276" w:type="dxa"/>
            <w:vAlign w:val="bottom"/>
          </w:tcPr>
          <w:p w14:paraId="49358D95" w14:textId="36019270" w:rsidR="00782FDC" w:rsidRPr="000A02E3" w:rsidRDefault="000A02E3" w:rsidP="00DC4F14">
            <w:pPr>
              <w:pStyle w:val="TableFigures"/>
            </w:pPr>
            <w:r w:rsidRPr="000A02E3">
              <w:t>27</w:t>
            </w:r>
          </w:p>
        </w:tc>
      </w:tr>
      <w:tr w:rsidR="005F6D8A" w:rsidRPr="005F6D8A" w14:paraId="320E7092" w14:textId="77777777" w:rsidTr="002A206B">
        <w:tc>
          <w:tcPr>
            <w:tcW w:w="6379" w:type="dxa"/>
            <w:shd w:val="clear" w:color="auto" w:fill="auto"/>
            <w:noWrap/>
            <w:vAlign w:val="bottom"/>
          </w:tcPr>
          <w:p w14:paraId="68B1D3E8" w14:textId="77777777" w:rsidR="00782FDC" w:rsidRPr="000A02E3" w:rsidRDefault="00782FDC" w:rsidP="00782FDC">
            <w:pPr>
              <w:pStyle w:val="Tabletext"/>
            </w:pPr>
            <w:r w:rsidRPr="000A02E3">
              <w:t xml:space="preserve">Investments in joint ventures </w:t>
            </w:r>
          </w:p>
        </w:tc>
        <w:tc>
          <w:tcPr>
            <w:tcW w:w="851" w:type="dxa"/>
            <w:shd w:val="clear" w:color="auto" w:fill="auto"/>
            <w:noWrap/>
            <w:vAlign w:val="bottom"/>
          </w:tcPr>
          <w:p w14:paraId="091B651E" w14:textId="77777777" w:rsidR="00782FDC" w:rsidRPr="000A02E3" w:rsidRDefault="00782FDC" w:rsidP="00782FDC">
            <w:pPr>
              <w:pStyle w:val="TableFigures"/>
            </w:pPr>
          </w:p>
        </w:tc>
        <w:tc>
          <w:tcPr>
            <w:tcW w:w="708" w:type="dxa"/>
            <w:shd w:val="clear" w:color="auto" w:fill="auto"/>
            <w:vAlign w:val="bottom"/>
          </w:tcPr>
          <w:p w14:paraId="7B02F0B5" w14:textId="777641C3" w:rsidR="00782FDC" w:rsidRPr="008239CB" w:rsidRDefault="00782FDC" w:rsidP="00BE37F4">
            <w:pPr>
              <w:pStyle w:val="TableFigures"/>
            </w:pPr>
            <w:r w:rsidRPr="008239CB">
              <w:t>6</w:t>
            </w:r>
          </w:p>
        </w:tc>
        <w:tc>
          <w:tcPr>
            <w:tcW w:w="1134" w:type="dxa"/>
            <w:shd w:val="clear" w:color="auto" w:fill="auto"/>
            <w:vAlign w:val="bottom"/>
          </w:tcPr>
          <w:p w14:paraId="3AD95487" w14:textId="46DB5FA2" w:rsidR="00782FDC" w:rsidRPr="000A02E3" w:rsidRDefault="000A02E3" w:rsidP="00DC4F14">
            <w:pPr>
              <w:pStyle w:val="TableFiguresBold0"/>
            </w:pPr>
            <w:r w:rsidRPr="000A02E3">
              <w:t>1,795</w:t>
            </w:r>
          </w:p>
        </w:tc>
        <w:tc>
          <w:tcPr>
            <w:tcW w:w="1276" w:type="dxa"/>
            <w:vAlign w:val="bottom"/>
          </w:tcPr>
          <w:p w14:paraId="3E8C93CA" w14:textId="1BA40F2F" w:rsidR="00782FDC" w:rsidRPr="000A02E3" w:rsidRDefault="000A02E3" w:rsidP="00DC4F14">
            <w:pPr>
              <w:pStyle w:val="TableFigures"/>
            </w:pPr>
            <w:r w:rsidRPr="000A02E3">
              <w:t>1,423</w:t>
            </w:r>
          </w:p>
        </w:tc>
      </w:tr>
      <w:tr w:rsidR="005F6D8A" w:rsidRPr="005F6D8A" w14:paraId="117C872D" w14:textId="77777777" w:rsidTr="002A206B">
        <w:tc>
          <w:tcPr>
            <w:tcW w:w="6379" w:type="dxa"/>
            <w:shd w:val="clear" w:color="auto" w:fill="auto"/>
            <w:noWrap/>
            <w:vAlign w:val="bottom"/>
          </w:tcPr>
          <w:p w14:paraId="6F014FC0" w14:textId="77777777" w:rsidR="00782FDC" w:rsidRPr="000A02E3" w:rsidRDefault="00782FDC" w:rsidP="00782FDC">
            <w:pPr>
              <w:pStyle w:val="Tabletext"/>
            </w:pPr>
            <w:r w:rsidRPr="000A02E3">
              <w:t>Other investments</w:t>
            </w:r>
          </w:p>
        </w:tc>
        <w:tc>
          <w:tcPr>
            <w:tcW w:w="851" w:type="dxa"/>
            <w:shd w:val="clear" w:color="auto" w:fill="auto"/>
            <w:noWrap/>
            <w:vAlign w:val="bottom"/>
          </w:tcPr>
          <w:p w14:paraId="205D7A3A" w14:textId="77777777" w:rsidR="00782FDC" w:rsidRPr="000A02E3" w:rsidRDefault="00782FDC" w:rsidP="00782FDC">
            <w:pPr>
              <w:pStyle w:val="TableFigures"/>
            </w:pPr>
          </w:p>
        </w:tc>
        <w:tc>
          <w:tcPr>
            <w:tcW w:w="708" w:type="dxa"/>
            <w:shd w:val="clear" w:color="auto" w:fill="auto"/>
            <w:vAlign w:val="bottom"/>
          </w:tcPr>
          <w:p w14:paraId="3D26D81D" w14:textId="078D086D" w:rsidR="00782FDC" w:rsidRPr="008239CB" w:rsidRDefault="00782FDC" w:rsidP="00BE37F4">
            <w:pPr>
              <w:pStyle w:val="TableFigures"/>
            </w:pPr>
          </w:p>
        </w:tc>
        <w:tc>
          <w:tcPr>
            <w:tcW w:w="1134" w:type="dxa"/>
            <w:shd w:val="clear" w:color="auto" w:fill="auto"/>
            <w:vAlign w:val="bottom"/>
          </w:tcPr>
          <w:p w14:paraId="163DB099" w14:textId="6641BEEA" w:rsidR="00782FDC" w:rsidRPr="000A02E3" w:rsidRDefault="000A02E3" w:rsidP="00DC4F14">
            <w:pPr>
              <w:pStyle w:val="TableFiguresBold0"/>
            </w:pPr>
            <w:r w:rsidRPr="000A02E3">
              <w:t>5</w:t>
            </w:r>
          </w:p>
        </w:tc>
        <w:tc>
          <w:tcPr>
            <w:tcW w:w="1276" w:type="dxa"/>
            <w:vAlign w:val="bottom"/>
          </w:tcPr>
          <w:p w14:paraId="57AC8BD0" w14:textId="30A51EEE" w:rsidR="00782FDC" w:rsidRPr="000A02E3" w:rsidRDefault="000A02E3" w:rsidP="00DC4F14">
            <w:pPr>
              <w:pStyle w:val="TableFigures"/>
            </w:pPr>
            <w:r w:rsidRPr="000A02E3">
              <w:t>2</w:t>
            </w:r>
          </w:p>
        </w:tc>
      </w:tr>
      <w:tr w:rsidR="005F6D8A" w:rsidRPr="005F6D8A" w14:paraId="3AAB0C6D" w14:textId="77777777" w:rsidTr="002A206B">
        <w:tc>
          <w:tcPr>
            <w:tcW w:w="6379" w:type="dxa"/>
            <w:shd w:val="clear" w:color="auto" w:fill="auto"/>
            <w:noWrap/>
            <w:vAlign w:val="bottom"/>
          </w:tcPr>
          <w:p w14:paraId="715A904D" w14:textId="77777777" w:rsidR="00782FDC" w:rsidRPr="000A02E3" w:rsidRDefault="00782FDC" w:rsidP="00782FDC">
            <w:pPr>
              <w:pStyle w:val="Tabletext"/>
            </w:pPr>
            <w:r w:rsidRPr="000A02E3">
              <w:t>Other receivables</w:t>
            </w:r>
          </w:p>
        </w:tc>
        <w:tc>
          <w:tcPr>
            <w:tcW w:w="851" w:type="dxa"/>
            <w:shd w:val="clear" w:color="auto" w:fill="auto"/>
            <w:noWrap/>
            <w:vAlign w:val="bottom"/>
          </w:tcPr>
          <w:p w14:paraId="3A5EDAB3" w14:textId="77777777" w:rsidR="00782FDC" w:rsidRPr="000A02E3" w:rsidRDefault="00782FDC" w:rsidP="00782FDC">
            <w:pPr>
              <w:pStyle w:val="TableFigures"/>
            </w:pPr>
          </w:p>
        </w:tc>
        <w:tc>
          <w:tcPr>
            <w:tcW w:w="708" w:type="dxa"/>
            <w:shd w:val="clear" w:color="auto" w:fill="auto"/>
            <w:vAlign w:val="bottom"/>
          </w:tcPr>
          <w:p w14:paraId="63F8E143" w14:textId="0EC5BAEC" w:rsidR="00782FDC" w:rsidRPr="008239CB" w:rsidRDefault="00782FDC" w:rsidP="00BE37F4">
            <w:pPr>
              <w:pStyle w:val="TableFigures"/>
            </w:pPr>
          </w:p>
        </w:tc>
        <w:tc>
          <w:tcPr>
            <w:tcW w:w="1134" w:type="dxa"/>
            <w:shd w:val="clear" w:color="auto" w:fill="auto"/>
            <w:vAlign w:val="bottom"/>
          </w:tcPr>
          <w:p w14:paraId="5DE6B82E" w14:textId="3FA92611" w:rsidR="00782FDC" w:rsidRPr="000A02E3" w:rsidRDefault="000A02E3" w:rsidP="00DC4F14">
            <w:pPr>
              <w:pStyle w:val="TableFiguresBold0"/>
            </w:pPr>
            <w:r w:rsidRPr="000A02E3">
              <w:t>35</w:t>
            </w:r>
          </w:p>
        </w:tc>
        <w:tc>
          <w:tcPr>
            <w:tcW w:w="1276" w:type="dxa"/>
            <w:vAlign w:val="bottom"/>
          </w:tcPr>
          <w:p w14:paraId="7734ABAD" w14:textId="11F87F67" w:rsidR="00782FDC" w:rsidRPr="000A02E3" w:rsidRDefault="000A02E3" w:rsidP="00DC4F14">
            <w:pPr>
              <w:pStyle w:val="TableFigures"/>
            </w:pPr>
            <w:r w:rsidRPr="000A02E3">
              <w:t>37</w:t>
            </w:r>
          </w:p>
        </w:tc>
      </w:tr>
      <w:tr w:rsidR="005F6D8A" w:rsidRPr="005F6D8A" w14:paraId="667A8649" w14:textId="77777777" w:rsidTr="002A206B">
        <w:tc>
          <w:tcPr>
            <w:tcW w:w="6379" w:type="dxa"/>
            <w:shd w:val="clear" w:color="auto" w:fill="auto"/>
            <w:noWrap/>
            <w:vAlign w:val="bottom"/>
          </w:tcPr>
          <w:p w14:paraId="4F087FBF" w14:textId="77777777" w:rsidR="00782FDC" w:rsidRPr="000A02E3" w:rsidRDefault="00782FDC" w:rsidP="00782FDC">
            <w:pPr>
              <w:pStyle w:val="Tabletext"/>
            </w:pPr>
            <w:r w:rsidRPr="000A02E3">
              <w:t>Derivative financial instruments</w:t>
            </w:r>
          </w:p>
        </w:tc>
        <w:tc>
          <w:tcPr>
            <w:tcW w:w="851" w:type="dxa"/>
            <w:shd w:val="clear" w:color="auto" w:fill="auto"/>
            <w:noWrap/>
            <w:vAlign w:val="bottom"/>
          </w:tcPr>
          <w:p w14:paraId="1419AD8A" w14:textId="77777777" w:rsidR="00782FDC" w:rsidRPr="000A02E3" w:rsidRDefault="00782FDC" w:rsidP="00782FDC">
            <w:pPr>
              <w:pStyle w:val="TableFigures"/>
            </w:pPr>
          </w:p>
        </w:tc>
        <w:tc>
          <w:tcPr>
            <w:tcW w:w="708" w:type="dxa"/>
            <w:shd w:val="clear" w:color="auto" w:fill="auto"/>
            <w:vAlign w:val="bottom"/>
          </w:tcPr>
          <w:p w14:paraId="382330DE" w14:textId="52A0A48F" w:rsidR="00782FDC" w:rsidRPr="008239CB" w:rsidRDefault="00782FDC" w:rsidP="00BE37F4">
            <w:pPr>
              <w:pStyle w:val="TableFigures"/>
            </w:pPr>
          </w:p>
        </w:tc>
        <w:tc>
          <w:tcPr>
            <w:tcW w:w="1134" w:type="dxa"/>
            <w:shd w:val="clear" w:color="auto" w:fill="auto"/>
            <w:noWrap/>
            <w:vAlign w:val="bottom"/>
          </w:tcPr>
          <w:p w14:paraId="39169528" w14:textId="344DE51C" w:rsidR="00782FDC" w:rsidRPr="000A02E3" w:rsidRDefault="000A02E3" w:rsidP="00DC4F14">
            <w:pPr>
              <w:pStyle w:val="TableFiguresBold0"/>
            </w:pPr>
            <w:r w:rsidRPr="000A02E3">
              <w:t>50</w:t>
            </w:r>
          </w:p>
        </w:tc>
        <w:tc>
          <w:tcPr>
            <w:tcW w:w="1276" w:type="dxa"/>
            <w:noWrap/>
            <w:vAlign w:val="bottom"/>
          </w:tcPr>
          <w:p w14:paraId="3264F793" w14:textId="39AEC040" w:rsidR="00782FDC" w:rsidRPr="000A02E3" w:rsidRDefault="000A02E3" w:rsidP="00DC4F14">
            <w:pPr>
              <w:pStyle w:val="TableFigures"/>
            </w:pPr>
            <w:r w:rsidRPr="000A02E3">
              <w:t>63</w:t>
            </w:r>
          </w:p>
        </w:tc>
      </w:tr>
      <w:tr w:rsidR="005F6D8A" w:rsidRPr="005F6D8A" w14:paraId="40BAD90F" w14:textId="77777777" w:rsidTr="002A206B">
        <w:tc>
          <w:tcPr>
            <w:tcW w:w="6379" w:type="dxa"/>
            <w:tcBorders>
              <w:top w:val="single" w:sz="4" w:space="0" w:color="808080" w:themeColor="background1" w:themeShade="80"/>
            </w:tcBorders>
            <w:shd w:val="clear" w:color="auto" w:fill="auto"/>
            <w:noWrap/>
            <w:vAlign w:val="bottom"/>
          </w:tcPr>
          <w:p w14:paraId="3C4815E5" w14:textId="77777777" w:rsidR="00782FDC" w:rsidRPr="000A02E3" w:rsidRDefault="00782FDC" w:rsidP="00782FDC">
            <w:pPr>
              <w:pStyle w:val="Tabletext"/>
              <w:rPr>
                <w:szCs w:val="20"/>
              </w:rPr>
            </w:pPr>
          </w:p>
        </w:tc>
        <w:tc>
          <w:tcPr>
            <w:tcW w:w="851" w:type="dxa"/>
            <w:tcBorders>
              <w:top w:val="single" w:sz="4" w:space="0" w:color="808080" w:themeColor="background1" w:themeShade="80"/>
            </w:tcBorders>
            <w:shd w:val="clear" w:color="auto" w:fill="auto"/>
            <w:noWrap/>
            <w:vAlign w:val="bottom"/>
          </w:tcPr>
          <w:p w14:paraId="347CBE8C" w14:textId="77777777" w:rsidR="00782FDC" w:rsidRPr="000A02E3" w:rsidRDefault="00782FDC" w:rsidP="00782FDC">
            <w:pPr>
              <w:pStyle w:val="TableFigures"/>
            </w:pPr>
          </w:p>
        </w:tc>
        <w:tc>
          <w:tcPr>
            <w:tcW w:w="708" w:type="dxa"/>
            <w:tcBorders>
              <w:top w:val="single" w:sz="4" w:space="0" w:color="808080" w:themeColor="background1" w:themeShade="80"/>
            </w:tcBorders>
            <w:shd w:val="clear" w:color="auto" w:fill="auto"/>
            <w:vAlign w:val="bottom"/>
          </w:tcPr>
          <w:p w14:paraId="30A6CEDC" w14:textId="77777777" w:rsidR="00782FDC" w:rsidRPr="008239CB" w:rsidRDefault="00782FDC" w:rsidP="00BE37F4">
            <w:pPr>
              <w:pStyle w:val="TableFigures"/>
            </w:pPr>
          </w:p>
        </w:tc>
        <w:tc>
          <w:tcPr>
            <w:tcW w:w="1134" w:type="dxa"/>
            <w:tcBorders>
              <w:top w:val="single" w:sz="4" w:space="0" w:color="808080" w:themeColor="background1" w:themeShade="80"/>
            </w:tcBorders>
            <w:shd w:val="clear" w:color="auto" w:fill="auto"/>
            <w:noWrap/>
            <w:vAlign w:val="bottom"/>
          </w:tcPr>
          <w:p w14:paraId="0A5AAB23" w14:textId="1D3BB47A" w:rsidR="00782FDC" w:rsidRPr="000A02E3" w:rsidRDefault="000A02E3" w:rsidP="00DC4F14">
            <w:pPr>
              <w:pStyle w:val="TableFiguresBold0"/>
            </w:pPr>
            <w:r w:rsidRPr="000A02E3">
              <w:t>17,432</w:t>
            </w:r>
          </w:p>
        </w:tc>
        <w:tc>
          <w:tcPr>
            <w:tcW w:w="1276" w:type="dxa"/>
            <w:tcBorders>
              <w:top w:val="single" w:sz="4" w:space="0" w:color="808080" w:themeColor="background1" w:themeShade="80"/>
            </w:tcBorders>
            <w:noWrap/>
            <w:vAlign w:val="bottom"/>
          </w:tcPr>
          <w:p w14:paraId="53640FB1" w14:textId="0F52E050" w:rsidR="00782FDC" w:rsidRPr="000A02E3" w:rsidRDefault="000A02E3" w:rsidP="00DC4F14">
            <w:pPr>
              <w:pStyle w:val="TableFigures"/>
            </w:pPr>
            <w:r w:rsidRPr="000A02E3">
              <w:t>12,241</w:t>
            </w:r>
          </w:p>
        </w:tc>
      </w:tr>
      <w:tr w:rsidR="005F6D8A" w:rsidRPr="005F6D8A" w14:paraId="26BA32F7" w14:textId="77777777" w:rsidTr="002A206B">
        <w:tc>
          <w:tcPr>
            <w:tcW w:w="6379" w:type="dxa"/>
            <w:shd w:val="clear" w:color="auto" w:fill="auto"/>
            <w:noWrap/>
            <w:vAlign w:val="bottom"/>
          </w:tcPr>
          <w:p w14:paraId="5B25F388" w14:textId="77777777" w:rsidR="00782FDC" w:rsidRPr="005F6D8A" w:rsidRDefault="00782FDC" w:rsidP="00782FDC">
            <w:pPr>
              <w:pStyle w:val="Tabletext"/>
              <w:rPr>
                <w:color w:val="FF0000"/>
                <w:szCs w:val="20"/>
              </w:rPr>
            </w:pPr>
          </w:p>
        </w:tc>
        <w:tc>
          <w:tcPr>
            <w:tcW w:w="851" w:type="dxa"/>
            <w:shd w:val="clear" w:color="auto" w:fill="auto"/>
            <w:noWrap/>
            <w:vAlign w:val="bottom"/>
          </w:tcPr>
          <w:p w14:paraId="59FC9580" w14:textId="77777777" w:rsidR="00782FDC" w:rsidRPr="005F6D8A" w:rsidRDefault="00782FDC" w:rsidP="00782FDC">
            <w:pPr>
              <w:pStyle w:val="TableFigures"/>
              <w:rPr>
                <w:color w:val="FF0000"/>
              </w:rPr>
            </w:pPr>
          </w:p>
        </w:tc>
        <w:tc>
          <w:tcPr>
            <w:tcW w:w="708" w:type="dxa"/>
            <w:shd w:val="clear" w:color="auto" w:fill="auto"/>
            <w:vAlign w:val="bottom"/>
          </w:tcPr>
          <w:p w14:paraId="4A003B52" w14:textId="77777777" w:rsidR="00782FDC" w:rsidRPr="008239CB" w:rsidRDefault="00782FDC" w:rsidP="00BE37F4">
            <w:pPr>
              <w:pStyle w:val="TableFigures"/>
            </w:pPr>
          </w:p>
        </w:tc>
        <w:tc>
          <w:tcPr>
            <w:tcW w:w="1134" w:type="dxa"/>
            <w:shd w:val="clear" w:color="auto" w:fill="auto"/>
            <w:noWrap/>
            <w:vAlign w:val="bottom"/>
          </w:tcPr>
          <w:p w14:paraId="05F0A13E" w14:textId="77777777" w:rsidR="00782FDC" w:rsidRPr="005F6D8A" w:rsidRDefault="00782FDC" w:rsidP="00DC4F14">
            <w:pPr>
              <w:pStyle w:val="TableFiguresBold0"/>
              <w:rPr>
                <w:color w:val="FF0000"/>
              </w:rPr>
            </w:pPr>
          </w:p>
        </w:tc>
        <w:tc>
          <w:tcPr>
            <w:tcW w:w="1276" w:type="dxa"/>
            <w:shd w:val="clear" w:color="auto" w:fill="auto"/>
            <w:noWrap/>
            <w:vAlign w:val="bottom"/>
          </w:tcPr>
          <w:p w14:paraId="7B6682F0" w14:textId="77777777" w:rsidR="00782FDC" w:rsidRPr="005F6D8A" w:rsidRDefault="00782FDC" w:rsidP="00DC4F14">
            <w:pPr>
              <w:pStyle w:val="TableFigures"/>
              <w:rPr>
                <w:color w:val="FF0000"/>
              </w:rPr>
            </w:pPr>
          </w:p>
        </w:tc>
      </w:tr>
      <w:tr w:rsidR="005F6D8A" w:rsidRPr="005F6D8A" w14:paraId="2DCADE55" w14:textId="77777777" w:rsidTr="002A206B">
        <w:tc>
          <w:tcPr>
            <w:tcW w:w="6379" w:type="dxa"/>
            <w:shd w:val="clear" w:color="auto" w:fill="auto"/>
            <w:noWrap/>
            <w:vAlign w:val="bottom"/>
          </w:tcPr>
          <w:p w14:paraId="5041F849" w14:textId="77777777" w:rsidR="00782FDC" w:rsidRPr="005F6D8A" w:rsidRDefault="00782FDC" w:rsidP="00782FDC">
            <w:pPr>
              <w:pStyle w:val="TabletextBold"/>
              <w:rPr>
                <w:color w:val="FF0000"/>
              </w:rPr>
            </w:pPr>
            <w:r w:rsidRPr="000A02E3">
              <w:t>Current assets</w:t>
            </w:r>
          </w:p>
        </w:tc>
        <w:tc>
          <w:tcPr>
            <w:tcW w:w="851" w:type="dxa"/>
            <w:shd w:val="clear" w:color="auto" w:fill="auto"/>
            <w:noWrap/>
            <w:vAlign w:val="bottom"/>
          </w:tcPr>
          <w:p w14:paraId="0DDED819" w14:textId="77777777" w:rsidR="00782FDC" w:rsidRPr="005F6D8A" w:rsidRDefault="00782FDC" w:rsidP="00782FDC">
            <w:pPr>
              <w:pStyle w:val="TableFigures"/>
              <w:rPr>
                <w:color w:val="FF0000"/>
              </w:rPr>
            </w:pPr>
          </w:p>
        </w:tc>
        <w:tc>
          <w:tcPr>
            <w:tcW w:w="708" w:type="dxa"/>
            <w:shd w:val="clear" w:color="auto" w:fill="auto"/>
            <w:vAlign w:val="bottom"/>
          </w:tcPr>
          <w:p w14:paraId="3914E6D0" w14:textId="77777777" w:rsidR="00782FDC" w:rsidRPr="008239CB" w:rsidRDefault="00782FDC" w:rsidP="00BE37F4">
            <w:pPr>
              <w:pStyle w:val="TableFigures"/>
            </w:pPr>
          </w:p>
        </w:tc>
        <w:tc>
          <w:tcPr>
            <w:tcW w:w="1134" w:type="dxa"/>
            <w:shd w:val="clear" w:color="auto" w:fill="auto"/>
            <w:noWrap/>
            <w:vAlign w:val="bottom"/>
          </w:tcPr>
          <w:p w14:paraId="71E78816" w14:textId="77777777" w:rsidR="00782FDC" w:rsidRPr="005F6D8A" w:rsidRDefault="00782FDC" w:rsidP="00DC4F14">
            <w:pPr>
              <w:pStyle w:val="TableFiguresBold0"/>
              <w:rPr>
                <w:color w:val="FF0000"/>
              </w:rPr>
            </w:pPr>
          </w:p>
        </w:tc>
        <w:tc>
          <w:tcPr>
            <w:tcW w:w="1276" w:type="dxa"/>
            <w:shd w:val="clear" w:color="auto" w:fill="auto"/>
            <w:noWrap/>
            <w:vAlign w:val="bottom"/>
          </w:tcPr>
          <w:p w14:paraId="5A5C9B9E" w14:textId="77777777" w:rsidR="00782FDC" w:rsidRPr="005F6D8A" w:rsidRDefault="00782FDC" w:rsidP="00DC4F14">
            <w:pPr>
              <w:pStyle w:val="TableFigures"/>
              <w:rPr>
                <w:color w:val="FF0000"/>
              </w:rPr>
            </w:pPr>
          </w:p>
        </w:tc>
      </w:tr>
      <w:tr w:rsidR="005F6D8A" w:rsidRPr="005F6D8A" w14:paraId="492594E2" w14:textId="77777777" w:rsidTr="002A206B">
        <w:tc>
          <w:tcPr>
            <w:tcW w:w="6379" w:type="dxa"/>
            <w:shd w:val="clear" w:color="auto" w:fill="auto"/>
            <w:noWrap/>
            <w:vAlign w:val="bottom"/>
          </w:tcPr>
          <w:p w14:paraId="5AC025DD" w14:textId="77777777" w:rsidR="00782FDC" w:rsidRPr="00B42CF9" w:rsidRDefault="00782FDC" w:rsidP="00782FDC">
            <w:pPr>
              <w:pStyle w:val="Tabletext"/>
              <w:rPr>
                <w:szCs w:val="20"/>
              </w:rPr>
            </w:pPr>
            <w:r w:rsidRPr="00B42CF9">
              <w:rPr>
                <w:szCs w:val="20"/>
              </w:rPr>
              <w:t>Trading properties</w:t>
            </w:r>
          </w:p>
        </w:tc>
        <w:tc>
          <w:tcPr>
            <w:tcW w:w="851" w:type="dxa"/>
            <w:shd w:val="clear" w:color="auto" w:fill="auto"/>
            <w:noWrap/>
            <w:vAlign w:val="bottom"/>
          </w:tcPr>
          <w:p w14:paraId="187977F6" w14:textId="77777777" w:rsidR="00782FDC" w:rsidRPr="00B42CF9" w:rsidRDefault="00782FDC" w:rsidP="00782FDC">
            <w:pPr>
              <w:pStyle w:val="TableFigures"/>
            </w:pPr>
          </w:p>
        </w:tc>
        <w:tc>
          <w:tcPr>
            <w:tcW w:w="708" w:type="dxa"/>
            <w:shd w:val="clear" w:color="auto" w:fill="auto"/>
            <w:vAlign w:val="bottom"/>
          </w:tcPr>
          <w:p w14:paraId="06FBE8B2" w14:textId="77D5DDF5" w:rsidR="00782FDC" w:rsidRPr="008239CB" w:rsidRDefault="00782FDC" w:rsidP="00BE37F4">
            <w:pPr>
              <w:pStyle w:val="TableFigures"/>
            </w:pPr>
            <w:r w:rsidRPr="008239CB">
              <w:t>12</w:t>
            </w:r>
          </w:p>
        </w:tc>
        <w:tc>
          <w:tcPr>
            <w:tcW w:w="1134" w:type="dxa"/>
            <w:shd w:val="clear" w:color="auto" w:fill="auto"/>
            <w:vAlign w:val="bottom"/>
          </w:tcPr>
          <w:p w14:paraId="091A9D5B" w14:textId="42691A9B" w:rsidR="00782FDC" w:rsidRPr="00B42CF9" w:rsidRDefault="000A02E3" w:rsidP="00DC4F14">
            <w:pPr>
              <w:pStyle w:val="TableFiguresBold0"/>
            </w:pPr>
            <w:r w:rsidRPr="00B42CF9">
              <w:t>45</w:t>
            </w:r>
          </w:p>
        </w:tc>
        <w:tc>
          <w:tcPr>
            <w:tcW w:w="1276" w:type="dxa"/>
            <w:vAlign w:val="bottom"/>
          </w:tcPr>
          <w:p w14:paraId="5D13515F" w14:textId="104B1F9D" w:rsidR="00782FDC" w:rsidRPr="00B42CF9" w:rsidRDefault="000A02E3" w:rsidP="00DC4F14">
            <w:pPr>
              <w:pStyle w:val="TableFigures"/>
            </w:pPr>
            <w:r w:rsidRPr="00B42CF9">
              <w:t>52</w:t>
            </w:r>
          </w:p>
        </w:tc>
      </w:tr>
      <w:tr w:rsidR="005F6D8A" w:rsidRPr="005F6D8A" w14:paraId="41EFA02E" w14:textId="77777777" w:rsidTr="002A206B">
        <w:tc>
          <w:tcPr>
            <w:tcW w:w="6379" w:type="dxa"/>
            <w:shd w:val="clear" w:color="auto" w:fill="auto"/>
            <w:noWrap/>
            <w:vAlign w:val="bottom"/>
          </w:tcPr>
          <w:p w14:paraId="41CD871B" w14:textId="77777777" w:rsidR="00782FDC" w:rsidRPr="00B42CF9" w:rsidRDefault="00782FDC" w:rsidP="00782FDC">
            <w:pPr>
              <w:pStyle w:val="Tabletext"/>
              <w:rPr>
                <w:szCs w:val="20"/>
              </w:rPr>
            </w:pPr>
            <w:r w:rsidRPr="00B42CF9">
              <w:rPr>
                <w:szCs w:val="20"/>
              </w:rPr>
              <w:t>Trade and other receivables</w:t>
            </w:r>
          </w:p>
        </w:tc>
        <w:tc>
          <w:tcPr>
            <w:tcW w:w="851" w:type="dxa"/>
            <w:shd w:val="clear" w:color="auto" w:fill="auto"/>
            <w:noWrap/>
            <w:vAlign w:val="bottom"/>
          </w:tcPr>
          <w:p w14:paraId="04C4EAF5" w14:textId="77777777" w:rsidR="00782FDC" w:rsidRPr="00B42CF9" w:rsidRDefault="00782FDC" w:rsidP="00782FDC">
            <w:pPr>
              <w:pStyle w:val="TableFigures"/>
            </w:pPr>
          </w:p>
        </w:tc>
        <w:tc>
          <w:tcPr>
            <w:tcW w:w="708" w:type="dxa"/>
            <w:shd w:val="clear" w:color="auto" w:fill="auto"/>
            <w:vAlign w:val="bottom"/>
          </w:tcPr>
          <w:p w14:paraId="11766BCF" w14:textId="62B1024D" w:rsidR="00782FDC" w:rsidRPr="008239CB" w:rsidRDefault="00782FDC" w:rsidP="00BE37F4">
            <w:pPr>
              <w:pStyle w:val="TableFigures"/>
            </w:pPr>
          </w:p>
        </w:tc>
        <w:tc>
          <w:tcPr>
            <w:tcW w:w="1134" w:type="dxa"/>
            <w:shd w:val="clear" w:color="auto" w:fill="auto"/>
            <w:vAlign w:val="bottom"/>
          </w:tcPr>
          <w:p w14:paraId="07129D86" w14:textId="0BD6BFF0" w:rsidR="00782FDC" w:rsidRPr="00B42CF9" w:rsidRDefault="000A02E3" w:rsidP="00DC4F14">
            <w:pPr>
              <w:pStyle w:val="TableFiguresBold0"/>
            </w:pPr>
            <w:r w:rsidRPr="00B42CF9">
              <w:t>247</w:t>
            </w:r>
          </w:p>
        </w:tc>
        <w:tc>
          <w:tcPr>
            <w:tcW w:w="1276" w:type="dxa"/>
            <w:vAlign w:val="bottom"/>
          </w:tcPr>
          <w:p w14:paraId="7031CF6E" w14:textId="000308A0" w:rsidR="00782FDC" w:rsidRPr="00B42CF9" w:rsidRDefault="000A02E3" w:rsidP="00DC4F14">
            <w:pPr>
              <w:pStyle w:val="TableFigures"/>
            </w:pPr>
            <w:r w:rsidRPr="00B42CF9">
              <w:t>270</w:t>
            </w:r>
          </w:p>
        </w:tc>
      </w:tr>
      <w:tr w:rsidR="005F6D8A" w:rsidRPr="005F6D8A" w14:paraId="738F675C" w14:textId="77777777" w:rsidTr="002A206B">
        <w:tc>
          <w:tcPr>
            <w:tcW w:w="6379" w:type="dxa"/>
            <w:shd w:val="clear" w:color="auto" w:fill="auto"/>
            <w:noWrap/>
            <w:vAlign w:val="bottom"/>
          </w:tcPr>
          <w:p w14:paraId="20E0C9DF" w14:textId="77777777" w:rsidR="00782FDC" w:rsidRPr="00B42CF9" w:rsidRDefault="00782FDC" w:rsidP="00782FDC">
            <w:pPr>
              <w:pStyle w:val="Tabletext"/>
              <w:rPr>
                <w:szCs w:val="20"/>
              </w:rPr>
            </w:pPr>
            <w:r w:rsidRPr="00B42CF9">
              <w:rPr>
                <w:szCs w:val="20"/>
              </w:rPr>
              <w:t>Derivative financial instruments</w:t>
            </w:r>
          </w:p>
        </w:tc>
        <w:tc>
          <w:tcPr>
            <w:tcW w:w="851" w:type="dxa"/>
            <w:shd w:val="clear" w:color="auto" w:fill="auto"/>
            <w:noWrap/>
            <w:vAlign w:val="bottom"/>
          </w:tcPr>
          <w:p w14:paraId="6AAD3C96" w14:textId="77777777" w:rsidR="00782FDC" w:rsidRPr="00B42CF9" w:rsidRDefault="00782FDC" w:rsidP="00782FDC">
            <w:pPr>
              <w:pStyle w:val="TableFigures"/>
            </w:pPr>
          </w:p>
        </w:tc>
        <w:tc>
          <w:tcPr>
            <w:tcW w:w="708" w:type="dxa"/>
            <w:shd w:val="clear" w:color="auto" w:fill="auto"/>
            <w:vAlign w:val="bottom"/>
          </w:tcPr>
          <w:p w14:paraId="12FA38C3" w14:textId="3BB23F61" w:rsidR="00782FDC" w:rsidRPr="008239CB" w:rsidDel="00975AF7" w:rsidRDefault="00782FDC" w:rsidP="00BE37F4">
            <w:pPr>
              <w:pStyle w:val="TableFigures"/>
            </w:pPr>
          </w:p>
        </w:tc>
        <w:tc>
          <w:tcPr>
            <w:tcW w:w="1134" w:type="dxa"/>
            <w:shd w:val="clear" w:color="auto" w:fill="auto"/>
            <w:vAlign w:val="bottom"/>
          </w:tcPr>
          <w:p w14:paraId="24604464" w14:textId="6F33861C" w:rsidR="00782FDC" w:rsidRPr="00B42CF9" w:rsidRDefault="000A02E3" w:rsidP="00DC4F14">
            <w:pPr>
              <w:pStyle w:val="TableFiguresBold0"/>
            </w:pPr>
            <w:r w:rsidRPr="00B42CF9">
              <w:t>14</w:t>
            </w:r>
          </w:p>
        </w:tc>
        <w:tc>
          <w:tcPr>
            <w:tcW w:w="1276" w:type="dxa"/>
            <w:vAlign w:val="bottom"/>
          </w:tcPr>
          <w:p w14:paraId="1C2C88F9" w14:textId="39014CC9" w:rsidR="00782FDC" w:rsidRPr="00B42CF9" w:rsidRDefault="000A02E3" w:rsidP="00DC4F14">
            <w:pPr>
              <w:pStyle w:val="TableFigures"/>
            </w:pPr>
            <w:r w:rsidRPr="00B42CF9">
              <w:t>15</w:t>
            </w:r>
          </w:p>
        </w:tc>
      </w:tr>
      <w:tr w:rsidR="005F6D8A" w:rsidRPr="005F6D8A" w14:paraId="3660D089" w14:textId="77777777" w:rsidTr="002A206B">
        <w:tc>
          <w:tcPr>
            <w:tcW w:w="6379" w:type="dxa"/>
            <w:tcBorders>
              <w:bottom w:val="single" w:sz="4" w:space="0" w:color="808080" w:themeColor="background1" w:themeShade="80"/>
            </w:tcBorders>
            <w:shd w:val="clear" w:color="auto" w:fill="auto"/>
            <w:noWrap/>
            <w:vAlign w:val="bottom"/>
          </w:tcPr>
          <w:p w14:paraId="5F7D2962" w14:textId="77777777" w:rsidR="00782FDC" w:rsidRPr="00B42CF9" w:rsidRDefault="00782FDC" w:rsidP="00782FDC">
            <w:pPr>
              <w:pStyle w:val="Tabletext"/>
              <w:rPr>
                <w:szCs w:val="20"/>
              </w:rPr>
            </w:pPr>
            <w:r w:rsidRPr="00B42CF9">
              <w:rPr>
                <w:szCs w:val="20"/>
              </w:rPr>
              <w:t>Cash and cash equivalents</w:t>
            </w:r>
          </w:p>
        </w:tc>
        <w:tc>
          <w:tcPr>
            <w:tcW w:w="851" w:type="dxa"/>
            <w:tcBorders>
              <w:bottom w:val="single" w:sz="4" w:space="0" w:color="808080" w:themeColor="background1" w:themeShade="80"/>
            </w:tcBorders>
            <w:shd w:val="clear" w:color="auto" w:fill="auto"/>
            <w:noWrap/>
            <w:vAlign w:val="bottom"/>
          </w:tcPr>
          <w:p w14:paraId="5FA98345" w14:textId="77777777" w:rsidR="00782FDC" w:rsidRPr="00B42CF9" w:rsidRDefault="00782FDC" w:rsidP="00782FDC">
            <w:pPr>
              <w:pStyle w:val="TableFigures"/>
            </w:pPr>
          </w:p>
        </w:tc>
        <w:tc>
          <w:tcPr>
            <w:tcW w:w="708" w:type="dxa"/>
            <w:tcBorders>
              <w:bottom w:val="single" w:sz="4" w:space="0" w:color="808080" w:themeColor="background1" w:themeShade="80"/>
            </w:tcBorders>
            <w:shd w:val="clear" w:color="auto" w:fill="auto"/>
            <w:vAlign w:val="bottom"/>
          </w:tcPr>
          <w:p w14:paraId="051DD2C6" w14:textId="40364C4C" w:rsidR="00782FDC" w:rsidRPr="008239CB" w:rsidRDefault="00782FDC" w:rsidP="00BE37F4">
            <w:pPr>
              <w:pStyle w:val="TableFigures"/>
            </w:pPr>
            <w:r w:rsidRPr="008239CB">
              <w:t>13</w:t>
            </w:r>
          </w:p>
        </w:tc>
        <w:tc>
          <w:tcPr>
            <w:tcW w:w="1134" w:type="dxa"/>
            <w:tcBorders>
              <w:bottom w:val="single" w:sz="4" w:space="0" w:color="808080" w:themeColor="background1" w:themeShade="80"/>
            </w:tcBorders>
            <w:shd w:val="clear" w:color="auto" w:fill="auto"/>
            <w:vAlign w:val="bottom"/>
          </w:tcPr>
          <w:p w14:paraId="642BAE33" w14:textId="4C23D04C" w:rsidR="00782FDC" w:rsidRPr="00B42CF9" w:rsidRDefault="000A02E3" w:rsidP="00DC4F14">
            <w:pPr>
              <w:pStyle w:val="TableFiguresBold0"/>
            </w:pPr>
            <w:r w:rsidRPr="00B42CF9">
              <w:t>45</w:t>
            </w:r>
          </w:p>
        </w:tc>
        <w:tc>
          <w:tcPr>
            <w:tcW w:w="1276" w:type="dxa"/>
            <w:tcBorders>
              <w:bottom w:val="single" w:sz="4" w:space="0" w:color="808080" w:themeColor="background1" w:themeShade="80"/>
            </w:tcBorders>
            <w:vAlign w:val="bottom"/>
          </w:tcPr>
          <w:p w14:paraId="7AC6C42C" w14:textId="528A73FD" w:rsidR="00782FDC" w:rsidRPr="00B42CF9" w:rsidRDefault="000A02E3" w:rsidP="00DC4F14">
            <w:pPr>
              <w:pStyle w:val="TableFigures"/>
            </w:pPr>
            <w:r w:rsidRPr="00B42CF9">
              <w:t>89</w:t>
            </w:r>
          </w:p>
        </w:tc>
      </w:tr>
      <w:tr w:rsidR="005F6D8A" w:rsidRPr="005F6D8A" w14:paraId="2137C4CD" w14:textId="77777777" w:rsidTr="002A206B">
        <w:tc>
          <w:tcPr>
            <w:tcW w:w="6379" w:type="dxa"/>
            <w:tcBorders>
              <w:top w:val="single" w:sz="4" w:space="0" w:color="808080" w:themeColor="background1" w:themeShade="80"/>
            </w:tcBorders>
            <w:shd w:val="clear" w:color="auto" w:fill="auto"/>
            <w:noWrap/>
            <w:vAlign w:val="bottom"/>
          </w:tcPr>
          <w:p w14:paraId="3B2CD7AF" w14:textId="77777777" w:rsidR="00782FDC" w:rsidRPr="00B42CF9" w:rsidRDefault="00782FDC" w:rsidP="00782FDC">
            <w:pPr>
              <w:pStyle w:val="Tabletext"/>
              <w:rPr>
                <w:szCs w:val="20"/>
              </w:rPr>
            </w:pPr>
          </w:p>
        </w:tc>
        <w:tc>
          <w:tcPr>
            <w:tcW w:w="851" w:type="dxa"/>
            <w:tcBorders>
              <w:top w:val="single" w:sz="4" w:space="0" w:color="808080" w:themeColor="background1" w:themeShade="80"/>
            </w:tcBorders>
            <w:shd w:val="clear" w:color="auto" w:fill="auto"/>
            <w:noWrap/>
            <w:vAlign w:val="bottom"/>
          </w:tcPr>
          <w:p w14:paraId="425B2C17" w14:textId="77777777" w:rsidR="00782FDC" w:rsidRPr="00B42CF9" w:rsidRDefault="00782FDC" w:rsidP="00782FDC">
            <w:pPr>
              <w:pStyle w:val="TableFigures"/>
            </w:pPr>
          </w:p>
        </w:tc>
        <w:tc>
          <w:tcPr>
            <w:tcW w:w="708" w:type="dxa"/>
            <w:tcBorders>
              <w:top w:val="single" w:sz="4" w:space="0" w:color="808080" w:themeColor="background1" w:themeShade="80"/>
            </w:tcBorders>
            <w:shd w:val="clear" w:color="auto" w:fill="auto"/>
            <w:vAlign w:val="bottom"/>
          </w:tcPr>
          <w:p w14:paraId="3EB74E30" w14:textId="77777777" w:rsidR="00782FDC" w:rsidRPr="008239CB" w:rsidRDefault="00782FDC" w:rsidP="00BE37F4">
            <w:pPr>
              <w:pStyle w:val="TableFigures"/>
            </w:pPr>
          </w:p>
        </w:tc>
        <w:tc>
          <w:tcPr>
            <w:tcW w:w="1134" w:type="dxa"/>
            <w:tcBorders>
              <w:top w:val="single" w:sz="4" w:space="0" w:color="808080" w:themeColor="background1" w:themeShade="80"/>
            </w:tcBorders>
            <w:shd w:val="clear" w:color="auto" w:fill="auto"/>
            <w:noWrap/>
            <w:vAlign w:val="bottom"/>
          </w:tcPr>
          <w:p w14:paraId="193F6D7E" w14:textId="5078F96C" w:rsidR="00782FDC" w:rsidRPr="00B42CF9" w:rsidRDefault="000A02E3" w:rsidP="00DC4F14">
            <w:pPr>
              <w:pStyle w:val="TableFiguresBold0"/>
            </w:pPr>
            <w:r w:rsidRPr="00B42CF9">
              <w:t>351</w:t>
            </w:r>
          </w:p>
        </w:tc>
        <w:tc>
          <w:tcPr>
            <w:tcW w:w="1276" w:type="dxa"/>
            <w:tcBorders>
              <w:top w:val="single" w:sz="4" w:space="0" w:color="808080" w:themeColor="background1" w:themeShade="80"/>
            </w:tcBorders>
            <w:noWrap/>
            <w:vAlign w:val="bottom"/>
          </w:tcPr>
          <w:p w14:paraId="31583D63" w14:textId="7B631A3A" w:rsidR="00782FDC" w:rsidRPr="00B42CF9" w:rsidRDefault="000A02E3" w:rsidP="00DC4F14">
            <w:pPr>
              <w:pStyle w:val="TableFigures"/>
            </w:pPr>
            <w:r w:rsidRPr="00B42CF9">
              <w:t>426</w:t>
            </w:r>
          </w:p>
        </w:tc>
      </w:tr>
      <w:tr w:rsidR="005F6D8A" w:rsidRPr="005F6D8A" w14:paraId="3D68CB87" w14:textId="77777777" w:rsidTr="002A206B">
        <w:tc>
          <w:tcPr>
            <w:tcW w:w="6379" w:type="dxa"/>
            <w:shd w:val="clear" w:color="auto" w:fill="auto"/>
            <w:noWrap/>
            <w:vAlign w:val="bottom"/>
          </w:tcPr>
          <w:p w14:paraId="7385AB09" w14:textId="77777777" w:rsidR="00782FDC" w:rsidRPr="00B42CF9" w:rsidRDefault="00782FDC" w:rsidP="00782FDC">
            <w:pPr>
              <w:pStyle w:val="Tabletext"/>
              <w:rPr>
                <w:szCs w:val="20"/>
              </w:rPr>
            </w:pPr>
          </w:p>
        </w:tc>
        <w:tc>
          <w:tcPr>
            <w:tcW w:w="851" w:type="dxa"/>
            <w:shd w:val="clear" w:color="auto" w:fill="auto"/>
            <w:noWrap/>
            <w:vAlign w:val="bottom"/>
          </w:tcPr>
          <w:p w14:paraId="69FF6BCF" w14:textId="77777777" w:rsidR="00782FDC" w:rsidRPr="00B42CF9" w:rsidRDefault="00782FDC" w:rsidP="00782FDC">
            <w:pPr>
              <w:pStyle w:val="TableFigures"/>
            </w:pPr>
          </w:p>
        </w:tc>
        <w:tc>
          <w:tcPr>
            <w:tcW w:w="708" w:type="dxa"/>
            <w:shd w:val="clear" w:color="auto" w:fill="auto"/>
            <w:vAlign w:val="bottom"/>
          </w:tcPr>
          <w:p w14:paraId="06D7C1A3" w14:textId="77777777" w:rsidR="00782FDC" w:rsidRPr="008239CB" w:rsidRDefault="00782FDC" w:rsidP="00BE37F4">
            <w:pPr>
              <w:pStyle w:val="TableFigures"/>
            </w:pPr>
          </w:p>
        </w:tc>
        <w:tc>
          <w:tcPr>
            <w:tcW w:w="1134" w:type="dxa"/>
            <w:shd w:val="clear" w:color="auto" w:fill="auto"/>
            <w:noWrap/>
            <w:vAlign w:val="bottom"/>
          </w:tcPr>
          <w:p w14:paraId="1E2C5119" w14:textId="77777777" w:rsidR="00782FDC" w:rsidRPr="00B42CF9" w:rsidRDefault="00782FDC" w:rsidP="00DC4F14">
            <w:pPr>
              <w:pStyle w:val="TableFiguresBold0"/>
            </w:pPr>
          </w:p>
        </w:tc>
        <w:tc>
          <w:tcPr>
            <w:tcW w:w="1276" w:type="dxa"/>
            <w:shd w:val="clear" w:color="auto" w:fill="auto"/>
            <w:noWrap/>
            <w:vAlign w:val="bottom"/>
          </w:tcPr>
          <w:p w14:paraId="252FFF7B" w14:textId="77777777" w:rsidR="00782FDC" w:rsidRPr="00B42CF9" w:rsidRDefault="00782FDC" w:rsidP="00DC4F14">
            <w:pPr>
              <w:pStyle w:val="TableFigures"/>
            </w:pPr>
          </w:p>
        </w:tc>
      </w:tr>
      <w:tr w:rsidR="005F6D8A" w:rsidRPr="005F6D8A" w14:paraId="4A0906C9" w14:textId="77777777" w:rsidTr="002A206B">
        <w:tc>
          <w:tcPr>
            <w:tcW w:w="6379" w:type="dxa"/>
            <w:tcBorders>
              <w:bottom w:val="single" w:sz="4" w:space="0" w:color="999999"/>
            </w:tcBorders>
            <w:shd w:val="clear" w:color="auto" w:fill="auto"/>
            <w:noWrap/>
            <w:vAlign w:val="bottom"/>
          </w:tcPr>
          <w:p w14:paraId="7854DC92" w14:textId="77777777" w:rsidR="00782FDC" w:rsidRPr="00B42CF9" w:rsidRDefault="00782FDC" w:rsidP="00782FDC">
            <w:pPr>
              <w:pStyle w:val="TabletextBold"/>
              <w:rPr>
                <w:szCs w:val="20"/>
              </w:rPr>
            </w:pPr>
            <w:r w:rsidRPr="00B42CF9">
              <w:rPr>
                <w:szCs w:val="20"/>
              </w:rPr>
              <w:t>Total assets</w:t>
            </w:r>
          </w:p>
        </w:tc>
        <w:tc>
          <w:tcPr>
            <w:tcW w:w="851" w:type="dxa"/>
            <w:tcBorders>
              <w:bottom w:val="single" w:sz="4" w:space="0" w:color="999999"/>
            </w:tcBorders>
            <w:shd w:val="clear" w:color="auto" w:fill="auto"/>
            <w:noWrap/>
            <w:vAlign w:val="bottom"/>
          </w:tcPr>
          <w:p w14:paraId="6A9EC7C5" w14:textId="77777777" w:rsidR="00782FDC" w:rsidRPr="00B42CF9" w:rsidRDefault="00782FDC" w:rsidP="00782FDC">
            <w:pPr>
              <w:pStyle w:val="TableFigures"/>
            </w:pPr>
          </w:p>
        </w:tc>
        <w:tc>
          <w:tcPr>
            <w:tcW w:w="708" w:type="dxa"/>
            <w:tcBorders>
              <w:bottom w:val="single" w:sz="4" w:space="0" w:color="999999"/>
            </w:tcBorders>
            <w:shd w:val="clear" w:color="auto" w:fill="auto"/>
            <w:vAlign w:val="bottom"/>
          </w:tcPr>
          <w:p w14:paraId="6862BEC9" w14:textId="77777777" w:rsidR="00782FDC" w:rsidRPr="008239CB" w:rsidRDefault="00782FDC" w:rsidP="00BE37F4">
            <w:pPr>
              <w:pStyle w:val="TableFigures"/>
            </w:pPr>
          </w:p>
        </w:tc>
        <w:tc>
          <w:tcPr>
            <w:tcW w:w="1134" w:type="dxa"/>
            <w:tcBorders>
              <w:bottom w:val="single" w:sz="4" w:space="0" w:color="999999"/>
            </w:tcBorders>
            <w:shd w:val="clear" w:color="auto" w:fill="auto"/>
            <w:noWrap/>
            <w:vAlign w:val="bottom"/>
          </w:tcPr>
          <w:p w14:paraId="2F3E0647" w14:textId="6BFB0BFF" w:rsidR="00782FDC" w:rsidRPr="00B42CF9" w:rsidRDefault="000A02E3" w:rsidP="00DC4F14">
            <w:pPr>
              <w:pStyle w:val="TableFiguresBold0"/>
            </w:pPr>
            <w:r w:rsidRPr="00B42CF9">
              <w:t>17,783</w:t>
            </w:r>
          </w:p>
        </w:tc>
        <w:tc>
          <w:tcPr>
            <w:tcW w:w="1276" w:type="dxa"/>
            <w:tcBorders>
              <w:bottom w:val="single" w:sz="4" w:space="0" w:color="999999"/>
            </w:tcBorders>
            <w:shd w:val="clear" w:color="auto" w:fill="auto"/>
            <w:noWrap/>
            <w:vAlign w:val="bottom"/>
          </w:tcPr>
          <w:p w14:paraId="7983A2CA" w14:textId="49810D93" w:rsidR="00782FDC" w:rsidRPr="00B42CF9" w:rsidRDefault="000A02E3" w:rsidP="00DC4F14">
            <w:pPr>
              <w:pStyle w:val="TableFigures"/>
            </w:pPr>
            <w:r w:rsidRPr="00B42CF9">
              <w:t>12,667</w:t>
            </w:r>
          </w:p>
        </w:tc>
      </w:tr>
      <w:tr w:rsidR="005F6D8A" w:rsidRPr="005F6D8A" w14:paraId="1D7A8AD9" w14:textId="77777777" w:rsidTr="002A206B">
        <w:tc>
          <w:tcPr>
            <w:tcW w:w="6379" w:type="dxa"/>
            <w:tcBorders>
              <w:top w:val="single" w:sz="4" w:space="0" w:color="999999"/>
            </w:tcBorders>
            <w:shd w:val="clear" w:color="auto" w:fill="auto"/>
            <w:noWrap/>
            <w:vAlign w:val="bottom"/>
          </w:tcPr>
          <w:p w14:paraId="575619F8" w14:textId="77777777" w:rsidR="00782FDC" w:rsidRPr="00B42CF9" w:rsidRDefault="00782FDC" w:rsidP="00782FDC">
            <w:pPr>
              <w:pStyle w:val="Tabletext"/>
              <w:rPr>
                <w:szCs w:val="20"/>
              </w:rPr>
            </w:pPr>
          </w:p>
        </w:tc>
        <w:tc>
          <w:tcPr>
            <w:tcW w:w="851" w:type="dxa"/>
            <w:tcBorders>
              <w:top w:val="single" w:sz="4" w:space="0" w:color="999999"/>
            </w:tcBorders>
            <w:shd w:val="clear" w:color="auto" w:fill="auto"/>
            <w:noWrap/>
            <w:vAlign w:val="bottom"/>
          </w:tcPr>
          <w:p w14:paraId="1D2F2DD7" w14:textId="77777777" w:rsidR="00782FDC" w:rsidRPr="00B42CF9" w:rsidRDefault="00782FDC" w:rsidP="00782FDC">
            <w:pPr>
              <w:pStyle w:val="TableFigures"/>
            </w:pPr>
          </w:p>
        </w:tc>
        <w:tc>
          <w:tcPr>
            <w:tcW w:w="708" w:type="dxa"/>
            <w:tcBorders>
              <w:top w:val="single" w:sz="4" w:space="0" w:color="999999"/>
            </w:tcBorders>
            <w:shd w:val="clear" w:color="auto" w:fill="auto"/>
            <w:vAlign w:val="bottom"/>
          </w:tcPr>
          <w:p w14:paraId="35FE566A" w14:textId="77777777" w:rsidR="00782FDC" w:rsidRPr="008239CB" w:rsidRDefault="00782FDC" w:rsidP="00BE37F4">
            <w:pPr>
              <w:pStyle w:val="TableFigures"/>
            </w:pPr>
          </w:p>
        </w:tc>
        <w:tc>
          <w:tcPr>
            <w:tcW w:w="1134" w:type="dxa"/>
            <w:tcBorders>
              <w:top w:val="single" w:sz="4" w:space="0" w:color="999999"/>
            </w:tcBorders>
            <w:shd w:val="clear" w:color="auto" w:fill="auto"/>
            <w:noWrap/>
            <w:vAlign w:val="bottom"/>
          </w:tcPr>
          <w:p w14:paraId="7945FB05" w14:textId="77777777" w:rsidR="00782FDC" w:rsidRPr="00B42CF9" w:rsidRDefault="00782FDC" w:rsidP="00DC4F14">
            <w:pPr>
              <w:pStyle w:val="TableFiguresBold0"/>
            </w:pPr>
          </w:p>
        </w:tc>
        <w:tc>
          <w:tcPr>
            <w:tcW w:w="1276" w:type="dxa"/>
            <w:tcBorders>
              <w:top w:val="single" w:sz="4" w:space="0" w:color="999999"/>
            </w:tcBorders>
            <w:shd w:val="clear" w:color="auto" w:fill="auto"/>
            <w:noWrap/>
            <w:vAlign w:val="bottom"/>
          </w:tcPr>
          <w:p w14:paraId="0CBBD8D8" w14:textId="77777777" w:rsidR="00782FDC" w:rsidRPr="00B42CF9" w:rsidRDefault="00782FDC" w:rsidP="00DC4F14">
            <w:pPr>
              <w:pStyle w:val="TableFigures"/>
            </w:pPr>
          </w:p>
        </w:tc>
      </w:tr>
      <w:tr w:rsidR="005F6D8A" w:rsidRPr="005F6D8A" w14:paraId="4CA76C01" w14:textId="77777777" w:rsidTr="002A206B">
        <w:tc>
          <w:tcPr>
            <w:tcW w:w="6379" w:type="dxa"/>
            <w:shd w:val="clear" w:color="auto" w:fill="auto"/>
            <w:noWrap/>
            <w:vAlign w:val="bottom"/>
          </w:tcPr>
          <w:p w14:paraId="012D590A" w14:textId="77777777" w:rsidR="00782FDC" w:rsidRPr="00B42CF9" w:rsidRDefault="00782FDC" w:rsidP="00782FDC">
            <w:pPr>
              <w:pStyle w:val="TabletextBold"/>
              <w:rPr>
                <w:szCs w:val="20"/>
              </w:rPr>
            </w:pPr>
            <w:r w:rsidRPr="00B42CF9">
              <w:rPr>
                <w:szCs w:val="20"/>
              </w:rPr>
              <w:t>Liabilities</w:t>
            </w:r>
          </w:p>
        </w:tc>
        <w:tc>
          <w:tcPr>
            <w:tcW w:w="851" w:type="dxa"/>
            <w:shd w:val="clear" w:color="auto" w:fill="auto"/>
            <w:noWrap/>
            <w:vAlign w:val="bottom"/>
          </w:tcPr>
          <w:p w14:paraId="43BD7C92" w14:textId="77777777" w:rsidR="00782FDC" w:rsidRPr="00B42CF9" w:rsidRDefault="00782FDC" w:rsidP="00782FDC">
            <w:pPr>
              <w:pStyle w:val="TableFigures"/>
            </w:pPr>
          </w:p>
        </w:tc>
        <w:tc>
          <w:tcPr>
            <w:tcW w:w="708" w:type="dxa"/>
            <w:shd w:val="clear" w:color="auto" w:fill="auto"/>
            <w:vAlign w:val="bottom"/>
          </w:tcPr>
          <w:p w14:paraId="5760BFC3" w14:textId="77777777" w:rsidR="00782FDC" w:rsidRPr="008239CB" w:rsidRDefault="00782FDC" w:rsidP="00BE37F4">
            <w:pPr>
              <w:pStyle w:val="TableFigures"/>
            </w:pPr>
          </w:p>
        </w:tc>
        <w:tc>
          <w:tcPr>
            <w:tcW w:w="1134" w:type="dxa"/>
            <w:shd w:val="clear" w:color="auto" w:fill="auto"/>
            <w:noWrap/>
            <w:vAlign w:val="bottom"/>
          </w:tcPr>
          <w:p w14:paraId="35A96F29" w14:textId="77777777" w:rsidR="00782FDC" w:rsidRPr="00B42CF9" w:rsidRDefault="00782FDC" w:rsidP="00DC4F14">
            <w:pPr>
              <w:pStyle w:val="TableFiguresBold0"/>
            </w:pPr>
          </w:p>
        </w:tc>
        <w:tc>
          <w:tcPr>
            <w:tcW w:w="1276" w:type="dxa"/>
            <w:shd w:val="clear" w:color="auto" w:fill="auto"/>
            <w:noWrap/>
            <w:vAlign w:val="bottom"/>
          </w:tcPr>
          <w:p w14:paraId="401A5122" w14:textId="77777777" w:rsidR="00782FDC" w:rsidRPr="00B42CF9" w:rsidRDefault="00782FDC" w:rsidP="00DC4F14">
            <w:pPr>
              <w:pStyle w:val="TableFigures"/>
            </w:pPr>
          </w:p>
        </w:tc>
      </w:tr>
      <w:tr w:rsidR="005F6D8A" w:rsidRPr="005F6D8A" w14:paraId="5CD47E71" w14:textId="77777777" w:rsidTr="002A206B">
        <w:tc>
          <w:tcPr>
            <w:tcW w:w="6379" w:type="dxa"/>
            <w:shd w:val="clear" w:color="auto" w:fill="auto"/>
            <w:noWrap/>
            <w:vAlign w:val="bottom"/>
          </w:tcPr>
          <w:p w14:paraId="4DE7365B" w14:textId="77777777" w:rsidR="00782FDC" w:rsidRPr="00B42CF9" w:rsidRDefault="00782FDC" w:rsidP="00782FDC">
            <w:pPr>
              <w:pStyle w:val="Tabletext"/>
              <w:rPr>
                <w:b/>
                <w:bCs/>
                <w:szCs w:val="20"/>
              </w:rPr>
            </w:pPr>
            <w:r w:rsidRPr="00B42CF9">
              <w:rPr>
                <w:b/>
                <w:bCs/>
                <w:szCs w:val="20"/>
              </w:rPr>
              <w:t>Non-current liabilities</w:t>
            </w:r>
          </w:p>
        </w:tc>
        <w:tc>
          <w:tcPr>
            <w:tcW w:w="851" w:type="dxa"/>
            <w:shd w:val="clear" w:color="auto" w:fill="auto"/>
            <w:noWrap/>
            <w:vAlign w:val="bottom"/>
          </w:tcPr>
          <w:p w14:paraId="3A1D32A7" w14:textId="77777777" w:rsidR="00782FDC" w:rsidRPr="00B42CF9" w:rsidRDefault="00782FDC" w:rsidP="00782FDC">
            <w:pPr>
              <w:pStyle w:val="TableFigures"/>
            </w:pPr>
          </w:p>
        </w:tc>
        <w:tc>
          <w:tcPr>
            <w:tcW w:w="708" w:type="dxa"/>
            <w:shd w:val="clear" w:color="auto" w:fill="auto"/>
            <w:vAlign w:val="bottom"/>
          </w:tcPr>
          <w:p w14:paraId="0D2CF23C" w14:textId="77777777" w:rsidR="00782FDC" w:rsidRPr="008239CB" w:rsidRDefault="00782FDC" w:rsidP="00BE37F4">
            <w:pPr>
              <w:pStyle w:val="TableFigures"/>
            </w:pPr>
          </w:p>
        </w:tc>
        <w:tc>
          <w:tcPr>
            <w:tcW w:w="1134" w:type="dxa"/>
            <w:shd w:val="clear" w:color="auto" w:fill="auto"/>
            <w:noWrap/>
            <w:vAlign w:val="bottom"/>
          </w:tcPr>
          <w:p w14:paraId="105598CE" w14:textId="77777777" w:rsidR="00782FDC" w:rsidRPr="00B42CF9" w:rsidRDefault="00782FDC" w:rsidP="00DC4F14">
            <w:pPr>
              <w:pStyle w:val="TableFiguresBold0"/>
            </w:pPr>
          </w:p>
        </w:tc>
        <w:tc>
          <w:tcPr>
            <w:tcW w:w="1276" w:type="dxa"/>
            <w:shd w:val="clear" w:color="auto" w:fill="auto"/>
            <w:noWrap/>
            <w:vAlign w:val="bottom"/>
          </w:tcPr>
          <w:p w14:paraId="3ED3C25F" w14:textId="77777777" w:rsidR="00782FDC" w:rsidRPr="00B42CF9" w:rsidRDefault="00782FDC" w:rsidP="00DC4F14">
            <w:pPr>
              <w:pStyle w:val="TableFigures"/>
            </w:pPr>
          </w:p>
        </w:tc>
      </w:tr>
      <w:tr w:rsidR="005F6D8A" w:rsidRPr="005F6D8A" w14:paraId="4040DC1F" w14:textId="77777777" w:rsidTr="002A206B">
        <w:tc>
          <w:tcPr>
            <w:tcW w:w="6379" w:type="dxa"/>
            <w:shd w:val="clear" w:color="auto" w:fill="auto"/>
            <w:noWrap/>
            <w:vAlign w:val="bottom"/>
          </w:tcPr>
          <w:p w14:paraId="5F039D46" w14:textId="77777777" w:rsidR="00782FDC" w:rsidRPr="00B42CF9" w:rsidRDefault="00782FDC" w:rsidP="00782FDC">
            <w:pPr>
              <w:pStyle w:val="Tabletext"/>
              <w:rPr>
                <w:szCs w:val="20"/>
              </w:rPr>
            </w:pPr>
            <w:r w:rsidRPr="00B42CF9">
              <w:rPr>
                <w:szCs w:val="20"/>
              </w:rPr>
              <w:t>Borrowings</w:t>
            </w:r>
          </w:p>
        </w:tc>
        <w:tc>
          <w:tcPr>
            <w:tcW w:w="851" w:type="dxa"/>
            <w:shd w:val="clear" w:color="auto" w:fill="auto"/>
            <w:noWrap/>
            <w:vAlign w:val="bottom"/>
          </w:tcPr>
          <w:p w14:paraId="28B579AC" w14:textId="77777777" w:rsidR="00782FDC" w:rsidRPr="00B42CF9" w:rsidRDefault="00782FDC" w:rsidP="00782FDC">
            <w:pPr>
              <w:pStyle w:val="TableFigures"/>
            </w:pPr>
          </w:p>
        </w:tc>
        <w:tc>
          <w:tcPr>
            <w:tcW w:w="708" w:type="dxa"/>
            <w:shd w:val="clear" w:color="auto" w:fill="auto"/>
            <w:vAlign w:val="bottom"/>
          </w:tcPr>
          <w:p w14:paraId="55097CE5" w14:textId="7E19D433" w:rsidR="00782FDC" w:rsidRPr="008239CB" w:rsidRDefault="00782FDC" w:rsidP="00BE37F4">
            <w:pPr>
              <w:pStyle w:val="TableFigures"/>
            </w:pPr>
            <w:r w:rsidRPr="008239CB">
              <w:t>13</w:t>
            </w:r>
          </w:p>
        </w:tc>
        <w:tc>
          <w:tcPr>
            <w:tcW w:w="1134" w:type="dxa"/>
            <w:shd w:val="clear" w:color="auto" w:fill="auto"/>
            <w:vAlign w:val="bottom"/>
          </w:tcPr>
          <w:p w14:paraId="68094CFB" w14:textId="6217651E" w:rsidR="00782FDC" w:rsidRPr="00B42CF9" w:rsidRDefault="000A02E3" w:rsidP="00DC4F14">
            <w:pPr>
              <w:pStyle w:val="TableFiguresBold0"/>
            </w:pPr>
            <w:r w:rsidRPr="00B42CF9">
              <w:t>3,406</w:t>
            </w:r>
          </w:p>
        </w:tc>
        <w:tc>
          <w:tcPr>
            <w:tcW w:w="1276" w:type="dxa"/>
            <w:vAlign w:val="bottom"/>
          </w:tcPr>
          <w:p w14:paraId="47DB39AF" w14:textId="7E5C735C" w:rsidR="00782FDC" w:rsidRPr="00B42CF9" w:rsidRDefault="000A02E3" w:rsidP="00DC4F14">
            <w:pPr>
              <w:pStyle w:val="TableFigures"/>
            </w:pPr>
            <w:r w:rsidRPr="00B42CF9">
              <w:t>2,413</w:t>
            </w:r>
          </w:p>
        </w:tc>
      </w:tr>
      <w:tr w:rsidR="005F6D8A" w:rsidRPr="005F6D8A" w14:paraId="206B4BAF" w14:textId="77777777" w:rsidTr="002A206B">
        <w:tc>
          <w:tcPr>
            <w:tcW w:w="6379" w:type="dxa"/>
            <w:shd w:val="clear" w:color="auto" w:fill="auto"/>
            <w:noWrap/>
            <w:vAlign w:val="bottom"/>
          </w:tcPr>
          <w:p w14:paraId="13495A2C" w14:textId="3C6E541A" w:rsidR="00782FDC" w:rsidRPr="00B42CF9" w:rsidRDefault="00782FDC" w:rsidP="00782FDC">
            <w:pPr>
              <w:pStyle w:val="Tabletext"/>
              <w:rPr>
                <w:szCs w:val="20"/>
              </w:rPr>
            </w:pPr>
            <w:r w:rsidRPr="00B42CF9">
              <w:rPr>
                <w:szCs w:val="20"/>
              </w:rPr>
              <w:t>Deferred tax liabilities</w:t>
            </w:r>
          </w:p>
        </w:tc>
        <w:tc>
          <w:tcPr>
            <w:tcW w:w="851" w:type="dxa"/>
            <w:shd w:val="clear" w:color="auto" w:fill="auto"/>
            <w:noWrap/>
            <w:vAlign w:val="bottom"/>
          </w:tcPr>
          <w:p w14:paraId="0014F359" w14:textId="77777777" w:rsidR="00782FDC" w:rsidRPr="00B42CF9" w:rsidRDefault="00782FDC" w:rsidP="00782FDC">
            <w:pPr>
              <w:pStyle w:val="TableFigures"/>
            </w:pPr>
          </w:p>
        </w:tc>
        <w:tc>
          <w:tcPr>
            <w:tcW w:w="708" w:type="dxa"/>
            <w:shd w:val="clear" w:color="auto" w:fill="auto"/>
            <w:vAlign w:val="bottom"/>
          </w:tcPr>
          <w:p w14:paraId="3EC85B00" w14:textId="3FEEAB81" w:rsidR="00782FDC" w:rsidRPr="008239CB" w:rsidRDefault="00782FDC" w:rsidP="00BE37F4">
            <w:pPr>
              <w:pStyle w:val="TableFigures"/>
            </w:pPr>
            <w:r w:rsidRPr="008239CB">
              <w:t>9</w:t>
            </w:r>
          </w:p>
        </w:tc>
        <w:tc>
          <w:tcPr>
            <w:tcW w:w="1134" w:type="dxa"/>
            <w:shd w:val="clear" w:color="auto" w:fill="auto"/>
            <w:vAlign w:val="bottom"/>
          </w:tcPr>
          <w:p w14:paraId="2757D549" w14:textId="6367A460" w:rsidR="00782FDC" w:rsidRPr="00B42CF9" w:rsidRDefault="000A02E3" w:rsidP="00DC4F14">
            <w:pPr>
              <w:pStyle w:val="TableFiguresBold0"/>
            </w:pPr>
            <w:r w:rsidRPr="00B42CF9">
              <w:t>274</w:t>
            </w:r>
          </w:p>
        </w:tc>
        <w:tc>
          <w:tcPr>
            <w:tcW w:w="1276" w:type="dxa"/>
            <w:vAlign w:val="bottom"/>
          </w:tcPr>
          <w:p w14:paraId="6F9E212A" w14:textId="658EF3BC" w:rsidR="00782FDC" w:rsidRPr="00B42CF9" w:rsidRDefault="000A02E3" w:rsidP="00DC4F14">
            <w:pPr>
              <w:pStyle w:val="TableFigures"/>
            </w:pPr>
            <w:r w:rsidRPr="00B42CF9">
              <w:t>87</w:t>
            </w:r>
          </w:p>
        </w:tc>
      </w:tr>
      <w:tr w:rsidR="005F6D8A" w:rsidRPr="005F6D8A" w14:paraId="6BC3C839" w14:textId="77777777" w:rsidTr="002A206B">
        <w:tc>
          <w:tcPr>
            <w:tcW w:w="6379" w:type="dxa"/>
            <w:shd w:val="clear" w:color="auto" w:fill="auto"/>
            <w:noWrap/>
            <w:vAlign w:val="bottom"/>
          </w:tcPr>
          <w:p w14:paraId="4F434321" w14:textId="77777777" w:rsidR="00782FDC" w:rsidRPr="00B42CF9" w:rsidRDefault="00782FDC" w:rsidP="00782FDC">
            <w:pPr>
              <w:pStyle w:val="Tabletext"/>
              <w:rPr>
                <w:szCs w:val="20"/>
              </w:rPr>
            </w:pPr>
            <w:r w:rsidRPr="00B42CF9">
              <w:rPr>
                <w:szCs w:val="20"/>
              </w:rPr>
              <w:t>Trade and other payables</w:t>
            </w:r>
          </w:p>
        </w:tc>
        <w:tc>
          <w:tcPr>
            <w:tcW w:w="851" w:type="dxa"/>
            <w:shd w:val="clear" w:color="auto" w:fill="auto"/>
            <w:noWrap/>
            <w:vAlign w:val="bottom"/>
          </w:tcPr>
          <w:p w14:paraId="6273188F" w14:textId="77777777" w:rsidR="00782FDC" w:rsidRPr="00B42CF9" w:rsidRDefault="00782FDC" w:rsidP="00782FDC">
            <w:pPr>
              <w:pStyle w:val="TableFigures"/>
            </w:pPr>
          </w:p>
        </w:tc>
        <w:tc>
          <w:tcPr>
            <w:tcW w:w="708" w:type="dxa"/>
            <w:shd w:val="clear" w:color="auto" w:fill="auto"/>
            <w:vAlign w:val="bottom"/>
          </w:tcPr>
          <w:p w14:paraId="74822267" w14:textId="42363AD2" w:rsidR="00782FDC" w:rsidRPr="008239CB" w:rsidRDefault="00782FDC" w:rsidP="00BE37F4">
            <w:pPr>
              <w:pStyle w:val="TableFigures"/>
            </w:pPr>
          </w:p>
        </w:tc>
        <w:tc>
          <w:tcPr>
            <w:tcW w:w="1134" w:type="dxa"/>
            <w:shd w:val="clear" w:color="auto" w:fill="auto"/>
            <w:vAlign w:val="bottom"/>
          </w:tcPr>
          <w:p w14:paraId="3F6EBE4E" w14:textId="69072C2C" w:rsidR="00782FDC" w:rsidRPr="00B42CF9" w:rsidRDefault="000A02E3" w:rsidP="00DC4F14">
            <w:pPr>
              <w:pStyle w:val="TableFiguresBold0"/>
            </w:pPr>
            <w:r w:rsidRPr="00B42CF9">
              <w:t>75</w:t>
            </w:r>
          </w:p>
        </w:tc>
        <w:tc>
          <w:tcPr>
            <w:tcW w:w="1276" w:type="dxa"/>
            <w:vAlign w:val="bottom"/>
          </w:tcPr>
          <w:p w14:paraId="16879DF7" w14:textId="55B617AC" w:rsidR="00782FDC" w:rsidRPr="00B42CF9" w:rsidRDefault="000A02E3" w:rsidP="00DC4F14">
            <w:pPr>
              <w:pStyle w:val="TableFigures"/>
            </w:pPr>
            <w:r w:rsidRPr="00B42CF9">
              <w:t>110</w:t>
            </w:r>
          </w:p>
        </w:tc>
      </w:tr>
      <w:tr w:rsidR="000A02E3" w:rsidRPr="005F6D8A" w14:paraId="5972802D" w14:textId="77777777" w:rsidTr="002A206B">
        <w:tc>
          <w:tcPr>
            <w:tcW w:w="6379" w:type="dxa"/>
            <w:shd w:val="clear" w:color="auto" w:fill="auto"/>
            <w:noWrap/>
            <w:vAlign w:val="bottom"/>
          </w:tcPr>
          <w:p w14:paraId="620F0BB7" w14:textId="2CD7C229" w:rsidR="000A02E3" w:rsidRPr="00B42CF9" w:rsidRDefault="000A02E3" w:rsidP="00782FDC">
            <w:pPr>
              <w:pStyle w:val="Tabletext"/>
              <w:rPr>
                <w:szCs w:val="20"/>
              </w:rPr>
            </w:pPr>
            <w:r w:rsidRPr="00B42CF9">
              <w:rPr>
                <w:szCs w:val="20"/>
              </w:rPr>
              <w:t>Derivative financial instruments</w:t>
            </w:r>
          </w:p>
        </w:tc>
        <w:tc>
          <w:tcPr>
            <w:tcW w:w="851" w:type="dxa"/>
            <w:shd w:val="clear" w:color="auto" w:fill="auto"/>
            <w:noWrap/>
            <w:vAlign w:val="bottom"/>
          </w:tcPr>
          <w:p w14:paraId="76415ABF" w14:textId="77777777" w:rsidR="000A02E3" w:rsidRPr="00B42CF9" w:rsidRDefault="000A02E3" w:rsidP="00782FDC">
            <w:pPr>
              <w:pStyle w:val="TableFigures"/>
            </w:pPr>
          </w:p>
        </w:tc>
        <w:tc>
          <w:tcPr>
            <w:tcW w:w="708" w:type="dxa"/>
            <w:shd w:val="clear" w:color="auto" w:fill="auto"/>
            <w:vAlign w:val="bottom"/>
          </w:tcPr>
          <w:p w14:paraId="44434779" w14:textId="77777777" w:rsidR="000A02E3" w:rsidRPr="008239CB" w:rsidRDefault="000A02E3" w:rsidP="00BE37F4">
            <w:pPr>
              <w:pStyle w:val="TableFigures"/>
            </w:pPr>
          </w:p>
        </w:tc>
        <w:tc>
          <w:tcPr>
            <w:tcW w:w="1134" w:type="dxa"/>
            <w:shd w:val="clear" w:color="auto" w:fill="auto"/>
            <w:vAlign w:val="bottom"/>
          </w:tcPr>
          <w:p w14:paraId="6419D0FC" w14:textId="7C14C7A0" w:rsidR="000A02E3" w:rsidRPr="00B42CF9" w:rsidRDefault="000A02E3" w:rsidP="00DC4F14">
            <w:pPr>
              <w:pStyle w:val="TableFiguresBold0"/>
            </w:pPr>
            <w:r w:rsidRPr="00B42CF9">
              <w:t>56</w:t>
            </w:r>
          </w:p>
        </w:tc>
        <w:tc>
          <w:tcPr>
            <w:tcW w:w="1276" w:type="dxa"/>
            <w:vAlign w:val="bottom"/>
          </w:tcPr>
          <w:p w14:paraId="4D734031" w14:textId="443B4E9E" w:rsidR="000A02E3" w:rsidRPr="00B42CF9" w:rsidRDefault="000A02E3" w:rsidP="00DC4F14">
            <w:pPr>
              <w:pStyle w:val="TableFigures"/>
            </w:pPr>
            <w:r w:rsidRPr="00B42CF9">
              <w:t>5</w:t>
            </w:r>
          </w:p>
        </w:tc>
      </w:tr>
      <w:tr w:rsidR="005F6D8A" w:rsidRPr="005F6D8A" w14:paraId="4DF20551" w14:textId="77777777" w:rsidTr="002A206B">
        <w:tc>
          <w:tcPr>
            <w:tcW w:w="6379" w:type="dxa"/>
            <w:tcBorders>
              <w:bottom w:val="single" w:sz="4" w:space="0" w:color="808080" w:themeColor="background1" w:themeShade="80"/>
            </w:tcBorders>
            <w:shd w:val="clear" w:color="auto" w:fill="auto"/>
            <w:noWrap/>
            <w:vAlign w:val="bottom"/>
          </w:tcPr>
          <w:p w14:paraId="50E51516" w14:textId="69DA799E" w:rsidR="00782FDC" w:rsidRPr="00B42CF9" w:rsidRDefault="000A02E3" w:rsidP="00782FDC">
            <w:pPr>
              <w:pStyle w:val="Tabletext"/>
              <w:rPr>
                <w:szCs w:val="20"/>
              </w:rPr>
            </w:pPr>
            <w:r w:rsidRPr="00B42CF9">
              <w:rPr>
                <w:szCs w:val="20"/>
              </w:rPr>
              <w:t>Tax liabilities</w:t>
            </w:r>
          </w:p>
        </w:tc>
        <w:tc>
          <w:tcPr>
            <w:tcW w:w="851" w:type="dxa"/>
            <w:tcBorders>
              <w:bottom w:val="single" w:sz="4" w:space="0" w:color="808080" w:themeColor="background1" w:themeShade="80"/>
            </w:tcBorders>
            <w:shd w:val="clear" w:color="auto" w:fill="auto"/>
            <w:noWrap/>
            <w:vAlign w:val="bottom"/>
          </w:tcPr>
          <w:p w14:paraId="7F66D9DC" w14:textId="77777777" w:rsidR="00782FDC" w:rsidRPr="00B42CF9" w:rsidRDefault="00782FDC" w:rsidP="00782FDC">
            <w:pPr>
              <w:pStyle w:val="TableFigures"/>
            </w:pPr>
          </w:p>
        </w:tc>
        <w:tc>
          <w:tcPr>
            <w:tcW w:w="708" w:type="dxa"/>
            <w:tcBorders>
              <w:bottom w:val="single" w:sz="4" w:space="0" w:color="808080" w:themeColor="background1" w:themeShade="80"/>
            </w:tcBorders>
            <w:shd w:val="clear" w:color="auto" w:fill="auto"/>
            <w:vAlign w:val="bottom"/>
          </w:tcPr>
          <w:p w14:paraId="27C0CA34" w14:textId="357B64A7" w:rsidR="00782FDC" w:rsidRPr="008239CB" w:rsidDel="00975AF7" w:rsidRDefault="00782FDC" w:rsidP="00BE37F4">
            <w:pPr>
              <w:pStyle w:val="TableFigures"/>
            </w:pPr>
          </w:p>
        </w:tc>
        <w:tc>
          <w:tcPr>
            <w:tcW w:w="1134" w:type="dxa"/>
            <w:tcBorders>
              <w:bottom w:val="single" w:sz="4" w:space="0" w:color="808080" w:themeColor="background1" w:themeShade="80"/>
            </w:tcBorders>
            <w:shd w:val="clear" w:color="auto" w:fill="auto"/>
            <w:vAlign w:val="bottom"/>
          </w:tcPr>
          <w:p w14:paraId="2A19FB58" w14:textId="331A92A7" w:rsidR="00782FDC" w:rsidRPr="00B42CF9" w:rsidRDefault="000A02E3" w:rsidP="00DC4F14">
            <w:pPr>
              <w:pStyle w:val="TableFiguresBold0"/>
            </w:pPr>
            <w:r w:rsidRPr="00B42CF9">
              <w:t>19</w:t>
            </w:r>
          </w:p>
        </w:tc>
        <w:tc>
          <w:tcPr>
            <w:tcW w:w="1276" w:type="dxa"/>
            <w:tcBorders>
              <w:bottom w:val="single" w:sz="4" w:space="0" w:color="808080" w:themeColor="background1" w:themeShade="80"/>
            </w:tcBorders>
            <w:vAlign w:val="bottom"/>
          </w:tcPr>
          <w:p w14:paraId="41CC1943" w14:textId="3FD550E9" w:rsidR="00782FDC" w:rsidRPr="00B42CF9" w:rsidRDefault="000A02E3" w:rsidP="00DC4F14">
            <w:pPr>
              <w:pStyle w:val="TableFigures"/>
            </w:pPr>
            <w:r w:rsidRPr="00B42CF9">
              <w:t>–</w:t>
            </w:r>
          </w:p>
        </w:tc>
      </w:tr>
      <w:tr w:rsidR="005F6D8A" w:rsidRPr="005F6D8A" w14:paraId="62F156C2" w14:textId="77777777" w:rsidTr="002A206B">
        <w:tc>
          <w:tcPr>
            <w:tcW w:w="6379" w:type="dxa"/>
            <w:tcBorders>
              <w:top w:val="single" w:sz="4" w:space="0" w:color="808080" w:themeColor="background1" w:themeShade="80"/>
            </w:tcBorders>
            <w:shd w:val="clear" w:color="auto" w:fill="auto"/>
            <w:noWrap/>
            <w:vAlign w:val="bottom"/>
          </w:tcPr>
          <w:p w14:paraId="58C2D66E" w14:textId="77777777" w:rsidR="00782FDC" w:rsidRPr="00B42CF9" w:rsidRDefault="00782FDC" w:rsidP="00782FDC">
            <w:pPr>
              <w:pStyle w:val="Tabletext"/>
              <w:rPr>
                <w:szCs w:val="20"/>
              </w:rPr>
            </w:pPr>
          </w:p>
        </w:tc>
        <w:tc>
          <w:tcPr>
            <w:tcW w:w="851" w:type="dxa"/>
            <w:tcBorders>
              <w:top w:val="single" w:sz="4" w:space="0" w:color="808080" w:themeColor="background1" w:themeShade="80"/>
            </w:tcBorders>
            <w:shd w:val="clear" w:color="auto" w:fill="auto"/>
            <w:noWrap/>
            <w:vAlign w:val="bottom"/>
          </w:tcPr>
          <w:p w14:paraId="45A92A47" w14:textId="77777777" w:rsidR="00782FDC" w:rsidRPr="00B42CF9" w:rsidRDefault="00782FDC" w:rsidP="00782FDC">
            <w:pPr>
              <w:pStyle w:val="TableFigures"/>
            </w:pPr>
          </w:p>
        </w:tc>
        <w:tc>
          <w:tcPr>
            <w:tcW w:w="708" w:type="dxa"/>
            <w:tcBorders>
              <w:top w:val="single" w:sz="4" w:space="0" w:color="808080" w:themeColor="background1" w:themeShade="80"/>
            </w:tcBorders>
            <w:shd w:val="clear" w:color="auto" w:fill="auto"/>
            <w:vAlign w:val="bottom"/>
          </w:tcPr>
          <w:p w14:paraId="05C7CA5A" w14:textId="77777777" w:rsidR="00782FDC" w:rsidRPr="008239CB" w:rsidRDefault="00782FDC" w:rsidP="00BE37F4">
            <w:pPr>
              <w:pStyle w:val="TableFigures"/>
            </w:pPr>
          </w:p>
        </w:tc>
        <w:tc>
          <w:tcPr>
            <w:tcW w:w="1134" w:type="dxa"/>
            <w:tcBorders>
              <w:top w:val="single" w:sz="4" w:space="0" w:color="808080" w:themeColor="background1" w:themeShade="80"/>
            </w:tcBorders>
            <w:shd w:val="clear" w:color="auto" w:fill="auto"/>
            <w:noWrap/>
            <w:vAlign w:val="bottom"/>
          </w:tcPr>
          <w:p w14:paraId="5CAA8907" w14:textId="0E6B3193" w:rsidR="00782FDC" w:rsidRPr="00B42CF9" w:rsidRDefault="000A02E3" w:rsidP="00DC4F14">
            <w:pPr>
              <w:pStyle w:val="TableFiguresBold0"/>
            </w:pPr>
            <w:r w:rsidRPr="00B42CF9">
              <w:t>3,830</w:t>
            </w:r>
          </w:p>
        </w:tc>
        <w:tc>
          <w:tcPr>
            <w:tcW w:w="1276" w:type="dxa"/>
            <w:tcBorders>
              <w:top w:val="single" w:sz="4" w:space="0" w:color="808080" w:themeColor="background1" w:themeShade="80"/>
            </w:tcBorders>
            <w:shd w:val="clear" w:color="auto" w:fill="auto"/>
            <w:noWrap/>
            <w:vAlign w:val="bottom"/>
          </w:tcPr>
          <w:p w14:paraId="1557C370" w14:textId="0A155C14" w:rsidR="00782FDC" w:rsidRPr="00B42CF9" w:rsidRDefault="000A02E3" w:rsidP="00DC4F14">
            <w:pPr>
              <w:pStyle w:val="TableFigures"/>
            </w:pPr>
            <w:r w:rsidRPr="00B42CF9">
              <w:t>2,615</w:t>
            </w:r>
          </w:p>
        </w:tc>
      </w:tr>
      <w:tr w:rsidR="005F6D8A" w:rsidRPr="005F6D8A" w14:paraId="29AF2EA2" w14:textId="77777777" w:rsidTr="002A206B">
        <w:tc>
          <w:tcPr>
            <w:tcW w:w="6379" w:type="dxa"/>
            <w:shd w:val="clear" w:color="auto" w:fill="auto"/>
            <w:noWrap/>
            <w:vAlign w:val="bottom"/>
          </w:tcPr>
          <w:p w14:paraId="5F9A3DB8" w14:textId="77777777" w:rsidR="00782FDC" w:rsidRPr="005F6D8A" w:rsidRDefault="00782FDC" w:rsidP="00782FDC">
            <w:pPr>
              <w:pStyle w:val="TabletextBold"/>
              <w:rPr>
                <w:color w:val="FF0000"/>
                <w:szCs w:val="20"/>
              </w:rPr>
            </w:pPr>
            <w:r w:rsidRPr="00B42CF9">
              <w:rPr>
                <w:szCs w:val="20"/>
              </w:rPr>
              <w:t>Current liabilities</w:t>
            </w:r>
          </w:p>
        </w:tc>
        <w:tc>
          <w:tcPr>
            <w:tcW w:w="851" w:type="dxa"/>
            <w:shd w:val="clear" w:color="auto" w:fill="auto"/>
            <w:noWrap/>
            <w:vAlign w:val="bottom"/>
          </w:tcPr>
          <w:p w14:paraId="3B3EB59A" w14:textId="77777777" w:rsidR="00782FDC" w:rsidRPr="005F6D8A" w:rsidRDefault="00782FDC" w:rsidP="00782FDC">
            <w:pPr>
              <w:pStyle w:val="TableFigures"/>
              <w:rPr>
                <w:color w:val="FF0000"/>
              </w:rPr>
            </w:pPr>
          </w:p>
        </w:tc>
        <w:tc>
          <w:tcPr>
            <w:tcW w:w="708" w:type="dxa"/>
            <w:shd w:val="clear" w:color="auto" w:fill="auto"/>
            <w:vAlign w:val="bottom"/>
          </w:tcPr>
          <w:p w14:paraId="6FC9B527" w14:textId="77777777" w:rsidR="00782FDC" w:rsidRPr="008239CB" w:rsidRDefault="00782FDC" w:rsidP="00BE37F4">
            <w:pPr>
              <w:pStyle w:val="TableFigures"/>
            </w:pPr>
          </w:p>
        </w:tc>
        <w:tc>
          <w:tcPr>
            <w:tcW w:w="1134" w:type="dxa"/>
            <w:shd w:val="clear" w:color="auto" w:fill="auto"/>
            <w:noWrap/>
            <w:vAlign w:val="bottom"/>
          </w:tcPr>
          <w:p w14:paraId="28377BB3" w14:textId="77777777" w:rsidR="00782FDC" w:rsidRPr="005F6D8A" w:rsidRDefault="00782FDC" w:rsidP="00DC4F14">
            <w:pPr>
              <w:pStyle w:val="TableFiguresBold0"/>
              <w:rPr>
                <w:color w:val="FF0000"/>
              </w:rPr>
            </w:pPr>
          </w:p>
        </w:tc>
        <w:tc>
          <w:tcPr>
            <w:tcW w:w="1276" w:type="dxa"/>
            <w:shd w:val="clear" w:color="auto" w:fill="auto"/>
            <w:noWrap/>
            <w:vAlign w:val="bottom"/>
          </w:tcPr>
          <w:p w14:paraId="73915678" w14:textId="77777777" w:rsidR="00782FDC" w:rsidRPr="005F6D8A" w:rsidRDefault="00782FDC" w:rsidP="00DC4F14">
            <w:pPr>
              <w:pStyle w:val="TableFigures"/>
              <w:rPr>
                <w:color w:val="FF0000"/>
              </w:rPr>
            </w:pPr>
          </w:p>
        </w:tc>
      </w:tr>
      <w:tr w:rsidR="005F6D8A" w:rsidRPr="005F6D8A" w14:paraId="219A1BF8" w14:textId="77777777" w:rsidTr="002A206B">
        <w:tc>
          <w:tcPr>
            <w:tcW w:w="6379" w:type="dxa"/>
            <w:shd w:val="clear" w:color="auto" w:fill="auto"/>
            <w:noWrap/>
            <w:vAlign w:val="bottom"/>
          </w:tcPr>
          <w:p w14:paraId="409CCC33" w14:textId="77777777" w:rsidR="00782FDC" w:rsidRPr="00B42CF9" w:rsidRDefault="00782FDC" w:rsidP="00782FDC">
            <w:pPr>
              <w:pStyle w:val="Tabletext"/>
            </w:pPr>
            <w:r w:rsidRPr="00B42CF9">
              <w:t>Trade and other payables</w:t>
            </w:r>
          </w:p>
        </w:tc>
        <w:tc>
          <w:tcPr>
            <w:tcW w:w="851" w:type="dxa"/>
            <w:shd w:val="clear" w:color="auto" w:fill="auto"/>
            <w:noWrap/>
            <w:vAlign w:val="bottom"/>
          </w:tcPr>
          <w:p w14:paraId="5A52A814" w14:textId="77777777" w:rsidR="00782FDC" w:rsidRPr="00B42CF9" w:rsidRDefault="00782FDC" w:rsidP="00782FDC">
            <w:pPr>
              <w:pStyle w:val="TableFigures"/>
            </w:pPr>
          </w:p>
        </w:tc>
        <w:tc>
          <w:tcPr>
            <w:tcW w:w="708" w:type="dxa"/>
            <w:shd w:val="clear" w:color="auto" w:fill="auto"/>
            <w:vAlign w:val="bottom"/>
          </w:tcPr>
          <w:p w14:paraId="3006E228" w14:textId="4A2E6D05" w:rsidR="00782FDC" w:rsidRPr="008239CB" w:rsidRDefault="00782FDC" w:rsidP="00BE37F4">
            <w:pPr>
              <w:pStyle w:val="TableFigures"/>
              <w:rPr>
                <w:szCs w:val="20"/>
              </w:rPr>
            </w:pPr>
          </w:p>
        </w:tc>
        <w:tc>
          <w:tcPr>
            <w:tcW w:w="1134" w:type="dxa"/>
            <w:shd w:val="clear" w:color="auto" w:fill="auto"/>
            <w:vAlign w:val="bottom"/>
          </w:tcPr>
          <w:p w14:paraId="131ED8AC" w14:textId="4E6FA622" w:rsidR="00782FDC" w:rsidRPr="00B42CF9" w:rsidRDefault="00B42CF9" w:rsidP="00DC4F14">
            <w:pPr>
              <w:pStyle w:val="TableFiguresBold0"/>
            </w:pPr>
            <w:r w:rsidRPr="00B42CF9">
              <w:t>463</w:t>
            </w:r>
          </w:p>
        </w:tc>
        <w:tc>
          <w:tcPr>
            <w:tcW w:w="1276" w:type="dxa"/>
            <w:vAlign w:val="bottom"/>
          </w:tcPr>
          <w:p w14:paraId="216B048B" w14:textId="3CA2F7C9" w:rsidR="00782FDC" w:rsidRPr="00B42CF9" w:rsidRDefault="00B42CF9" w:rsidP="00DC4F14">
            <w:pPr>
              <w:pStyle w:val="TableFigures"/>
            </w:pPr>
            <w:r w:rsidRPr="00B42CF9">
              <w:t>372</w:t>
            </w:r>
          </w:p>
        </w:tc>
      </w:tr>
      <w:tr w:rsidR="005F6D8A" w:rsidRPr="005F6D8A" w14:paraId="4275526F" w14:textId="77777777" w:rsidTr="002A206B">
        <w:tc>
          <w:tcPr>
            <w:tcW w:w="6379" w:type="dxa"/>
            <w:shd w:val="clear" w:color="auto" w:fill="auto"/>
            <w:noWrap/>
            <w:vAlign w:val="bottom"/>
          </w:tcPr>
          <w:p w14:paraId="5187E769" w14:textId="435C4970" w:rsidR="00782FDC" w:rsidRPr="00B42CF9" w:rsidRDefault="00782FDC" w:rsidP="00782FDC">
            <w:pPr>
              <w:pStyle w:val="Tabletext"/>
            </w:pPr>
            <w:r w:rsidRPr="00B42CF9">
              <w:t>Borrowings</w:t>
            </w:r>
          </w:p>
        </w:tc>
        <w:tc>
          <w:tcPr>
            <w:tcW w:w="851" w:type="dxa"/>
            <w:shd w:val="clear" w:color="auto" w:fill="auto"/>
            <w:noWrap/>
            <w:vAlign w:val="bottom"/>
          </w:tcPr>
          <w:p w14:paraId="65C58EFE" w14:textId="77777777" w:rsidR="00782FDC" w:rsidRPr="00B42CF9" w:rsidRDefault="00782FDC" w:rsidP="00782FDC">
            <w:pPr>
              <w:pStyle w:val="TableFigures"/>
            </w:pPr>
          </w:p>
        </w:tc>
        <w:tc>
          <w:tcPr>
            <w:tcW w:w="708" w:type="dxa"/>
            <w:shd w:val="clear" w:color="auto" w:fill="auto"/>
            <w:vAlign w:val="bottom"/>
          </w:tcPr>
          <w:p w14:paraId="670B9D08" w14:textId="0F546399" w:rsidR="00782FDC" w:rsidRPr="008239CB" w:rsidRDefault="00D964CC" w:rsidP="00BE37F4">
            <w:pPr>
              <w:pStyle w:val="TableFigures"/>
            </w:pPr>
            <w:r w:rsidRPr="008239CB">
              <w:t>13</w:t>
            </w:r>
          </w:p>
        </w:tc>
        <w:tc>
          <w:tcPr>
            <w:tcW w:w="1134" w:type="dxa"/>
            <w:shd w:val="clear" w:color="auto" w:fill="auto"/>
            <w:vAlign w:val="bottom"/>
          </w:tcPr>
          <w:p w14:paraId="4394384A" w14:textId="109268F7" w:rsidR="00782FDC" w:rsidRPr="00B42CF9" w:rsidRDefault="00B42CF9" w:rsidP="00DC4F14">
            <w:pPr>
              <w:pStyle w:val="TableFiguresBold0"/>
            </w:pPr>
            <w:r w:rsidRPr="00B42CF9">
              <w:t>–</w:t>
            </w:r>
          </w:p>
        </w:tc>
        <w:tc>
          <w:tcPr>
            <w:tcW w:w="1276" w:type="dxa"/>
            <w:vAlign w:val="bottom"/>
          </w:tcPr>
          <w:p w14:paraId="28403671" w14:textId="12C71ADD" w:rsidR="00782FDC" w:rsidRPr="00B42CF9" w:rsidRDefault="00B42CF9" w:rsidP="00DC4F14">
            <w:pPr>
              <w:pStyle w:val="TableFigures"/>
            </w:pPr>
            <w:r w:rsidRPr="00B42CF9">
              <w:t>1</w:t>
            </w:r>
          </w:p>
        </w:tc>
      </w:tr>
      <w:tr w:rsidR="005F6D8A" w:rsidRPr="005F6D8A" w14:paraId="30907584" w14:textId="77777777" w:rsidTr="002A206B">
        <w:tc>
          <w:tcPr>
            <w:tcW w:w="6379" w:type="dxa"/>
            <w:shd w:val="clear" w:color="auto" w:fill="auto"/>
            <w:noWrap/>
            <w:vAlign w:val="bottom"/>
          </w:tcPr>
          <w:p w14:paraId="302FB9E8" w14:textId="77777777" w:rsidR="00782FDC" w:rsidRPr="00B42CF9" w:rsidRDefault="00782FDC" w:rsidP="00782FDC">
            <w:pPr>
              <w:pStyle w:val="Tabletext"/>
            </w:pPr>
            <w:r w:rsidRPr="00B42CF9">
              <w:t>Derivative financial instruments</w:t>
            </w:r>
          </w:p>
        </w:tc>
        <w:tc>
          <w:tcPr>
            <w:tcW w:w="851" w:type="dxa"/>
            <w:shd w:val="clear" w:color="auto" w:fill="auto"/>
            <w:noWrap/>
            <w:vAlign w:val="bottom"/>
          </w:tcPr>
          <w:p w14:paraId="31FBD7B1" w14:textId="77777777" w:rsidR="00782FDC" w:rsidRPr="00B42CF9" w:rsidRDefault="00782FDC" w:rsidP="00782FDC">
            <w:pPr>
              <w:pStyle w:val="TableFigures"/>
            </w:pPr>
          </w:p>
        </w:tc>
        <w:tc>
          <w:tcPr>
            <w:tcW w:w="708" w:type="dxa"/>
            <w:shd w:val="clear" w:color="auto" w:fill="auto"/>
            <w:vAlign w:val="bottom"/>
          </w:tcPr>
          <w:p w14:paraId="258E760C" w14:textId="721929A9" w:rsidR="00782FDC" w:rsidRPr="008239CB" w:rsidDel="00975AF7" w:rsidRDefault="00782FDC" w:rsidP="00BE37F4">
            <w:pPr>
              <w:pStyle w:val="TableFigures"/>
              <w:rPr>
                <w:szCs w:val="20"/>
              </w:rPr>
            </w:pPr>
          </w:p>
        </w:tc>
        <w:tc>
          <w:tcPr>
            <w:tcW w:w="1134" w:type="dxa"/>
            <w:shd w:val="clear" w:color="auto" w:fill="auto"/>
            <w:vAlign w:val="bottom"/>
          </w:tcPr>
          <w:p w14:paraId="65536E8B" w14:textId="6B997327" w:rsidR="00782FDC" w:rsidRPr="00B42CF9" w:rsidRDefault="00B42CF9" w:rsidP="00DC4F14">
            <w:pPr>
              <w:pStyle w:val="TableFiguresBold0"/>
            </w:pPr>
            <w:r w:rsidRPr="00B42CF9">
              <w:t>–</w:t>
            </w:r>
          </w:p>
        </w:tc>
        <w:tc>
          <w:tcPr>
            <w:tcW w:w="1276" w:type="dxa"/>
            <w:vAlign w:val="bottom"/>
          </w:tcPr>
          <w:p w14:paraId="4CC4AF93" w14:textId="4FC78CDC" w:rsidR="00782FDC" w:rsidRPr="00B42CF9" w:rsidRDefault="00B42CF9" w:rsidP="00DC4F14">
            <w:pPr>
              <w:pStyle w:val="TableFigures"/>
            </w:pPr>
            <w:r w:rsidRPr="00B42CF9">
              <w:t>5</w:t>
            </w:r>
          </w:p>
        </w:tc>
      </w:tr>
      <w:tr w:rsidR="005F6D8A" w:rsidRPr="005F6D8A" w14:paraId="40F784ED" w14:textId="77777777" w:rsidTr="002A206B">
        <w:tc>
          <w:tcPr>
            <w:tcW w:w="6379" w:type="dxa"/>
            <w:tcBorders>
              <w:bottom w:val="single" w:sz="4" w:space="0" w:color="999999"/>
            </w:tcBorders>
            <w:shd w:val="clear" w:color="auto" w:fill="auto"/>
            <w:noWrap/>
            <w:vAlign w:val="bottom"/>
          </w:tcPr>
          <w:p w14:paraId="30F91DFF" w14:textId="77777777" w:rsidR="00782FDC" w:rsidRPr="00B42CF9" w:rsidRDefault="00782FDC" w:rsidP="00782FDC">
            <w:pPr>
              <w:pStyle w:val="Tabletext"/>
            </w:pPr>
            <w:r w:rsidRPr="00B42CF9">
              <w:t>Tax liabilities</w:t>
            </w:r>
          </w:p>
        </w:tc>
        <w:tc>
          <w:tcPr>
            <w:tcW w:w="851" w:type="dxa"/>
            <w:tcBorders>
              <w:bottom w:val="single" w:sz="4" w:space="0" w:color="999999"/>
            </w:tcBorders>
            <w:shd w:val="clear" w:color="auto" w:fill="auto"/>
            <w:noWrap/>
            <w:vAlign w:val="bottom"/>
          </w:tcPr>
          <w:p w14:paraId="60009FB1" w14:textId="77777777" w:rsidR="00782FDC" w:rsidRPr="00B42CF9" w:rsidRDefault="00782FDC" w:rsidP="00782FDC">
            <w:pPr>
              <w:pStyle w:val="TableFigures"/>
            </w:pPr>
          </w:p>
        </w:tc>
        <w:tc>
          <w:tcPr>
            <w:tcW w:w="708" w:type="dxa"/>
            <w:tcBorders>
              <w:bottom w:val="single" w:sz="4" w:space="0" w:color="999999"/>
            </w:tcBorders>
            <w:shd w:val="clear" w:color="auto" w:fill="auto"/>
            <w:vAlign w:val="bottom"/>
          </w:tcPr>
          <w:p w14:paraId="12FB4443" w14:textId="77777777" w:rsidR="00782FDC" w:rsidRPr="008239CB" w:rsidRDefault="00782FDC" w:rsidP="00BE37F4">
            <w:pPr>
              <w:pStyle w:val="TableFigures"/>
              <w:rPr>
                <w:szCs w:val="20"/>
              </w:rPr>
            </w:pPr>
          </w:p>
        </w:tc>
        <w:tc>
          <w:tcPr>
            <w:tcW w:w="1134" w:type="dxa"/>
            <w:tcBorders>
              <w:bottom w:val="single" w:sz="4" w:space="0" w:color="999999"/>
            </w:tcBorders>
            <w:shd w:val="clear" w:color="auto" w:fill="auto"/>
            <w:vAlign w:val="bottom"/>
          </w:tcPr>
          <w:p w14:paraId="4C767496" w14:textId="3D97F8E5" w:rsidR="00782FDC" w:rsidRPr="00B42CF9" w:rsidRDefault="00B42CF9" w:rsidP="00DC4F14">
            <w:pPr>
              <w:pStyle w:val="TableFiguresBold0"/>
            </w:pPr>
            <w:r w:rsidRPr="00B42CF9">
              <w:t>54</w:t>
            </w:r>
          </w:p>
        </w:tc>
        <w:tc>
          <w:tcPr>
            <w:tcW w:w="1276" w:type="dxa"/>
            <w:tcBorders>
              <w:bottom w:val="single" w:sz="4" w:space="0" w:color="999999"/>
            </w:tcBorders>
            <w:shd w:val="clear" w:color="auto" w:fill="auto"/>
            <w:vAlign w:val="bottom"/>
          </w:tcPr>
          <w:p w14:paraId="77638BCF" w14:textId="13AE680E" w:rsidR="00782FDC" w:rsidRPr="00B42CF9" w:rsidRDefault="00B42CF9" w:rsidP="00DC4F14">
            <w:pPr>
              <w:pStyle w:val="TableFigures"/>
            </w:pPr>
            <w:r w:rsidRPr="00B42CF9">
              <w:t>3</w:t>
            </w:r>
          </w:p>
        </w:tc>
      </w:tr>
      <w:tr w:rsidR="005F6D8A" w:rsidRPr="005F6D8A" w14:paraId="720C0D9A" w14:textId="77777777" w:rsidTr="002A206B">
        <w:tc>
          <w:tcPr>
            <w:tcW w:w="6379" w:type="dxa"/>
            <w:tcBorders>
              <w:top w:val="single" w:sz="4" w:space="0" w:color="999999"/>
            </w:tcBorders>
            <w:shd w:val="clear" w:color="auto" w:fill="auto"/>
            <w:noWrap/>
            <w:vAlign w:val="bottom"/>
          </w:tcPr>
          <w:p w14:paraId="72B35455" w14:textId="77777777" w:rsidR="00782FDC" w:rsidRPr="00B42CF9" w:rsidRDefault="00782FDC" w:rsidP="00782FDC">
            <w:pPr>
              <w:pStyle w:val="Tabletext"/>
              <w:rPr>
                <w:szCs w:val="20"/>
              </w:rPr>
            </w:pPr>
          </w:p>
        </w:tc>
        <w:tc>
          <w:tcPr>
            <w:tcW w:w="851" w:type="dxa"/>
            <w:tcBorders>
              <w:top w:val="single" w:sz="4" w:space="0" w:color="999999"/>
            </w:tcBorders>
            <w:shd w:val="clear" w:color="auto" w:fill="auto"/>
            <w:noWrap/>
            <w:vAlign w:val="bottom"/>
          </w:tcPr>
          <w:p w14:paraId="64B731B8" w14:textId="77777777" w:rsidR="00782FDC" w:rsidRPr="00B42CF9" w:rsidRDefault="00782FDC" w:rsidP="00782FDC">
            <w:pPr>
              <w:pStyle w:val="TableFigures"/>
            </w:pPr>
          </w:p>
        </w:tc>
        <w:tc>
          <w:tcPr>
            <w:tcW w:w="708" w:type="dxa"/>
            <w:tcBorders>
              <w:top w:val="single" w:sz="4" w:space="0" w:color="999999"/>
            </w:tcBorders>
            <w:shd w:val="clear" w:color="auto" w:fill="auto"/>
            <w:vAlign w:val="bottom"/>
          </w:tcPr>
          <w:p w14:paraId="62FB4EF6" w14:textId="77777777" w:rsidR="00782FDC" w:rsidRPr="008239CB" w:rsidRDefault="00782FDC" w:rsidP="00BE37F4">
            <w:pPr>
              <w:pStyle w:val="TableFigures"/>
            </w:pPr>
          </w:p>
        </w:tc>
        <w:tc>
          <w:tcPr>
            <w:tcW w:w="1134" w:type="dxa"/>
            <w:tcBorders>
              <w:top w:val="single" w:sz="4" w:space="0" w:color="999999"/>
            </w:tcBorders>
            <w:shd w:val="clear" w:color="auto" w:fill="auto"/>
            <w:noWrap/>
            <w:vAlign w:val="bottom"/>
          </w:tcPr>
          <w:p w14:paraId="5E111B84" w14:textId="7CB95A6E" w:rsidR="00782FDC" w:rsidRPr="00B42CF9" w:rsidRDefault="00B42CF9" w:rsidP="00DC4F14">
            <w:pPr>
              <w:pStyle w:val="TableFiguresBold0"/>
            </w:pPr>
            <w:r w:rsidRPr="00B42CF9">
              <w:t>517</w:t>
            </w:r>
          </w:p>
        </w:tc>
        <w:tc>
          <w:tcPr>
            <w:tcW w:w="1276" w:type="dxa"/>
            <w:tcBorders>
              <w:top w:val="single" w:sz="4" w:space="0" w:color="999999"/>
            </w:tcBorders>
            <w:shd w:val="clear" w:color="auto" w:fill="auto"/>
            <w:noWrap/>
            <w:vAlign w:val="bottom"/>
          </w:tcPr>
          <w:p w14:paraId="51598339" w14:textId="313ECDC3" w:rsidR="00782FDC" w:rsidRPr="00B42CF9" w:rsidRDefault="00B42CF9" w:rsidP="00DC4F14">
            <w:pPr>
              <w:pStyle w:val="TableFigures"/>
            </w:pPr>
            <w:r w:rsidRPr="00B42CF9">
              <w:t>381</w:t>
            </w:r>
          </w:p>
        </w:tc>
      </w:tr>
      <w:tr w:rsidR="005F6D8A" w:rsidRPr="005F6D8A" w14:paraId="0CD5C92B" w14:textId="77777777" w:rsidTr="002A206B">
        <w:tc>
          <w:tcPr>
            <w:tcW w:w="6379" w:type="dxa"/>
            <w:shd w:val="clear" w:color="auto" w:fill="auto"/>
            <w:noWrap/>
            <w:vAlign w:val="bottom"/>
          </w:tcPr>
          <w:p w14:paraId="5372BC5D" w14:textId="77777777" w:rsidR="00782FDC" w:rsidRPr="00B42CF9" w:rsidRDefault="00782FDC" w:rsidP="00782FDC">
            <w:pPr>
              <w:pStyle w:val="Tabletext"/>
              <w:rPr>
                <w:szCs w:val="20"/>
              </w:rPr>
            </w:pPr>
          </w:p>
        </w:tc>
        <w:tc>
          <w:tcPr>
            <w:tcW w:w="851" w:type="dxa"/>
            <w:shd w:val="clear" w:color="auto" w:fill="auto"/>
            <w:noWrap/>
            <w:vAlign w:val="bottom"/>
          </w:tcPr>
          <w:p w14:paraId="73B11985" w14:textId="77777777" w:rsidR="00782FDC" w:rsidRPr="00B42CF9" w:rsidRDefault="00782FDC" w:rsidP="00782FDC">
            <w:pPr>
              <w:pStyle w:val="TableFigures"/>
            </w:pPr>
          </w:p>
        </w:tc>
        <w:tc>
          <w:tcPr>
            <w:tcW w:w="708" w:type="dxa"/>
            <w:shd w:val="clear" w:color="auto" w:fill="auto"/>
            <w:vAlign w:val="bottom"/>
          </w:tcPr>
          <w:p w14:paraId="6C2CE612" w14:textId="77777777" w:rsidR="00782FDC" w:rsidRPr="008239CB" w:rsidRDefault="00782FDC" w:rsidP="00BE37F4">
            <w:pPr>
              <w:pStyle w:val="TableFigures"/>
            </w:pPr>
          </w:p>
        </w:tc>
        <w:tc>
          <w:tcPr>
            <w:tcW w:w="1134" w:type="dxa"/>
            <w:shd w:val="clear" w:color="auto" w:fill="auto"/>
            <w:noWrap/>
            <w:vAlign w:val="bottom"/>
          </w:tcPr>
          <w:p w14:paraId="118329F7" w14:textId="77777777" w:rsidR="00782FDC" w:rsidRPr="00B42CF9" w:rsidRDefault="00782FDC" w:rsidP="00DC4F14">
            <w:pPr>
              <w:pStyle w:val="TableFiguresBold0"/>
            </w:pPr>
          </w:p>
        </w:tc>
        <w:tc>
          <w:tcPr>
            <w:tcW w:w="1276" w:type="dxa"/>
            <w:shd w:val="clear" w:color="auto" w:fill="auto"/>
            <w:noWrap/>
            <w:vAlign w:val="bottom"/>
          </w:tcPr>
          <w:p w14:paraId="6FEDB215" w14:textId="77777777" w:rsidR="00782FDC" w:rsidRPr="00B42CF9" w:rsidRDefault="00782FDC" w:rsidP="00DC4F14">
            <w:pPr>
              <w:pStyle w:val="TableFigures"/>
            </w:pPr>
          </w:p>
        </w:tc>
      </w:tr>
      <w:tr w:rsidR="005F6D8A" w:rsidRPr="005F6D8A" w14:paraId="41089A5E" w14:textId="77777777" w:rsidTr="002A206B">
        <w:tc>
          <w:tcPr>
            <w:tcW w:w="6379" w:type="dxa"/>
            <w:tcBorders>
              <w:bottom w:val="single" w:sz="8" w:space="0" w:color="999999"/>
            </w:tcBorders>
            <w:shd w:val="clear" w:color="auto" w:fill="auto"/>
            <w:noWrap/>
            <w:vAlign w:val="bottom"/>
          </w:tcPr>
          <w:p w14:paraId="00931BB7" w14:textId="77777777" w:rsidR="00782FDC" w:rsidRPr="00B42CF9" w:rsidRDefault="00782FDC" w:rsidP="00782FDC">
            <w:pPr>
              <w:pStyle w:val="TabletextBold"/>
              <w:rPr>
                <w:szCs w:val="20"/>
              </w:rPr>
            </w:pPr>
            <w:r w:rsidRPr="00B42CF9">
              <w:rPr>
                <w:szCs w:val="20"/>
              </w:rPr>
              <w:t>Total liabilities</w:t>
            </w:r>
          </w:p>
        </w:tc>
        <w:tc>
          <w:tcPr>
            <w:tcW w:w="851" w:type="dxa"/>
            <w:tcBorders>
              <w:bottom w:val="single" w:sz="8" w:space="0" w:color="999999"/>
            </w:tcBorders>
            <w:shd w:val="clear" w:color="auto" w:fill="auto"/>
            <w:noWrap/>
            <w:vAlign w:val="bottom"/>
          </w:tcPr>
          <w:p w14:paraId="269AEB96" w14:textId="77777777" w:rsidR="00782FDC" w:rsidRPr="00B42CF9" w:rsidRDefault="00782FDC" w:rsidP="00782FDC">
            <w:pPr>
              <w:pStyle w:val="TableFigures"/>
            </w:pPr>
          </w:p>
        </w:tc>
        <w:tc>
          <w:tcPr>
            <w:tcW w:w="708" w:type="dxa"/>
            <w:tcBorders>
              <w:bottom w:val="single" w:sz="8" w:space="0" w:color="999999"/>
            </w:tcBorders>
            <w:shd w:val="clear" w:color="auto" w:fill="auto"/>
            <w:vAlign w:val="bottom"/>
          </w:tcPr>
          <w:p w14:paraId="204CA480" w14:textId="77777777" w:rsidR="00782FDC" w:rsidRPr="008239CB" w:rsidRDefault="00782FDC" w:rsidP="00BE37F4">
            <w:pPr>
              <w:pStyle w:val="TableFigures"/>
            </w:pPr>
          </w:p>
        </w:tc>
        <w:tc>
          <w:tcPr>
            <w:tcW w:w="1134" w:type="dxa"/>
            <w:tcBorders>
              <w:bottom w:val="single" w:sz="8" w:space="0" w:color="999999"/>
            </w:tcBorders>
            <w:shd w:val="clear" w:color="auto" w:fill="auto"/>
            <w:noWrap/>
            <w:vAlign w:val="bottom"/>
          </w:tcPr>
          <w:p w14:paraId="374F7AA9" w14:textId="02948837" w:rsidR="00782FDC" w:rsidRPr="00B42CF9" w:rsidRDefault="00B42CF9" w:rsidP="00DC4F14">
            <w:pPr>
              <w:pStyle w:val="TableFiguresBold0"/>
            </w:pPr>
            <w:r w:rsidRPr="00B42CF9">
              <w:t>4,347</w:t>
            </w:r>
          </w:p>
        </w:tc>
        <w:tc>
          <w:tcPr>
            <w:tcW w:w="1276" w:type="dxa"/>
            <w:tcBorders>
              <w:bottom w:val="single" w:sz="8" w:space="0" w:color="999999"/>
            </w:tcBorders>
            <w:shd w:val="clear" w:color="auto" w:fill="auto"/>
            <w:noWrap/>
            <w:vAlign w:val="bottom"/>
          </w:tcPr>
          <w:p w14:paraId="7F217168" w14:textId="7C685213" w:rsidR="00782FDC" w:rsidRPr="00B42CF9" w:rsidRDefault="00F252A5" w:rsidP="00DC4F14">
            <w:pPr>
              <w:pStyle w:val="TableFigures"/>
            </w:pPr>
            <w:r>
              <w:t>2,996</w:t>
            </w:r>
          </w:p>
        </w:tc>
      </w:tr>
      <w:tr w:rsidR="005F6D8A" w:rsidRPr="005F6D8A" w14:paraId="7B225D86" w14:textId="77777777" w:rsidTr="002A206B">
        <w:tc>
          <w:tcPr>
            <w:tcW w:w="6379" w:type="dxa"/>
            <w:tcBorders>
              <w:top w:val="single" w:sz="8" w:space="0" w:color="999999"/>
            </w:tcBorders>
            <w:shd w:val="clear" w:color="auto" w:fill="auto"/>
            <w:noWrap/>
            <w:vAlign w:val="bottom"/>
          </w:tcPr>
          <w:p w14:paraId="0216DE18" w14:textId="77777777" w:rsidR="00782FDC" w:rsidRPr="00B42CF9" w:rsidRDefault="00782FDC" w:rsidP="00782FDC">
            <w:pPr>
              <w:pStyle w:val="Tabletext"/>
              <w:rPr>
                <w:szCs w:val="20"/>
              </w:rPr>
            </w:pPr>
          </w:p>
        </w:tc>
        <w:tc>
          <w:tcPr>
            <w:tcW w:w="851" w:type="dxa"/>
            <w:tcBorders>
              <w:top w:val="single" w:sz="8" w:space="0" w:color="999999"/>
            </w:tcBorders>
            <w:shd w:val="clear" w:color="auto" w:fill="auto"/>
            <w:noWrap/>
            <w:vAlign w:val="bottom"/>
          </w:tcPr>
          <w:p w14:paraId="4252FF4F" w14:textId="77777777" w:rsidR="00782FDC" w:rsidRPr="00B42CF9" w:rsidRDefault="00782FDC" w:rsidP="00782FDC">
            <w:pPr>
              <w:pStyle w:val="TableFigures"/>
            </w:pPr>
          </w:p>
        </w:tc>
        <w:tc>
          <w:tcPr>
            <w:tcW w:w="708" w:type="dxa"/>
            <w:tcBorders>
              <w:top w:val="single" w:sz="8" w:space="0" w:color="999999"/>
            </w:tcBorders>
            <w:shd w:val="clear" w:color="auto" w:fill="auto"/>
            <w:vAlign w:val="bottom"/>
          </w:tcPr>
          <w:p w14:paraId="05194336" w14:textId="77777777" w:rsidR="00782FDC" w:rsidRPr="008239CB" w:rsidRDefault="00782FDC" w:rsidP="00BE37F4">
            <w:pPr>
              <w:pStyle w:val="TableFigures"/>
            </w:pPr>
          </w:p>
        </w:tc>
        <w:tc>
          <w:tcPr>
            <w:tcW w:w="1134" w:type="dxa"/>
            <w:tcBorders>
              <w:top w:val="single" w:sz="8" w:space="0" w:color="999999"/>
            </w:tcBorders>
            <w:shd w:val="clear" w:color="auto" w:fill="auto"/>
            <w:noWrap/>
            <w:vAlign w:val="bottom"/>
          </w:tcPr>
          <w:p w14:paraId="35341A00" w14:textId="77777777" w:rsidR="00782FDC" w:rsidRPr="00B42CF9" w:rsidRDefault="00782FDC" w:rsidP="00DC4F14">
            <w:pPr>
              <w:pStyle w:val="TableFiguresBold0"/>
            </w:pPr>
          </w:p>
        </w:tc>
        <w:tc>
          <w:tcPr>
            <w:tcW w:w="1276" w:type="dxa"/>
            <w:tcBorders>
              <w:top w:val="single" w:sz="8" w:space="0" w:color="999999"/>
            </w:tcBorders>
            <w:shd w:val="clear" w:color="auto" w:fill="auto"/>
            <w:noWrap/>
            <w:vAlign w:val="bottom"/>
          </w:tcPr>
          <w:p w14:paraId="2AD6525C" w14:textId="77777777" w:rsidR="00782FDC" w:rsidRPr="00B42CF9" w:rsidRDefault="00782FDC" w:rsidP="00DC4F14">
            <w:pPr>
              <w:pStyle w:val="TableFigures"/>
            </w:pPr>
          </w:p>
        </w:tc>
      </w:tr>
      <w:tr w:rsidR="005F6D8A" w:rsidRPr="005F6D8A" w14:paraId="5F0BD38E" w14:textId="77777777" w:rsidTr="002A206B">
        <w:tc>
          <w:tcPr>
            <w:tcW w:w="6379" w:type="dxa"/>
            <w:tcBorders>
              <w:bottom w:val="single" w:sz="4" w:space="0" w:color="999999"/>
            </w:tcBorders>
            <w:shd w:val="clear" w:color="auto" w:fill="auto"/>
            <w:noWrap/>
            <w:vAlign w:val="bottom"/>
          </w:tcPr>
          <w:p w14:paraId="706AD02B" w14:textId="77777777" w:rsidR="00782FDC" w:rsidRPr="00B42CF9" w:rsidRDefault="00782FDC" w:rsidP="00782FDC">
            <w:pPr>
              <w:pStyle w:val="TabletextBold"/>
              <w:rPr>
                <w:szCs w:val="20"/>
              </w:rPr>
            </w:pPr>
            <w:r w:rsidRPr="00B42CF9">
              <w:rPr>
                <w:szCs w:val="20"/>
              </w:rPr>
              <w:t>Net assets</w:t>
            </w:r>
          </w:p>
        </w:tc>
        <w:tc>
          <w:tcPr>
            <w:tcW w:w="851" w:type="dxa"/>
            <w:tcBorders>
              <w:bottom w:val="single" w:sz="4" w:space="0" w:color="999999"/>
            </w:tcBorders>
            <w:shd w:val="clear" w:color="auto" w:fill="auto"/>
            <w:noWrap/>
            <w:vAlign w:val="bottom"/>
          </w:tcPr>
          <w:p w14:paraId="4CC0F071" w14:textId="77777777" w:rsidR="00782FDC" w:rsidRPr="00B42CF9" w:rsidRDefault="00782FDC" w:rsidP="00782FDC">
            <w:pPr>
              <w:pStyle w:val="TableFigures"/>
            </w:pPr>
          </w:p>
        </w:tc>
        <w:tc>
          <w:tcPr>
            <w:tcW w:w="708" w:type="dxa"/>
            <w:tcBorders>
              <w:bottom w:val="single" w:sz="4" w:space="0" w:color="999999"/>
            </w:tcBorders>
            <w:shd w:val="clear" w:color="auto" w:fill="auto"/>
            <w:vAlign w:val="bottom"/>
          </w:tcPr>
          <w:p w14:paraId="20D4EB68" w14:textId="77777777" w:rsidR="00782FDC" w:rsidRPr="008239CB" w:rsidRDefault="00782FDC" w:rsidP="00BE37F4">
            <w:pPr>
              <w:pStyle w:val="TableFigures"/>
            </w:pPr>
          </w:p>
        </w:tc>
        <w:tc>
          <w:tcPr>
            <w:tcW w:w="1134" w:type="dxa"/>
            <w:tcBorders>
              <w:bottom w:val="single" w:sz="4" w:space="0" w:color="999999"/>
            </w:tcBorders>
            <w:shd w:val="clear" w:color="auto" w:fill="auto"/>
            <w:noWrap/>
            <w:vAlign w:val="bottom"/>
          </w:tcPr>
          <w:p w14:paraId="2357ABC8" w14:textId="46BE37DD" w:rsidR="00782FDC" w:rsidRPr="00B42CF9" w:rsidRDefault="00B42CF9" w:rsidP="00DC4F14">
            <w:pPr>
              <w:pStyle w:val="TableFiguresBold0"/>
            </w:pPr>
            <w:r w:rsidRPr="00B42CF9">
              <w:t>13,436</w:t>
            </w:r>
          </w:p>
        </w:tc>
        <w:tc>
          <w:tcPr>
            <w:tcW w:w="1276" w:type="dxa"/>
            <w:tcBorders>
              <w:bottom w:val="single" w:sz="4" w:space="0" w:color="999999"/>
            </w:tcBorders>
            <w:shd w:val="clear" w:color="auto" w:fill="auto"/>
            <w:noWrap/>
            <w:vAlign w:val="bottom"/>
          </w:tcPr>
          <w:p w14:paraId="7565D791" w14:textId="12D99E81" w:rsidR="00782FDC" w:rsidRPr="00B42CF9" w:rsidRDefault="00B42CF9" w:rsidP="00DC4F14">
            <w:pPr>
              <w:pStyle w:val="TableFigures"/>
            </w:pPr>
            <w:r w:rsidRPr="00B42CF9">
              <w:t>9,671</w:t>
            </w:r>
          </w:p>
        </w:tc>
      </w:tr>
      <w:tr w:rsidR="005F6D8A" w:rsidRPr="005F6D8A" w14:paraId="14237682" w14:textId="77777777" w:rsidTr="002A206B">
        <w:tc>
          <w:tcPr>
            <w:tcW w:w="6379" w:type="dxa"/>
            <w:tcBorders>
              <w:top w:val="single" w:sz="4" w:space="0" w:color="999999"/>
            </w:tcBorders>
            <w:shd w:val="clear" w:color="auto" w:fill="auto"/>
            <w:noWrap/>
            <w:vAlign w:val="bottom"/>
          </w:tcPr>
          <w:p w14:paraId="63BFCE6B" w14:textId="77777777" w:rsidR="00782FDC" w:rsidRPr="00B42CF9" w:rsidRDefault="00782FDC" w:rsidP="00782FDC">
            <w:pPr>
              <w:pStyle w:val="Tabletext"/>
              <w:rPr>
                <w:szCs w:val="20"/>
              </w:rPr>
            </w:pPr>
          </w:p>
        </w:tc>
        <w:tc>
          <w:tcPr>
            <w:tcW w:w="851" w:type="dxa"/>
            <w:tcBorders>
              <w:top w:val="single" w:sz="4" w:space="0" w:color="999999"/>
            </w:tcBorders>
            <w:shd w:val="clear" w:color="auto" w:fill="auto"/>
            <w:noWrap/>
            <w:vAlign w:val="bottom"/>
          </w:tcPr>
          <w:p w14:paraId="505EC4EC" w14:textId="77777777" w:rsidR="00782FDC" w:rsidRPr="00B42CF9" w:rsidRDefault="00782FDC" w:rsidP="00782FDC">
            <w:pPr>
              <w:pStyle w:val="TableFigures"/>
            </w:pPr>
          </w:p>
        </w:tc>
        <w:tc>
          <w:tcPr>
            <w:tcW w:w="708" w:type="dxa"/>
            <w:tcBorders>
              <w:top w:val="single" w:sz="4" w:space="0" w:color="999999"/>
            </w:tcBorders>
            <w:shd w:val="clear" w:color="auto" w:fill="auto"/>
            <w:vAlign w:val="bottom"/>
          </w:tcPr>
          <w:p w14:paraId="5EB57AB5" w14:textId="77777777" w:rsidR="00782FDC" w:rsidRPr="008239CB" w:rsidRDefault="00782FDC" w:rsidP="00BE37F4">
            <w:pPr>
              <w:pStyle w:val="TableFigures"/>
            </w:pPr>
          </w:p>
        </w:tc>
        <w:tc>
          <w:tcPr>
            <w:tcW w:w="1134" w:type="dxa"/>
            <w:tcBorders>
              <w:top w:val="single" w:sz="4" w:space="0" w:color="999999"/>
            </w:tcBorders>
            <w:shd w:val="clear" w:color="auto" w:fill="auto"/>
            <w:noWrap/>
            <w:vAlign w:val="bottom"/>
          </w:tcPr>
          <w:p w14:paraId="73315DF3" w14:textId="77777777" w:rsidR="00782FDC" w:rsidRPr="00B42CF9" w:rsidRDefault="00782FDC" w:rsidP="00DC4F14">
            <w:pPr>
              <w:pStyle w:val="TableFiguresBold0"/>
            </w:pPr>
          </w:p>
        </w:tc>
        <w:tc>
          <w:tcPr>
            <w:tcW w:w="1276" w:type="dxa"/>
            <w:tcBorders>
              <w:top w:val="single" w:sz="4" w:space="0" w:color="999999"/>
            </w:tcBorders>
            <w:shd w:val="clear" w:color="auto" w:fill="auto"/>
            <w:noWrap/>
            <w:vAlign w:val="bottom"/>
          </w:tcPr>
          <w:p w14:paraId="47EE1835" w14:textId="77777777" w:rsidR="00782FDC" w:rsidRPr="00B42CF9" w:rsidRDefault="00782FDC" w:rsidP="00DC4F14">
            <w:pPr>
              <w:pStyle w:val="TableFigures"/>
            </w:pPr>
          </w:p>
        </w:tc>
      </w:tr>
      <w:tr w:rsidR="005F6D8A" w:rsidRPr="005F6D8A" w14:paraId="73AB1B82" w14:textId="77777777" w:rsidTr="002A206B">
        <w:tc>
          <w:tcPr>
            <w:tcW w:w="6379" w:type="dxa"/>
            <w:shd w:val="clear" w:color="auto" w:fill="auto"/>
            <w:noWrap/>
            <w:vAlign w:val="bottom"/>
          </w:tcPr>
          <w:p w14:paraId="2F86171E" w14:textId="77777777" w:rsidR="00782FDC" w:rsidRPr="00B42CF9" w:rsidRDefault="00782FDC" w:rsidP="00782FDC">
            <w:pPr>
              <w:pStyle w:val="TabletextBold"/>
              <w:rPr>
                <w:szCs w:val="20"/>
              </w:rPr>
            </w:pPr>
            <w:r w:rsidRPr="00B42CF9">
              <w:rPr>
                <w:szCs w:val="20"/>
              </w:rPr>
              <w:t>Equity</w:t>
            </w:r>
          </w:p>
        </w:tc>
        <w:tc>
          <w:tcPr>
            <w:tcW w:w="851" w:type="dxa"/>
            <w:shd w:val="clear" w:color="auto" w:fill="auto"/>
            <w:noWrap/>
            <w:vAlign w:val="bottom"/>
          </w:tcPr>
          <w:p w14:paraId="4631B516" w14:textId="77777777" w:rsidR="00782FDC" w:rsidRPr="00B42CF9" w:rsidRDefault="00782FDC" w:rsidP="00782FDC">
            <w:pPr>
              <w:pStyle w:val="TableFigures"/>
            </w:pPr>
          </w:p>
        </w:tc>
        <w:tc>
          <w:tcPr>
            <w:tcW w:w="708" w:type="dxa"/>
            <w:shd w:val="clear" w:color="auto" w:fill="auto"/>
            <w:vAlign w:val="bottom"/>
          </w:tcPr>
          <w:p w14:paraId="7BFCE900" w14:textId="77777777" w:rsidR="00782FDC" w:rsidRPr="008239CB" w:rsidRDefault="00782FDC" w:rsidP="00BE37F4">
            <w:pPr>
              <w:pStyle w:val="TableFigures"/>
            </w:pPr>
          </w:p>
        </w:tc>
        <w:tc>
          <w:tcPr>
            <w:tcW w:w="1134" w:type="dxa"/>
            <w:shd w:val="clear" w:color="auto" w:fill="auto"/>
            <w:noWrap/>
            <w:vAlign w:val="bottom"/>
          </w:tcPr>
          <w:p w14:paraId="3083A74D" w14:textId="77777777" w:rsidR="00782FDC" w:rsidRPr="00B42CF9" w:rsidRDefault="00782FDC" w:rsidP="00DC4F14">
            <w:pPr>
              <w:pStyle w:val="TableFiguresBold0"/>
            </w:pPr>
          </w:p>
        </w:tc>
        <w:tc>
          <w:tcPr>
            <w:tcW w:w="1276" w:type="dxa"/>
            <w:shd w:val="clear" w:color="auto" w:fill="auto"/>
            <w:noWrap/>
            <w:vAlign w:val="bottom"/>
          </w:tcPr>
          <w:p w14:paraId="45B60A04" w14:textId="77777777" w:rsidR="00782FDC" w:rsidRPr="00B42CF9" w:rsidRDefault="00782FDC" w:rsidP="00DC4F14">
            <w:pPr>
              <w:pStyle w:val="TableFigures"/>
            </w:pPr>
          </w:p>
        </w:tc>
      </w:tr>
      <w:tr w:rsidR="005F6D8A" w:rsidRPr="005F6D8A" w14:paraId="3B2730C2" w14:textId="77777777" w:rsidTr="002A206B">
        <w:tc>
          <w:tcPr>
            <w:tcW w:w="6379" w:type="dxa"/>
            <w:shd w:val="clear" w:color="auto" w:fill="auto"/>
            <w:noWrap/>
            <w:vAlign w:val="bottom"/>
          </w:tcPr>
          <w:p w14:paraId="064B4530" w14:textId="77777777" w:rsidR="00782FDC" w:rsidRPr="00B42CF9" w:rsidRDefault="00782FDC" w:rsidP="00782FDC">
            <w:pPr>
              <w:pStyle w:val="Tabletext"/>
              <w:rPr>
                <w:szCs w:val="20"/>
              </w:rPr>
            </w:pPr>
            <w:r w:rsidRPr="00B42CF9">
              <w:rPr>
                <w:szCs w:val="20"/>
              </w:rPr>
              <w:t>Share capital</w:t>
            </w:r>
          </w:p>
        </w:tc>
        <w:tc>
          <w:tcPr>
            <w:tcW w:w="851" w:type="dxa"/>
            <w:shd w:val="clear" w:color="auto" w:fill="auto"/>
            <w:noWrap/>
            <w:vAlign w:val="bottom"/>
          </w:tcPr>
          <w:p w14:paraId="10A9F8C4" w14:textId="77777777" w:rsidR="00782FDC" w:rsidRPr="00B42CF9" w:rsidRDefault="00782FDC" w:rsidP="00782FDC">
            <w:pPr>
              <w:pStyle w:val="TableFigures"/>
            </w:pPr>
          </w:p>
        </w:tc>
        <w:tc>
          <w:tcPr>
            <w:tcW w:w="708" w:type="dxa"/>
            <w:shd w:val="clear" w:color="auto" w:fill="auto"/>
            <w:vAlign w:val="bottom"/>
          </w:tcPr>
          <w:p w14:paraId="63B91EC3" w14:textId="647998B6" w:rsidR="00782FDC" w:rsidRPr="008239CB" w:rsidRDefault="00782FDC" w:rsidP="00BE37F4">
            <w:pPr>
              <w:pStyle w:val="TableFigures"/>
            </w:pPr>
          </w:p>
        </w:tc>
        <w:tc>
          <w:tcPr>
            <w:tcW w:w="1134" w:type="dxa"/>
            <w:shd w:val="clear" w:color="auto" w:fill="auto"/>
            <w:vAlign w:val="bottom"/>
          </w:tcPr>
          <w:p w14:paraId="4FDE1B72" w14:textId="57F078EE" w:rsidR="00782FDC" w:rsidRPr="00B42CF9" w:rsidRDefault="00B42CF9" w:rsidP="00DC4F14">
            <w:pPr>
              <w:pStyle w:val="TableFiguresBold0"/>
            </w:pPr>
            <w:r w:rsidRPr="00B42CF9">
              <w:t>120</w:t>
            </w:r>
          </w:p>
        </w:tc>
        <w:tc>
          <w:tcPr>
            <w:tcW w:w="1276" w:type="dxa"/>
            <w:vAlign w:val="bottom"/>
          </w:tcPr>
          <w:p w14:paraId="16CFC0E1" w14:textId="293A3393" w:rsidR="00782FDC" w:rsidRPr="00B42CF9" w:rsidRDefault="00B42CF9" w:rsidP="00DC4F14">
            <w:pPr>
              <w:pStyle w:val="TableFigures"/>
            </w:pPr>
            <w:r w:rsidRPr="00B42CF9">
              <w:t>119</w:t>
            </w:r>
          </w:p>
        </w:tc>
      </w:tr>
      <w:tr w:rsidR="005F6D8A" w:rsidRPr="005F6D8A" w14:paraId="21557C0C" w14:textId="77777777" w:rsidTr="002A206B">
        <w:tc>
          <w:tcPr>
            <w:tcW w:w="6379" w:type="dxa"/>
            <w:shd w:val="clear" w:color="auto" w:fill="auto"/>
            <w:noWrap/>
            <w:vAlign w:val="bottom"/>
          </w:tcPr>
          <w:p w14:paraId="69866514" w14:textId="77777777" w:rsidR="00782FDC" w:rsidRPr="00B42CF9" w:rsidRDefault="00782FDC" w:rsidP="00782FDC">
            <w:pPr>
              <w:pStyle w:val="Tabletext"/>
              <w:rPr>
                <w:szCs w:val="20"/>
              </w:rPr>
            </w:pPr>
            <w:r w:rsidRPr="00B42CF9">
              <w:rPr>
                <w:szCs w:val="20"/>
              </w:rPr>
              <w:t xml:space="preserve">Share premium </w:t>
            </w:r>
          </w:p>
        </w:tc>
        <w:tc>
          <w:tcPr>
            <w:tcW w:w="851" w:type="dxa"/>
            <w:shd w:val="clear" w:color="auto" w:fill="auto"/>
            <w:noWrap/>
            <w:vAlign w:val="bottom"/>
          </w:tcPr>
          <w:p w14:paraId="63E0B1F7" w14:textId="77777777" w:rsidR="00782FDC" w:rsidRPr="00B42CF9" w:rsidRDefault="00782FDC" w:rsidP="00782FDC">
            <w:pPr>
              <w:pStyle w:val="TableFigures"/>
            </w:pPr>
          </w:p>
        </w:tc>
        <w:tc>
          <w:tcPr>
            <w:tcW w:w="708" w:type="dxa"/>
            <w:shd w:val="clear" w:color="auto" w:fill="auto"/>
            <w:vAlign w:val="bottom"/>
          </w:tcPr>
          <w:p w14:paraId="3E183AAE" w14:textId="6859B80C" w:rsidR="00782FDC" w:rsidRPr="008239CB" w:rsidRDefault="00782FDC" w:rsidP="00BE37F4">
            <w:pPr>
              <w:pStyle w:val="TableFigures"/>
            </w:pPr>
          </w:p>
        </w:tc>
        <w:tc>
          <w:tcPr>
            <w:tcW w:w="1134" w:type="dxa"/>
            <w:shd w:val="clear" w:color="auto" w:fill="auto"/>
            <w:vAlign w:val="bottom"/>
          </w:tcPr>
          <w:p w14:paraId="428FF8E8" w14:textId="45B72CE8" w:rsidR="00782FDC" w:rsidRPr="00B42CF9" w:rsidRDefault="00B42CF9" w:rsidP="00DC4F14">
            <w:pPr>
              <w:pStyle w:val="TableFiguresBold0"/>
            </w:pPr>
            <w:r w:rsidRPr="00B42CF9">
              <w:t>3,371</w:t>
            </w:r>
          </w:p>
        </w:tc>
        <w:tc>
          <w:tcPr>
            <w:tcW w:w="1276" w:type="dxa"/>
            <w:vAlign w:val="bottom"/>
          </w:tcPr>
          <w:p w14:paraId="284CB200" w14:textId="4014B363" w:rsidR="00782FDC" w:rsidRPr="00B42CF9" w:rsidRDefault="00B42CF9" w:rsidP="00DC4F14">
            <w:pPr>
              <w:pStyle w:val="TableFigures"/>
            </w:pPr>
            <w:r w:rsidRPr="00B42CF9">
              <w:t>3,277</w:t>
            </w:r>
          </w:p>
        </w:tc>
      </w:tr>
      <w:tr w:rsidR="005F6D8A" w:rsidRPr="005F6D8A" w14:paraId="3A90882E" w14:textId="77777777" w:rsidTr="002A206B">
        <w:tc>
          <w:tcPr>
            <w:tcW w:w="6379" w:type="dxa"/>
            <w:shd w:val="clear" w:color="auto" w:fill="auto"/>
            <w:noWrap/>
            <w:vAlign w:val="bottom"/>
          </w:tcPr>
          <w:p w14:paraId="6784AE3A" w14:textId="77777777" w:rsidR="00782FDC" w:rsidRPr="00B42CF9" w:rsidRDefault="00782FDC" w:rsidP="00782FDC">
            <w:pPr>
              <w:pStyle w:val="Tabletext"/>
              <w:rPr>
                <w:szCs w:val="20"/>
              </w:rPr>
            </w:pPr>
            <w:r w:rsidRPr="00B42CF9">
              <w:rPr>
                <w:szCs w:val="20"/>
              </w:rPr>
              <w:t>Capital redemption reserve</w:t>
            </w:r>
          </w:p>
        </w:tc>
        <w:tc>
          <w:tcPr>
            <w:tcW w:w="851" w:type="dxa"/>
            <w:shd w:val="clear" w:color="auto" w:fill="auto"/>
            <w:noWrap/>
            <w:vAlign w:val="bottom"/>
          </w:tcPr>
          <w:p w14:paraId="681CC70D" w14:textId="77777777" w:rsidR="00782FDC" w:rsidRPr="00B42CF9" w:rsidRDefault="00782FDC" w:rsidP="00782FDC">
            <w:pPr>
              <w:pStyle w:val="TableFigures"/>
            </w:pPr>
          </w:p>
        </w:tc>
        <w:tc>
          <w:tcPr>
            <w:tcW w:w="708" w:type="dxa"/>
            <w:shd w:val="clear" w:color="auto" w:fill="auto"/>
            <w:vAlign w:val="bottom"/>
          </w:tcPr>
          <w:p w14:paraId="330D31B6" w14:textId="54F6A04A" w:rsidR="00782FDC" w:rsidRPr="008239CB" w:rsidRDefault="00782FDC" w:rsidP="00BE37F4">
            <w:pPr>
              <w:pStyle w:val="TableFigures"/>
            </w:pPr>
          </w:p>
        </w:tc>
        <w:tc>
          <w:tcPr>
            <w:tcW w:w="1134" w:type="dxa"/>
            <w:shd w:val="clear" w:color="auto" w:fill="auto"/>
            <w:vAlign w:val="bottom"/>
          </w:tcPr>
          <w:p w14:paraId="1C38F3DA" w14:textId="154C5D00" w:rsidR="00782FDC" w:rsidRPr="00B42CF9" w:rsidRDefault="00B42CF9" w:rsidP="00DC4F14">
            <w:pPr>
              <w:pStyle w:val="TableFiguresBold0"/>
            </w:pPr>
            <w:r w:rsidRPr="00B42CF9">
              <w:t>114</w:t>
            </w:r>
          </w:p>
        </w:tc>
        <w:tc>
          <w:tcPr>
            <w:tcW w:w="1276" w:type="dxa"/>
            <w:vAlign w:val="bottom"/>
          </w:tcPr>
          <w:p w14:paraId="4FEFB8C7" w14:textId="50DCA41F" w:rsidR="00782FDC" w:rsidRPr="00B42CF9" w:rsidRDefault="00B42CF9" w:rsidP="00DC4F14">
            <w:pPr>
              <w:pStyle w:val="TableFigures"/>
            </w:pPr>
            <w:r w:rsidRPr="00B42CF9">
              <w:t>114</w:t>
            </w:r>
          </w:p>
        </w:tc>
      </w:tr>
      <w:tr w:rsidR="005F6D8A" w:rsidRPr="005F6D8A" w14:paraId="035617E9" w14:textId="77777777" w:rsidTr="002A206B">
        <w:tc>
          <w:tcPr>
            <w:tcW w:w="6379" w:type="dxa"/>
            <w:shd w:val="clear" w:color="auto" w:fill="auto"/>
            <w:noWrap/>
            <w:vAlign w:val="bottom"/>
          </w:tcPr>
          <w:p w14:paraId="55C5170A" w14:textId="77777777" w:rsidR="00782FDC" w:rsidRPr="00B42CF9" w:rsidRDefault="00782FDC" w:rsidP="00782FDC">
            <w:pPr>
              <w:pStyle w:val="Tabletext"/>
              <w:rPr>
                <w:szCs w:val="20"/>
              </w:rPr>
            </w:pPr>
            <w:r w:rsidRPr="00B42CF9">
              <w:rPr>
                <w:szCs w:val="20"/>
              </w:rPr>
              <w:t>Own shares held</w:t>
            </w:r>
          </w:p>
        </w:tc>
        <w:tc>
          <w:tcPr>
            <w:tcW w:w="851" w:type="dxa"/>
            <w:shd w:val="clear" w:color="auto" w:fill="auto"/>
            <w:noWrap/>
            <w:vAlign w:val="bottom"/>
          </w:tcPr>
          <w:p w14:paraId="0511BBAB" w14:textId="77777777" w:rsidR="00782FDC" w:rsidRPr="00B42CF9" w:rsidRDefault="00782FDC" w:rsidP="00782FDC">
            <w:pPr>
              <w:pStyle w:val="TableFigures"/>
            </w:pPr>
          </w:p>
        </w:tc>
        <w:tc>
          <w:tcPr>
            <w:tcW w:w="708" w:type="dxa"/>
            <w:shd w:val="clear" w:color="auto" w:fill="auto"/>
            <w:vAlign w:val="bottom"/>
          </w:tcPr>
          <w:p w14:paraId="14594B37" w14:textId="1470215C" w:rsidR="00782FDC" w:rsidRPr="008239CB" w:rsidRDefault="00782FDC" w:rsidP="00BE37F4">
            <w:pPr>
              <w:pStyle w:val="TableFigures"/>
            </w:pPr>
          </w:p>
        </w:tc>
        <w:tc>
          <w:tcPr>
            <w:tcW w:w="1134" w:type="dxa"/>
            <w:shd w:val="clear" w:color="auto" w:fill="auto"/>
            <w:vAlign w:val="bottom"/>
          </w:tcPr>
          <w:p w14:paraId="40A74A62" w14:textId="7E0118D6" w:rsidR="00782FDC" w:rsidRPr="00B42CF9" w:rsidRDefault="00B42CF9" w:rsidP="00DC4F14">
            <w:pPr>
              <w:pStyle w:val="TableFiguresBracketsBold"/>
            </w:pPr>
            <w:r w:rsidRPr="00B42CF9">
              <w:t>(1)</w:t>
            </w:r>
          </w:p>
        </w:tc>
        <w:tc>
          <w:tcPr>
            <w:tcW w:w="1276" w:type="dxa"/>
            <w:vAlign w:val="bottom"/>
          </w:tcPr>
          <w:p w14:paraId="6CDD5D6D" w14:textId="2D0E3293" w:rsidR="00782FDC" w:rsidRPr="00B42CF9" w:rsidRDefault="00B42CF9" w:rsidP="00782FDC">
            <w:pPr>
              <w:pStyle w:val="TableFiguresBrackets"/>
            </w:pPr>
            <w:r w:rsidRPr="00B42CF9">
              <w:t>(1)</w:t>
            </w:r>
          </w:p>
        </w:tc>
      </w:tr>
      <w:tr w:rsidR="005F6D8A" w:rsidRPr="005F6D8A" w14:paraId="61B4CEF6" w14:textId="77777777" w:rsidTr="002A206B">
        <w:tc>
          <w:tcPr>
            <w:tcW w:w="6379" w:type="dxa"/>
            <w:tcBorders>
              <w:bottom w:val="single" w:sz="4" w:space="0" w:color="auto"/>
            </w:tcBorders>
            <w:shd w:val="clear" w:color="auto" w:fill="auto"/>
            <w:noWrap/>
            <w:vAlign w:val="bottom"/>
          </w:tcPr>
          <w:p w14:paraId="18DFFC1F" w14:textId="77777777" w:rsidR="00782FDC" w:rsidRPr="00B42CF9" w:rsidRDefault="00782FDC" w:rsidP="00782FDC">
            <w:pPr>
              <w:pStyle w:val="Tabletext"/>
              <w:rPr>
                <w:szCs w:val="20"/>
              </w:rPr>
            </w:pPr>
            <w:r w:rsidRPr="00B42CF9">
              <w:rPr>
                <w:szCs w:val="20"/>
              </w:rPr>
              <w:t>Other reserves</w:t>
            </w:r>
          </w:p>
        </w:tc>
        <w:tc>
          <w:tcPr>
            <w:tcW w:w="851" w:type="dxa"/>
            <w:tcBorders>
              <w:bottom w:val="single" w:sz="4" w:space="0" w:color="auto"/>
            </w:tcBorders>
            <w:shd w:val="clear" w:color="auto" w:fill="auto"/>
            <w:noWrap/>
            <w:vAlign w:val="bottom"/>
          </w:tcPr>
          <w:p w14:paraId="63D7E6C2" w14:textId="77777777" w:rsidR="00782FDC" w:rsidRPr="00B42CF9" w:rsidRDefault="00782FDC" w:rsidP="00782FDC">
            <w:pPr>
              <w:pStyle w:val="TableFigures"/>
            </w:pPr>
          </w:p>
        </w:tc>
        <w:tc>
          <w:tcPr>
            <w:tcW w:w="708" w:type="dxa"/>
            <w:tcBorders>
              <w:bottom w:val="single" w:sz="4" w:space="0" w:color="auto"/>
            </w:tcBorders>
            <w:shd w:val="clear" w:color="auto" w:fill="auto"/>
            <w:vAlign w:val="bottom"/>
          </w:tcPr>
          <w:p w14:paraId="6CBC94D6" w14:textId="2CBC7E2C" w:rsidR="00782FDC" w:rsidRPr="008239CB" w:rsidRDefault="00782FDC" w:rsidP="00BE37F4">
            <w:pPr>
              <w:pStyle w:val="TableFigures"/>
            </w:pPr>
          </w:p>
        </w:tc>
        <w:tc>
          <w:tcPr>
            <w:tcW w:w="1134" w:type="dxa"/>
            <w:tcBorders>
              <w:bottom w:val="single" w:sz="4" w:space="0" w:color="auto"/>
            </w:tcBorders>
            <w:shd w:val="clear" w:color="auto" w:fill="auto"/>
            <w:vAlign w:val="bottom"/>
          </w:tcPr>
          <w:p w14:paraId="19A6D952" w14:textId="219F001C" w:rsidR="00782FDC" w:rsidRPr="00B42CF9" w:rsidRDefault="00B42CF9" w:rsidP="00DC4F14">
            <w:pPr>
              <w:pStyle w:val="TableFiguresBold0"/>
            </w:pPr>
            <w:r w:rsidRPr="00B42CF9">
              <w:t>140</w:t>
            </w:r>
          </w:p>
        </w:tc>
        <w:tc>
          <w:tcPr>
            <w:tcW w:w="1276" w:type="dxa"/>
            <w:tcBorders>
              <w:bottom w:val="single" w:sz="4" w:space="0" w:color="auto"/>
            </w:tcBorders>
            <w:vAlign w:val="bottom"/>
          </w:tcPr>
          <w:p w14:paraId="30EBD0C4" w14:textId="551B4C4D" w:rsidR="00782FDC" w:rsidRPr="00B42CF9" w:rsidRDefault="00B42CF9" w:rsidP="00782FDC">
            <w:pPr>
              <w:pStyle w:val="TableFigures"/>
            </w:pPr>
            <w:r w:rsidRPr="00B42CF9">
              <w:t>253</w:t>
            </w:r>
          </w:p>
        </w:tc>
      </w:tr>
      <w:tr w:rsidR="005F6D8A" w:rsidRPr="005F6D8A" w14:paraId="4BF1E686" w14:textId="77777777" w:rsidTr="002A206B">
        <w:tc>
          <w:tcPr>
            <w:tcW w:w="6379" w:type="dxa"/>
            <w:tcBorders>
              <w:top w:val="single" w:sz="4" w:space="0" w:color="auto"/>
              <w:left w:val="single" w:sz="4" w:space="0" w:color="auto"/>
            </w:tcBorders>
            <w:shd w:val="clear" w:color="auto" w:fill="auto"/>
            <w:noWrap/>
            <w:vAlign w:val="bottom"/>
          </w:tcPr>
          <w:p w14:paraId="70749273" w14:textId="77777777" w:rsidR="00782FDC" w:rsidRPr="00B42CF9" w:rsidRDefault="00782FDC" w:rsidP="00782FDC">
            <w:pPr>
              <w:pStyle w:val="Tabletext"/>
              <w:rPr>
                <w:szCs w:val="20"/>
              </w:rPr>
            </w:pPr>
            <w:r w:rsidRPr="00B42CF9">
              <w:rPr>
                <w:szCs w:val="20"/>
              </w:rPr>
              <w:t xml:space="preserve">   Retained earnings brought forward</w:t>
            </w:r>
          </w:p>
        </w:tc>
        <w:tc>
          <w:tcPr>
            <w:tcW w:w="851" w:type="dxa"/>
            <w:tcBorders>
              <w:top w:val="single" w:sz="4" w:space="0" w:color="auto"/>
            </w:tcBorders>
            <w:shd w:val="clear" w:color="auto" w:fill="auto"/>
            <w:noWrap/>
            <w:vAlign w:val="bottom"/>
          </w:tcPr>
          <w:p w14:paraId="432332E0" w14:textId="77777777" w:rsidR="00782FDC" w:rsidRPr="00B42CF9" w:rsidRDefault="00782FDC" w:rsidP="00782FDC">
            <w:pPr>
              <w:pStyle w:val="TableFigures"/>
            </w:pPr>
          </w:p>
        </w:tc>
        <w:tc>
          <w:tcPr>
            <w:tcW w:w="708" w:type="dxa"/>
            <w:tcBorders>
              <w:top w:val="single" w:sz="4" w:space="0" w:color="auto"/>
            </w:tcBorders>
            <w:shd w:val="clear" w:color="auto" w:fill="auto"/>
            <w:vAlign w:val="bottom"/>
          </w:tcPr>
          <w:p w14:paraId="386380D6" w14:textId="77777777" w:rsidR="00782FDC" w:rsidRPr="008239CB" w:rsidRDefault="00782FDC" w:rsidP="00BE37F4">
            <w:pPr>
              <w:pStyle w:val="TableFigures"/>
            </w:pPr>
          </w:p>
        </w:tc>
        <w:tc>
          <w:tcPr>
            <w:tcW w:w="1134" w:type="dxa"/>
            <w:tcBorders>
              <w:top w:val="single" w:sz="4" w:space="0" w:color="auto"/>
            </w:tcBorders>
            <w:shd w:val="clear" w:color="auto" w:fill="auto"/>
            <w:vAlign w:val="bottom"/>
          </w:tcPr>
          <w:p w14:paraId="5C5253D4" w14:textId="5B421F13" w:rsidR="00782FDC" w:rsidRPr="00B42CF9" w:rsidRDefault="00B42CF9" w:rsidP="00DC4F14">
            <w:pPr>
              <w:pStyle w:val="TableFiguresBold0"/>
            </w:pPr>
            <w:r w:rsidRPr="00B42CF9">
              <w:t>5,897</w:t>
            </w:r>
          </w:p>
        </w:tc>
        <w:tc>
          <w:tcPr>
            <w:tcW w:w="1276" w:type="dxa"/>
            <w:tcBorders>
              <w:top w:val="single" w:sz="4" w:space="0" w:color="auto"/>
              <w:right w:val="single" w:sz="4" w:space="0" w:color="auto"/>
            </w:tcBorders>
            <w:vAlign w:val="bottom"/>
          </w:tcPr>
          <w:p w14:paraId="5D66CDCC" w14:textId="05855CD4" w:rsidR="00782FDC" w:rsidRPr="00B42CF9" w:rsidRDefault="00B42CF9" w:rsidP="00782FDC">
            <w:pPr>
              <w:pStyle w:val="TableFigures"/>
            </w:pPr>
            <w:r w:rsidRPr="00B42CF9">
              <w:t>4,703</w:t>
            </w:r>
          </w:p>
        </w:tc>
      </w:tr>
      <w:tr w:rsidR="005F6D8A" w:rsidRPr="005F6D8A" w14:paraId="4F6A9738" w14:textId="77777777" w:rsidTr="002A206B">
        <w:tc>
          <w:tcPr>
            <w:tcW w:w="6379" w:type="dxa"/>
            <w:tcBorders>
              <w:left w:val="single" w:sz="4" w:space="0" w:color="auto"/>
            </w:tcBorders>
            <w:shd w:val="clear" w:color="auto" w:fill="auto"/>
            <w:noWrap/>
            <w:vAlign w:val="bottom"/>
          </w:tcPr>
          <w:p w14:paraId="1A256D3C" w14:textId="77777777" w:rsidR="00782FDC" w:rsidRPr="00B42CF9" w:rsidRDefault="00782FDC" w:rsidP="00782FDC">
            <w:pPr>
              <w:pStyle w:val="Tabletext"/>
              <w:rPr>
                <w:szCs w:val="20"/>
              </w:rPr>
            </w:pPr>
            <w:r w:rsidRPr="00B42CF9">
              <w:rPr>
                <w:szCs w:val="20"/>
              </w:rPr>
              <w:t xml:space="preserve">   Profit for the year attributable to owners of the parent</w:t>
            </w:r>
          </w:p>
        </w:tc>
        <w:tc>
          <w:tcPr>
            <w:tcW w:w="851" w:type="dxa"/>
            <w:shd w:val="clear" w:color="auto" w:fill="auto"/>
            <w:noWrap/>
            <w:vAlign w:val="bottom"/>
          </w:tcPr>
          <w:p w14:paraId="28DC665F" w14:textId="77777777" w:rsidR="00782FDC" w:rsidRPr="00B42CF9" w:rsidRDefault="00782FDC" w:rsidP="00782FDC">
            <w:pPr>
              <w:pStyle w:val="TableFigures"/>
            </w:pPr>
          </w:p>
        </w:tc>
        <w:tc>
          <w:tcPr>
            <w:tcW w:w="708" w:type="dxa"/>
            <w:shd w:val="clear" w:color="auto" w:fill="auto"/>
            <w:vAlign w:val="bottom"/>
          </w:tcPr>
          <w:p w14:paraId="2A50209B" w14:textId="77777777" w:rsidR="00782FDC" w:rsidRPr="008239CB" w:rsidRDefault="00782FDC" w:rsidP="00BE37F4">
            <w:pPr>
              <w:pStyle w:val="TableFigures"/>
            </w:pPr>
          </w:p>
        </w:tc>
        <w:tc>
          <w:tcPr>
            <w:tcW w:w="1134" w:type="dxa"/>
            <w:shd w:val="clear" w:color="auto" w:fill="auto"/>
            <w:vAlign w:val="bottom"/>
          </w:tcPr>
          <w:p w14:paraId="5EFFA8D5" w14:textId="7976123C" w:rsidR="00782FDC" w:rsidRPr="00B42CF9" w:rsidRDefault="00B42CF9" w:rsidP="00DC4F14">
            <w:pPr>
              <w:pStyle w:val="TableFiguresBold0"/>
            </w:pPr>
            <w:r w:rsidRPr="00B42CF9">
              <w:t>4,060</w:t>
            </w:r>
          </w:p>
        </w:tc>
        <w:tc>
          <w:tcPr>
            <w:tcW w:w="1276" w:type="dxa"/>
            <w:tcBorders>
              <w:right w:val="single" w:sz="4" w:space="0" w:color="auto"/>
            </w:tcBorders>
            <w:vAlign w:val="bottom"/>
          </w:tcPr>
          <w:p w14:paraId="10FCDB02" w14:textId="39C50A7B" w:rsidR="00782FDC" w:rsidRPr="00B42CF9" w:rsidRDefault="00B42CF9" w:rsidP="00782FDC">
            <w:pPr>
              <w:pStyle w:val="TableFigures"/>
            </w:pPr>
            <w:r w:rsidRPr="00B42CF9">
              <w:t>1,427</w:t>
            </w:r>
          </w:p>
        </w:tc>
      </w:tr>
      <w:tr w:rsidR="005F6D8A" w:rsidRPr="005F6D8A" w14:paraId="494B54AB" w14:textId="77777777" w:rsidTr="002A206B">
        <w:tc>
          <w:tcPr>
            <w:tcW w:w="6379" w:type="dxa"/>
            <w:tcBorders>
              <w:left w:val="single" w:sz="4" w:space="0" w:color="auto"/>
              <w:bottom w:val="single" w:sz="4" w:space="0" w:color="auto"/>
            </w:tcBorders>
            <w:shd w:val="clear" w:color="auto" w:fill="auto"/>
            <w:noWrap/>
            <w:vAlign w:val="bottom"/>
          </w:tcPr>
          <w:p w14:paraId="473821B9" w14:textId="77777777" w:rsidR="00782FDC" w:rsidRPr="00B42CF9" w:rsidRDefault="00782FDC" w:rsidP="00782FDC">
            <w:pPr>
              <w:pStyle w:val="Tabletext"/>
              <w:rPr>
                <w:szCs w:val="20"/>
              </w:rPr>
            </w:pPr>
            <w:r w:rsidRPr="00B42CF9">
              <w:rPr>
                <w:szCs w:val="20"/>
              </w:rPr>
              <w:t xml:space="preserve">   Other movements</w:t>
            </w:r>
          </w:p>
        </w:tc>
        <w:tc>
          <w:tcPr>
            <w:tcW w:w="851" w:type="dxa"/>
            <w:tcBorders>
              <w:bottom w:val="single" w:sz="4" w:space="0" w:color="auto"/>
            </w:tcBorders>
            <w:shd w:val="clear" w:color="auto" w:fill="auto"/>
            <w:noWrap/>
            <w:vAlign w:val="bottom"/>
          </w:tcPr>
          <w:p w14:paraId="4F72A301" w14:textId="77777777" w:rsidR="00782FDC" w:rsidRPr="00B42CF9" w:rsidRDefault="00782FDC" w:rsidP="00782FDC">
            <w:pPr>
              <w:pStyle w:val="TableFigures"/>
            </w:pPr>
          </w:p>
        </w:tc>
        <w:tc>
          <w:tcPr>
            <w:tcW w:w="708" w:type="dxa"/>
            <w:tcBorders>
              <w:bottom w:val="single" w:sz="4" w:space="0" w:color="auto"/>
            </w:tcBorders>
            <w:shd w:val="clear" w:color="auto" w:fill="auto"/>
            <w:vAlign w:val="bottom"/>
          </w:tcPr>
          <w:p w14:paraId="7BE42D4F" w14:textId="77777777" w:rsidR="00782FDC" w:rsidRPr="008239CB" w:rsidRDefault="00782FDC" w:rsidP="00BE37F4">
            <w:pPr>
              <w:pStyle w:val="TableFigures"/>
            </w:pPr>
          </w:p>
        </w:tc>
        <w:tc>
          <w:tcPr>
            <w:tcW w:w="1134" w:type="dxa"/>
            <w:tcBorders>
              <w:bottom w:val="single" w:sz="4" w:space="0" w:color="auto"/>
            </w:tcBorders>
            <w:shd w:val="clear" w:color="auto" w:fill="auto"/>
            <w:vAlign w:val="bottom"/>
          </w:tcPr>
          <w:p w14:paraId="7BAB28A1" w14:textId="54FBE779" w:rsidR="00782FDC" w:rsidRPr="00B42CF9" w:rsidRDefault="00B42CF9" w:rsidP="00782FDC">
            <w:pPr>
              <w:pStyle w:val="TableFiguresBracketsBold"/>
            </w:pPr>
            <w:r w:rsidRPr="00B42CF9">
              <w:t>(265)</w:t>
            </w:r>
          </w:p>
        </w:tc>
        <w:tc>
          <w:tcPr>
            <w:tcW w:w="1276" w:type="dxa"/>
            <w:tcBorders>
              <w:bottom w:val="single" w:sz="4" w:space="0" w:color="auto"/>
              <w:right w:val="single" w:sz="4" w:space="0" w:color="auto"/>
            </w:tcBorders>
            <w:vAlign w:val="bottom"/>
          </w:tcPr>
          <w:p w14:paraId="7042AF48" w14:textId="54BBF8C2" w:rsidR="00782FDC" w:rsidRPr="00B42CF9" w:rsidRDefault="00B42CF9" w:rsidP="00782FDC">
            <w:pPr>
              <w:pStyle w:val="TableFiguresBrackets"/>
            </w:pPr>
            <w:r w:rsidRPr="00B42CF9">
              <w:t>(233)</w:t>
            </w:r>
          </w:p>
        </w:tc>
      </w:tr>
      <w:tr w:rsidR="005F6D8A" w:rsidRPr="005F6D8A" w14:paraId="67478F84" w14:textId="77777777" w:rsidTr="002A206B">
        <w:tc>
          <w:tcPr>
            <w:tcW w:w="6379" w:type="dxa"/>
            <w:tcBorders>
              <w:top w:val="single" w:sz="4" w:space="0" w:color="auto"/>
              <w:bottom w:val="single" w:sz="4" w:space="0" w:color="808080" w:themeColor="background1" w:themeShade="80"/>
            </w:tcBorders>
            <w:shd w:val="clear" w:color="auto" w:fill="auto"/>
            <w:noWrap/>
            <w:vAlign w:val="bottom"/>
          </w:tcPr>
          <w:p w14:paraId="69FBF32B" w14:textId="77777777" w:rsidR="00782FDC" w:rsidRPr="00B42CF9" w:rsidRDefault="00782FDC" w:rsidP="00782FDC">
            <w:pPr>
              <w:pStyle w:val="Tabletext"/>
              <w:rPr>
                <w:szCs w:val="20"/>
              </w:rPr>
            </w:pPr>
            <w:r w:rsidRPr="00B42CF9">
              <w:rPr>
                <w:szCs w:val="20"/>
              </w:rPr>
              <w:t>Retained earnings</w:t>
            </w:r>
          </w:p>
        </w:tc>
        <w:tc>
          <w:tcPr>
            <w:tcW w:w="851" w:type="dxa"/>
            <w:tcBorders>
              <w:top w:val="single" w:sz="4" w:space="0" w:color="auto"/>
              <w:bottom w:val="single" w:sz="4" w:space="0" w:color="808080" w:themeColor="background1" w:themeShade="80"/>
            </w:tcBorders>
            <w:shd w:val="clear" w:color="auto" w:fill="auto"/>
            <w:noWrap/>
            <w:vAlign w:val="bottom"/>
          </w:tcPr>
          <w:p w14:paraId="01ACAAAB" w14:textId="77777777" w:rsidR="00782FDC" w:rsidRPr="00B42CF9" w:rsidRDefault="00782FDC" w:rsidP="00782FDC">
            <w:pPr>
              <w:pStyle w:val="TableFigures"/>
            </w:pPr>
          </w:p>
        </w:tc>
        <w:tc>
          <w:tcPr>
            <w:tcW w:w="708" w:type="dxa"/>
            <w:tcBorders>
              <w:top w:val="single" w:sz="4" w:space="0" w:color="auto"/>
              <w:bottom w:val="single" w:sz="4" w:space="0" w:color="808080" w:themeColor="background1" w:themeShade="80"/>
            </w:tcBorders>
            <w:shd w:val="clear" w:color="auto" w:fill="auto"/>
            <w:vAlign w:val="bottom"/>
          </w:tcPr>
          <w:p w14:paraId="581C00C4" w14:textId="77777777" w:rsidR="00782FDC" w:rsidRPr="008239CB" w:rsidRDefault="00782FDC" w:rsidP="00BE37F4">
            <w:pPr>
              <w:pStyle w:val="TableFigures"/>
            </w:pPr>
          </w:p>
        </w:tc>
        <w:tc>
          <w:tcPr>
            <w:tcW w:w="1134" w:type="dxa"/>
            <w:tcBorders>
              <w:top w:val="single" w:sz="4" w:space="0" w:color="auto"/>
              <w:bottom w:val="single" w:sz="4" w:space="0" w:color="808080" w:themeColor="background1" w:themeShade="80"/>
            </w:tcBorders>
            <w:shd w:val="clear" w:color="auto" w:fill="auto"/>
            <w:vAlign w:val="bottom"/>
          </w:tcPr>
          <w:p w14:paraId="45564435" w14:textId="6298CFD8" w:rsidR="00782FDC" w:rsidRPr="00B42CF9" w:rsidRDefault="00B42CF9" w:rsidP="00DC4F14">
            <w:pPr>
              <w:pStyle w:val="TableFiguresBold0"/>
            </w:pPr>
            <w:r w:rsidRPr="00B42CF9">
              <w:t>9,692</w:t>
            </w:r>
          </w:p>
        </w:tc>
        <w:tc>
          <w:tcPr>
            <w:tcW w:w="1276" w:type="dxa"/>
            <w:tcBorders>
              <w:top w:val="single" w:sz="4" w:space="0" w:color="auto"/>
              <w:bottom w:val="single" w:sz="4" w:space="0" w:color="808080" w:themeColor="background1" w:themeShade="80"/>
            </w:tcBorders>
            <w:vAlign w:val="bottom"/>
          </w:tcPr>
          <w:p w14:paraId="19839067" w14:textId="0689E16B" w:rsidR="00782FDC" w:rsidRPr="00B42CF9" w:rsidRDefault="00B42CF9" w:rsidP="00DC4F14">
            <w:pPr>
              <w:pStyle w:val="TableFigures"/>
            </w:pPr>
            <w:r w:rsidRPr="00B42CF9">
              <w:t>5,897</w:t>
            </w:r>
          </w:p>
        </w:tc>
      </w:tr>
      <w:tr w:rsidR="005F6D8A" w:rsidRPr="005F6D8A" w14:paraId="01A3DF66" w14:textId="77777777" w:rsidTr="002A206B">
        <w:tc>
          <w:tcPr>
            <w:tcW w:w="6379" w:type="dxa"/>
            <w:tcBorders>
              <w:top w:val="single" w:sz="4" w:space="0" w:color="808080" w:themeColor="background1" w:themeShade="80"/>
            </w:tcBorders>
            <w:shd w:val="clear" w:color="auto" w:fill="auto"/>
            <w:noWrap/>
            <w:vAlign w:val="bottom"/>
          </w:tcPr>
          <w:p w14:paraId="3F599B76" w14:textId="77777777" w:rsidR="00782FDC" w:rsidRPr="00B42CF9" w:rsidRDefault="00782FDC" w:rsidP="00782FDC">
            <w:pPr>
              <w:pStyle w:val="TabletextBold"/>
              <w:rPr>
                <w:szCs w:val="20"/>
              </w:rPr>
            </w:pPr>
            <w:r w:rsidRPr="00B42CF9">
              <w:rPr>
                <w:szCs w:val="20"/>
              </w:rPr>
              <w:t>Total equity attributable to owners of the parent</w:t>
            </w:r>
          </w:p>
        </w:tc>
        <w:tc>
          <w:tcPr>
            <w:tcW w:w="851" w:type="dxa"/>
            <w:tcBorders>
              <w:top w:val="single" w:sz="4" w:space="0" w:color="808080" w:themeColor="background1" w:themeShade="80"/>
            </w:tcBorders>
            <w:shd w:val="clear" w:color="auto" w:fill="auto"/>
            <w:noWrap/>
            <w:vAlign w:val="bottom"/>
          </w:tcPr>
          <w:p w14:paraId="6BADD5E8" w14:textId="77777777" w:rsidR="00782FDC" w:rsidRPr="00B42CF9" w:rsidRDefault="00782FDC" w:rsidP="00782FDC">
            <w:pPr>
              <w:pStyle w:val="TableFigures"/>
            </w:pPr>
          </w:p>
        </w:tc>
        <w:tc>
          <w:tcPr>
            <w:tcW w:w="708" w:type="dxa"/>
            <w:tcBorders>
              <w:top w:val="single" w:sz="4" w:space="0" w:color="808080" w:themeColor="background1" w:themeShade="80"/>
            </w:tcBorders>
            <w:shd w:val="clear" w:color="auto" w:fill="auto"/>
            <w:vAlign w:val="bottom"/>
          </w:tcPr>
          <w:p w14:paraId="06F40F89" w14:textId="77777777" w:rsidR="00782FDC" w:rsidRPr="008239CB" w:rsidRDefault="00782FDC" w:rsidP="00BE37F4">
            <w:pPr>
              <w:pStyle w:val="TableFigures"/>
            </w:pPr>
          </w:p>
        </w:tc>
        <w:tc>
          <w:tcPr>
            <w:tcW w:w="1134" w:type="dxa"/>
            <w:tcBorders>
              <w:top w:val="single" w:sz="4" w:space="0" w:color="808080" w:themeColor="background1" w:themeShade="80"/>
            </w:tcBorders>
            <w:shd w:val="clear" w:color="auto" w:fill="auto"/>
            <w:noWrap/>
            <w:vAlign w:val="bottom"/>
          </w:tcPr>
          <w:p w14:paraId="5C049DC2" w14:textId="7647DD95" w:rsidR="00782FDC" w:rsidRPr="00B42CF9" w:rsidRDefault="00B42CF9" w:rsidP="00DC4F14">
            <w:pPr>
              <w:pStyle w:val="TableFiguresBold0"/>
            </w:pPr>
            <w:r w:rsidRPr="00B42CF9">
              <w:t>13,436</w:t>
            </w:r>
          </w:p>
        </w:tc>
        <w:tc>
          <w:tcPr>
            <w:tcW w:w="1276" w:type="dxa"/>
            <w:tcBorders>
              <w:top w:val="single" w:sz="4" w:space="0" w:color="808080" w:themeColor="background1" w:themeShade="80"/>
            </w:tcBorders>
            <w:noWrap/>
            <w:vAlign w:val="bottom"/>
          </w:tcPr>
          <w:p w14:paraId="38251503" w14:textId="55D14606" w:rsidR="00782FDC" w:rsidRPr="00B42CF9" w:rsidRDefault="00B42CF9" w:rsidP="00DC4F14">
            <w:pPr>
              <w:pStyle w:val="TableFigures"/>
            </w:pPr>
            <w:r w:rsidRPr="00B42CF9">
              <w:t>9,659</w:t>
            </w:r>
          </w:p>
        </w:tc>
      </w:tr>
      <w:tr w:rsidR="005F6D8A" w:rsidRPr="005F6D8A" w14:paraId="0831E8C8" w14:textId="77777777" w:rsidTr="002A206B">
        <w:tc>
          <w:tcPr>
            <w:tcW w:w="6379" w:type="dxa"/>
            <w:tcBorders>
              <w:bottom w:val="single" w:sz="4" w:space="0" w:color="808080" w:themeColor="background1" w:themeShade="80"/>
            </w:tcBorders>
            <w:shd w:val="clear" w:color="auto" w:fill="auto"/>
            <w:noWrap/>
            <w:vAlign w:val="bottom"/>
          </w:tcPr>
          <w:p w14:paraId="06BDEE3A" w14:textId="77777777" w:rsidR="00782FDC" w:rsidRPr="00B42CF9" w:rsidRDefault="00782FDC" w:rsidP="00782FDC">
            <w:pPr>
              <w:pStyle w:val="Tabletext"/>
              <w:rPr>
                <w:szCs w:val="20"/>
              </w:rPr>
            </w:pPr>
            <w:r w:rsidRPr="00B42CF9">
              <w:rPr>
                <w:szCs w:val="20"/>
              </w:rPr>
              <w:t>Non-controlling interests</w:t>
            </w:r>
          </w:p>
        </w:tc>
        <w:tc>
          <w:tcPr>
            <w:tcW w:w="851" w:type="dxa"/>
            <w:tcBorders>
              <w:bottom w:val="single" w:sz="4" w:space="0" w:color="808080" w:themeColor="background1" w:themeShade="80"/>
            </w:tcBorders>
            <w:shd w:val="clear" w:color="auto" w:fill="auto"/>
            <w:noWrap/>
            <w:vAlign w:val="bottom"/>
          </w:tcPr>
          <w:p w14:paraId="3F68D3F4" w14:textId="77777777" w:rsidR="00782FDC" w:rsidRPr="00B42CF9" w:rsidRDefault="00782FDC" w:rsidP="00782FDC">
            <w:pPr>
              <w:pStyle w:val="TableFigures"/>
            </w:pPr>
          </w:p>
        </w:tc>
        <w:tc>
          <w:tcPr>
            <w:tcW w:w="708" w:type="dxa"/>
            <w:tcBorders>
              <w:bottom w:val="single" w:sz="4" w:space="0" w:color="808080" w:themeColor="background1" w:themeShade="80"/>
            </w:tcBorders>
            <w:shd w:val="clear" w:color="auto" w:fill="auto"/>
            <w:vAlign w:val="bottom"/>
          </w:tcPr>
          <w:p w14:paraId="3398156A" w14:textId="77777777" w:rsidR="00782FDC" w:rsidRPr="008239CB" w:rsidRDefault="00782FDC" w:rsidP="00BE37F4">
            <w:pPr>
              <w:pStyle w:val="TableFigures"/>
            </w:pPr>
          </w:p>
        </w:tc>
        <w:tc>
          <w:tcPr>
            <w:tcW w:w="1134" w:type="dxa"/>
            <w:tcBorders>
              <w:bottom w:val="single" w:sz="4" w:space="0" w:color="808080" w:themeColor="background1" w:themeShade="80"/>
            </w:tcBorders>
            <w:shd w:val="clear" w:color="auto" w:fill="auto"/>
            <w:vAlign w:val="bottom"/>
          </w:tcPr>
          <w:p w14:paraId="6C7A5687" w14:textId="172554FF" w:rsidR="00782FDC" w:rsidRPr="00B42CF9" w:rsidRDefault="00B42CF9" w:rsidP="00DC4F14">
            <w:pPr>
              <w:pStyle w:val="TableFiguresBold0"/>
            </w:pPr>
            <w:r w:rsidRPr="00B42CF9">
              <w:t>–</w:t>
            </w:r>
          </w:p>
        </w:tc>
        <w:tc>
          <w:tcPr>
            <w:tcW w:w="1276" w:type="dxa"/>
            <w:tcBorders>
              <w:bottom w:val="single" w:sz="4" w:space="0" w:color="808080" w:themeColor="background1" w:themeShade="80"/>
            </w:tcBorders>
            <w:vAlign w:val="bottom"/>
          </w:tcPr>
          <w:p w14:paraId="2C565CC6" w14:textId="23EE318C" w:rsidR="00782FDC" w:rsidRPr="00B42CF9" w:rsidRDefault="00B42CF9" w:rsidP="00DC4F14">
            <w:pPr>
              <w:pStyle w:val="TableFigures"/>
            </w:pPr>
            <w:r w:rsidRPr="00B42CF9">
              <w:t>12</w:t>
            </w:r>
          </w:p>
        </w:tc>
      </w:tr>
      <w:tr w:rsidR="005F6D8A" w:rsidRPr="005F6D8A" w14:paraId="760EF226" w14:textId="77777777" w:rsidTr="002A206B">
        <w:tc>
          <w:tcPr>
            <w:tcW w:w="6379" w:type="dxa"/>
            <w:tcBorders>
              <w:top w:val="single" w:sz="4" w:space="0" w:color="808080" w:themeColor="background1" w:themeShade="80"/>
              <w:bottom w:val="single" w:sz="4" w:space="0" w:color="808080" w:themeColor="background1" w:themeShade="80"/>
            </w:tcBorders>
            <w:shd w:val="clear" w:color="auto" w:fill="auto"/>
            <w:noWrap/>
            <w:vAlign w:val="bottom"/>
          </w:tcPr>
          <w:p w14:paraId="7DBBF3C1" w14:textId="77777777" w:rsidR="00782FDC" w:rsidRPr="00B42CF9" w:rsidRDefault="00782FDC" w:rsidP="00782FDC">
            <w:pPr>
              <w:pStyle w:val="TabletextBold"/>
              <w:rPr>
                <w:szCs w:val="20"/>
              </w:rPr>
            </w:pPr>
            <w:r w:rsidRPr="00B42CF9">
              <w:rPr>
                <w:szCs w:val="20"/>
              </w:rPr>
              <w:t>Total equity</w:t>
            </w:r>
          </w:p>
        </w:tc>
        <w:tc>
          <w:tcPr>
            <w:tcW w:w="851" w:type="dxa"/>
            <w:tcBorders>
              <w:top w:val="single" w:sz="4" w:space="0" w:color="808080" w:themeColor="background1" w:themeShade="80"/>
              <w:bottom w:val="single" w:sz="4" w:space="0" w:color="808080" w:themeColor="background1" w:themeShade="80"/>
            </w:tcBorders>
            <w:shd w:val="clear" w:color="auto" w:fill="auto"/>
            <w:noWrap/>
            <w:vAlign w:val="bottom"/>
          </w:tcPr>
          <w:p w14:paraId="2E832EAC" w14:textId="77777777" w:rsidR="00782FDC" w:rsidRPr="00B42CF9" w:rsidRDefault="00782FDC" w:rsidP="00782FDC">
            <w:pPr>
              <w:pStyle w:val="TableFigures"/>
            </w:pPr>
          </w:p>
        </w:tc>
        <w:tc>
          <w:tcPr>
            <w:tcW w:w="708" w:type="dxa"/>
            <w:tcBorders>
              <w:top w:val="single" w:sz="4" w:space="0" w:color="808080" w:themeColor="background1" w:themeShade="80"/>
              <w:bottom w:val="single" w:sz="4" w:space="0" w:color="808080" w:themeColor="background1" w:themeShade="80"/>
            </w:tcBorders>
            <w:shd w:val="clear" w:color="auto" w:fill="auto"/>
            <w:vAlign w:val="bottom"/>
          </w:tcPr>
          <w:p w14:paraId="79A24430" w14:textId="77777777" w:rsidR="00782FDC" w:rsidRPr="008239CB" w:rsidRDefault="00782FDC" w:rsidP="00BE37F4">
            <w:pPr>
              <w:pStyle w:val="TableFigures"/>
            </w:pPr>
          </w:p>
        </w:tc>
        <w:tc>
          <w:tcPr>
            <w:tcW w:w="1134" w:type="dxa"/>
            <w:tcBorders>
              <w:top w:val="single" w:sz="4" w:space="0" w:color="808080" w:themeColor="background1" w:themeShade="80"/>
              <w:bottom w:val="single" w:sz="4" w:space="0" w:color="808080" w:themeColor="background1" w:themeShade="80"/>
            </w:tcBorders>
            <w:shd w:val="clear" w:color="auto" w:fill="auto"/>
            <w:noWrap/>
            <w:vAlign w:val="bottom"/>
          </w:tcPr>
          <w:p w14:paraId="611EDF1F" w14:textId="04CB35E8" w:rsidR="00782FDC" w:rsidRPr="00B42CF9" w:rsidRDefault="00B42CF9" w:rsidP="00DC4F14">
            <w:pPr>
              <w:pStyle w:val="TableFiguresBold0"/>
            </w:pPr>
            <w:r w:rsidRPr="00B42CF9">
              <w:t>13,436</w:t>
            </w:r>
          </w:p>
        </w:tc>
        <w:tc>
          <w:tcPr>
            <w:tcW w:w="1276" w:type="dxa"/>
            <w:tcBorders>
              <w:top w:val="single" w:sz="4" w:space="0" w:color="808080" w:themeColor="background1" w:themeShade="80"/>
              <w:bottom w:val="single" w:sz="4" w:space="0" w:color="808080" w:themeColor="background1" w:themeShade="80"/>
            </w:tcBorders>
            <w:shd w:val="clear" w:color="auto" w:fill="auto"/>
            <w:noWrap/>
            <w:vAlign w:val="bottom"/>
          </w:tcPr>
          <w:p w14:paraId="78628180" w14:textId="7151EC9C" w:rsidR="00782FDC" w:rsidRPr="00B42CF9" w:rsidRDefault="00B42CF9" w:rsidP="00DC4F14">
            <w:pPr>
              <w:pStyle w:val="TableFigures"/>
            </w:pPr>
            <w:r w:rsidRPr="00B42CF9">
              <w:t>9,671</w:t>
            </w:r>
          </w:p>
        </w:tc>
      </w:tr>
      <w:tr w:rsidR="005F6D8A" w:rsidRPr="005F6D8A" w14:paraId="72AA88FC" w14:textId="77777777" w:rsidTr="002A206B">
        <w:tc>
          <w:tcPr>
            <w:tcW w:w="6379" w:type="dxa"/>
            <w:tcBorders>
              <w:top w:val="single" w:sz="4" w:space="0" w:color="808080" w:themeColor="background1" w:themeShade="80"/>
            </w:tcBorders>
            <w:shd w:val="clear" w:color="auto" w:fill="auto"/>
            <w:noWrap/>
            <w:vAlign w:val="bottom"/>
          </w:tcPr>
          <w:p w14:paraId="366C9650" w14:textId="77777777" w:rsidR="00782FDC" w:rsidRPr="00B42CF9" w:rsidRDefault="00782FDC" w:rsidP="00782FDC">
            <w:pPr>
              <w:pStyle w:val="TabletextBold"/>
              <w:rPr>
                <w:szCs w:val="20"/>
                <w:vertAlign w:val="superscript"/>
              </w:rPr>
            </w:pPr>
            <w:r w:rsidRPr="00B42CF9">
              <w:rPr>
                <w:szCs w:val="20"/>
              </w:rPr>
              <w:t>Net assets per ordinary share (pence)</w:t>
            </w:r>
          </w:p>
        </w:tc>
        <w:tc>
          <w:tcPr>
            <w:tcW w:w="851" w:type="dxa"/>
            <w:tcBorders>
              <w:top w:val="single" w:sz="4" w:space="0" w:color="808080" w:themeColor="background1" w:themeShade="80"/>
            </w:tcBorders>
            <w:shd w:val="clear" w:color="auto" w:fill="auto"/>
            <w:noWrap/>
            <w:vAlign w:val="bottom"/>
          </w:tcPr>
          <w:p w14:paraId="7ECF544C" w14:textId="77777777" w:rsidR="00782FDC" w:rsidRPr="00B42CF9" w:rsidRDefault="00782FDC" w:rsidP="00782FDC">
            <w:pPr>
              <w:pStyle w:val="TableFigures"/>
            </w:pPr>
          </w:p>
        </w:tc>
        <w:tc>
          <w:tcPr>
            <w:tcW w:w="708" w:type="dxa"/>
            <w:tcBorders>
              <w:top w:val="single" w:sz="4" w:space="0" w:color="808080" w:themeColor="background1" w:themeShade="80"/>
            </w:tcBorders>
            <w:shd w:val="clear" w:color="auto" w:fill="auto"/>
            <w:vAlign w:val="bottom"/>
          </w:tcPr>
          <w:p w14:paraId="72E1F49F" w14:textId="77777777" w:rsidR="00782FDC" w:rsidRPr="008239CB" w:rsidRDefault="00782FDC" w:rsidP="00BE37F4">
            <w:pPr>
              <w:pStyle w:val="TableFigures"/>
            </w:pPr>
          </w:p>
        </w:tc>
        <w:tc>
          <w:tcPr>
            <w:tcW w:w="1134" w:type="dxa"/>
            <w:tcBorders>
              <w:top w:val="single" w:sz="4" w:space="0" w:color="808080" w:themeColor="background1" w:themeShade="80"/>
            </w:tcBorders>
            <w:shd w:val="clear" w:color="auto" w:fill="auto"/>
            <w:noWrap/>
            <w:vAlign w:val="bottom"/>
          </w:tcPr>
          <w:p w14:paraId="61727245" w14:textId="77777777" w:rsidR="00782FDC" w:rsidRPr="00B42CF9" w:rsidRDefault="00782FDC" w:rsidP="00DC4F14">
            <w:pPr>
              <w:pStyle w:val="TableFiguresBold0"/>
            </w:pPr>
          </w:p>
        </w:tc>
        <w:tc>
          <w:tcPr>
            <w:tcW w:w="1276" w:type="dxa"/>
            <w:tcBorders>
              <w:top w:val="single" w:sz="4" w:space="0" w:color="808080" w:themeColor="background1" w:themeShade="80"/>
            </w:tcBorders>
            <w:shd w:val="clear" w:color="auto" w:fill="auto"/>
            <w:noWrap/>
            <w:vAlign w:val="bottom"/>
          </w:tcPr>
          <w:p w14:paraId="7E969A4D" w14:textId="77777777" w:rsidR="00782FDC" w:rsidRPr="00B42CF9" w:rsidRDefault="00782FDC" w:rsidP="00DC4F14">
            <w:pPr>
              <w:pStyle w:val="TableFigures"/>
            </w:pPr>
          </w:p>
        </w:tc>
      </w:tr>
      <w:tr w:rsidR="005F6D8A" w:rsidRPr="005F6D8A" w14:paraId="6D954403" w14:textId="77777777" w:rsidTr="002A206B">
        <w:tc>
          <w:tcPr>
            <w:tcW w:w="6379" w:type="dxa"/>
            <w:shd w:val="clear" w:color="auto" w:fill="auto"/>
            <w:noWrap/>
            <w:vAlign w:val="bottom"/>
          </w:tcPr>
          <w:p w14:paraId="1356260F" w14:textId="77777777" w:rsidR="00782FDC" w:rsidRPr="00B42CF9" w:rsidRDefault="00782FDC" w:rsidP="00782FDC">
            <w:pPr>
              <w:pStyle w:val="Tabletext"/>
              <w:rPr>
                <w:szCs w:val="20"/>
              </w:rPr>
            </w:pPr>
            <w:r w:rsidRPr="00B42CF9">
              <w:rPr>
                <w:szCs w:val="20"/>
              </w:rPr>
              <w:t xml:space="preserve">Basic </w:t>
            </w:r>
          </w:p>
        </w:tc>
        <w:tc>
          <w:tcPr>
            <w:tcW w:w="851" w:type="dxa"/>
            <w:shd w:val="clear" w:color="auto" w:fill="auto"/>
            <w:noWrap/>
            <w:vAlign w:val="bottom"/>
          </w:tcPr>
          <w:p w14:paraId="6AFEC053" w14:textId="77777777" w:rsidR="00782FDC" w:rsidRPr="00B42CF9" w:rsidRDefault="00782FDC" w:rsidP="00782FDC">
            <w:pPr>
              <w:pStyle w:val="TableFigures"/>
            </w:pPr>
          </w:p>
        </w:tc>
        <w:tc>
          <w:tcPr>
            <w:tcW w:w="708" w:type="dxa"/>
            <w:shd w:val="clear" w:color="auto" w:fill="auto"/>
            <w:vAlign w:val="bottom"/>
          </w:tcPr>
          <w:p w14:paraId="4A2516CE" w14:textId="1A16A43B" w:rsidR="00782FDC" w:rsidRPr="008239CB" w:rsidRDefault="00782FDC" w:rsidP="00BE37F4">
            <w:pPr>
              <w:pStyle w:val="TableFigures"/>
            </w:pPr>
            <w:r w:rsidRPr="008239CB">
              <w:t>11</w:t>
            </w:r>
          </w:p>
        </w:tc>
        <w:tc>
          <w:tcPr>
            <w:tcW w:w="1134" w:type="dxa"/>
            <w:shd w:val="clear" w:color="auto" w:fill="auto"/>
            <w:noWrap/>
            <w:vAlign w:val="bottom"/>
          </w:tcPr>
          <w:p w14:paraId="0BE8B0FC" w14:textId="0F66640C" w:rsidR="00782FDC" w:rsidRPr="00B42CF9" w:rsidRDefault="00B42CF9" w:rsidP="00DC4F14">
            <w:pPr>
              <w:pStyle w:val="TableFiguresBold0"/>
            </w:pPr>
            <w:r w:rsidRPr="00B42CF9">
              <w:t>1,118</w:t>
            </w:r>
          </w:p>
        </w:tc>
        <w:tc>
          <w:tcPr>
            <w:tcW w:w="1276" w:type="dxa"/>
            <w:noWrap/>
            <w:vAlign w:val="bottom"/>
          </w:tcPr>
          <w:p w14:paraId="78DA6658" w14:textId="63639F00" w:rsidR="00782FDC" w:rsidRPr="00B42CF9" w:rsidRDefault="00B42CF9" w:rsidP="00DC4F14">
            <w:pPr>
              <w:pStyle w:val="TableFigures"/>
            </w:pPr>
            <w:r w:rsidRPr="00B42CF9">
              <w:t>811</w:t>
            </w:r>
          </w:p>
        </w:tc>
      </w:tr>
      <w:tr w:rsidR="005F6D8A" w:rsidRPr="005F6D8A" w14:paraId="4E1F80DD" w14:textId="77777777" w:rsidTr="002A206B">
        <w:tc>
          <w:tcPr>
            <w:tcW w:w="6379" w:type="dxa"/>
            <w:tcBorders>
              <w:bottom w:val="single" w:sz="8" w:space="0" w:color="BFBFBF" w:themeColor="background1" w:themeShade="BF"/>
            </w:tcBorders>
            <w:shd w:val="clear" w:color="auto" w:fill="auto"/>
            <w:noWrap/>
            <w:vAlign w:val="bottom"/>
          </w:tcPr>
          <w:p w14:paraId="125F25A6" w14:textId="77777777" w:rsidR="00782FDC" w:rsidRPr="00B42CF9" w:rsidRDefault="00782FDC" w:rsidP="00782FDC">
            <w:pPr>
              <w:pStyle w:val="Tabletext"/>
              <w:rPr>
                <w:szCs w:val="20"/>
              </w:rPr>
            </w:pPr>
            <w:r w:rsidRPr="00B42CF9">
              <w:rPr>
                <w:szCs w:val="20"/>
              </w:rPr>
              <w:t>Diluted</w:t>
            </w:r>
          </w:p>
        </w:tc>
        <w:tc>
          <w:tcPr>
            <w:tcW w:w="851" w:type="dxa"/>
            <w:tcBorders>
              <w:bottom w:val="single" w:sz="8" w:space="0" w:color="BFBFBF" w:themeColor="background1" w:themeShade="BF"/>
            </w:tcBorders>
            <w:shd w:val="clear" w:color="auto" w:fill="auto"/>
            <w:noWrap/>
            <w:vAlign w:val="bottom"/>
          </w:tcPr>
          <w:p w14:paraId="6733FCD6" w14:textId="77777777" w:rsidR="00782FDC" w:rsidRPr="00B42CF9" w:rsidRDefault="00782FDC" w:rsidP="00782FDC">
            <w:pPr>
              <w:pStyle w:val="TableFigures"/>
            </w:pPr>
          </w:p>
        </w:tc>
        <w:tc>
          <w:tcPr>
            <w:tcW w:w="708" w:type="dxa"/>
            <w:tcBorders>
              <w:bottom w:val="single" w:sz="8" w:space="0" w:color="BFBFBF" w:themeColor="background1" w:themeShade="BF"/>
            </w:tcBorders>
            <w:shd w:val="clear" w:color="auto" w:fill="auto"/>
            <w:vAlign w:val="bottom"/>
          </w:tcPr>
          <w:p w14:paraId="50778C09" w14:textId="71A728A6" w:rsidR="00782FDC" w:rsidRPr="008239CB" w:rsidRDefault="00782FDC" w:rsidP="00BE37F4">
            <w:pPr>
              <w:pStyle w:val="TableFigures"/>
            </w:pPr>
            <w:r w:rsidRPr="008239CB">
              <w:t>11</w:t>
            </w:r>
          </w:p>
        </w:tc>
        <w:tc>
          <w:tcPr>
            <w:tcW w:w="1134" w:type="dxa"/>
            <w:tcBorders>
              <w:bottom w:val="single" w:sz="8" w:space="0" w:color="BFBFBF" w:themeColor="background1" w:themeShade="BF"/>
            </w:tcBorders>
            <w:shd w:val="clear" w:color="auto" w:fill="auto"/>
            <w:noWrap/>
            <w:vAlign w:val="bottom"/>
          </w:tcPr>
          <w:p w14:paraId="15441D7F" w14:textId="21FF5A9C" w:rsidR="00782FDC" w:rsidRPr="00B42CF9" w:rsidRDefault="00B42CF9" w:rsidP="00DC4F14">
            <w:pPr>
              <w:pStyle w:val="TableFiguresBold0"/>
            </w:pPr>
            <w:r w:rsidRPr="00B42CF9">
              <w:t>1,115</w:t>
            </w:r>
          </w:p>
        </w:tc>
        <w:tc>
          <w:tcPr>
            <w:tcW w:w="1276" w:type="dxa"/>
            <w:tcBorders>
              <w:bottom w:val="single" w:sz="8" w:space="0" w:color="BFBFBF" w:themeColor="background1" w:themeShade="BF"/>
            </w:tcBorders>
            <w:noWrap/>
            <w:vAlign w:val="bottom"/>
          </w:tcPr>
          <w:p w14:paraId="712C5E03" w14:textId="2E3421DD" w:rsidR="00782FDC" w:rsidRPr="00B42CF9" w:rsidRDefault="00B42CF9" w:rsidP="00DC4F14">
            <w:pPr>
              <w:pStyle w:val="TableFigures"/>
            </w:pPr>
            <w:r w:rsidRPr="00B42CF9">
              <w:t>809</w:t>
            </w:r>
          </w:p>
        </w:tc>
      </w:tr>
    </w:tbl>
    <w:p w14:paraId="299F8E28" w14:textId="77777777" w:rsidR="005E793C" w:rsidRPr="005F6D8A" w:rsidRDefault="005E793C" w:rsidP="005E793C">
      <w:pPr>
        <w:pStyle w:val="FootnotesNoSpace"/>
        <w:rPr>
          <w:i w:val="0"/>
          <w:color w:val="FF0000"/>
        </w:rPr>
      </w:pPr>
      <w:r w:rsidRPr="005F6D8A">
        <w:rPr>
          <w:color w:val="FF0000"/>
        </w:rPr>
        <w:br/>
      </w:r>
    </w:p>
    <w:p w14:paraId="691D4F46" w14:textId="77777777" w:rsidR="005E793C" w:rsidRPr="00B42CF9" w:rsidRDefault="005E793C" w:rsidP="005E793C">
      <w:pPr>
        <w:pStyle w:val="Heading1"/>
        <w:tabs>
          <w:tab w:val="left" w:pos="8610"/>
        </w:tabs>
        <w:ind w:left="-142"/>
      </w:pPr>
      <w:r w:rsidRPr="005F6D8A">
        <w:rPr>
          <w:color w:val="FF0000"/>
        </w:rPr>
        <w:br w:type="page"/>
      </w:r>
      <w:r w:rsidRPr="00B42CF9">
        <w:lastRenderedPageBreak/>
        <w:t>CONDENSED GROUP STATEMENT OF CHANGES IN EQUITY</w:t>
      </w:r>
    </w:p>
    <w:p w14:paraId="247719DB" w14:textId="2FC89F55" w:rsidR="005E793C" w:rsidRPr="00B42CF9" w:rsidRDefault="005E793C" w:rsidP="005E793C">
      <w:pPr>
        <w:pStyle w:val="Heading3"/>
        <w:spacing w:before="120"/>
        <w:ind w:left="-142"/>
        <w:rPr>
          <w:sz w:val="18"/>
          <w:szCs w:val="18"/>
        </w:rPr>
      </w:pPr>
      <w:r w:rsidRPr="00B42CF9">
        <w:rPr>
          <w:sz w:val="18"/>
          <w:szCs w:val="18"/>
        </w:rPr>
        <w:t>For the year ended 31 December 20</w:t>
      </w:r>
      <w:r w:rsidR="00A07D72" w:rsidRPr="00B42CF9">
        <w:rPr>
          <w:sz w:val="18"/>
          <w:szCs w:val="18"/>
        </w:rPr>
        <w:t>2</w:t>
      </w:r>
      <w:r w:rsidR="00B42CF9" w:rsidRPr="00B42CF9">
        <w:rPr>
          <w:sz w:val="18"/>
          <w:szCs w:val="18"/>
        </w:rPr>
        <w:t>1</w:t>
      </w:r>
    </w:p>
    <w:tbl>
      <w:tblPr>
        <w:tblStyle w:val="TableGrid"/>
        <w:tblW w:w="10890" w:type="dxa"/>
        <w:tblInd w:w="-284" w:type="dxa"/>
        <w:tblLook w:val="04A0" w:firstRow="1" w:lastRow="0" w:firstColumn="1" w:lastColumn="0" w:noHBand="0" w:noVBand="1"/>
      </w:tblPr>
      <w:tblGrid>
        <w:gridCol w:w="1560"/>
        <w:gridCol w:w="709"/>
        <w:gridCol w:w="743"/>
        <w:gridCol w:w="77"/>
        <w:gridCol w:w="928"/>
        <w:gridCol w:w="700"/>
        <w:gridCol w:w="876"/>
        <w:gridCol w:w="997"/>
        <w:gridCol w:w="817"/>
        <w:gridCol w:w="710"/>
        <w:gridCol w:w="1135"/>
        <w:gridCol w:w="955"/>
        <w:gridCol w:w="683"/>
      </w:tblGrid>
      <w:tr w:rsidR="005F6D8A" w:rsidRPr="005F6D8A" w14:paraId="4E465600" w14:textId="77777777" w:rsidTr="00D30841">
        <w:trPr>
          <w:trHeight w:hRule="exact" w:val="227"/>
        </w:trPr>
        <w:tc>
          <w:tcPr>
            <w:tcW w:w="1560" w:type="dxa"/>
          </w:tcPr>
          <w:p w14:paraId="32E34B18" w14:textId="77777777" w:rsidR="00EE0837" w:rsidRPr="005F6D8A" w:rsidRDefault="00EE0837" w:rsidP="00893449">
            <w:pPr>
              <w:rPr>
                <w:color w:val="FF0000"/>
                <w:sz w:val="15"/>
                <w:szCs w:val="15"/>
              </w:rPr>
            </w:pPr>
          </w:p>
        </w:tc>
        <w:tc>
          <w:tcPr>
            <w:tcW w:w="7692" w:type="dxa"/>
            <w:gridSpan w:val="10"/>
            <w:tcBorders>
              <w:bottom w:val="single" w:sz="4" w:space="0" w:color="808080" w:themeColor="background1" w:themeShade="80"/>
            </w:tcBorders>
          </w:tcPr>
          <w:p w14:paraId="6B0B56CD" w14:textId="52E61DCD" w:rsidR="00EE0837" w:rsidRPr="008B3557" w:rsidRDefault="00EE0837" w:rsidP="00EE0837">
            <w:pPr>
              <w:jc w:val="center"/>
              <w:rPr>
                <w:b/>
                <w:sz w:val="15"/>
                <w:szCs w:val="15"/>
              </w:rPr>
            </w:pPr>
            <w:r w:rsidRPr="008B3557">
              <w:rPr>
                <w:b/>
                <w:sz w:val="15"/>
                <w:szCs w:val="15"/>
              </w:rPr>
              <w:t>Attributable  to owners of the parent</w:t>
            </w:r>
          </w:p>
        </w:tc>
        <w:tc>
          <w:tcPr>
            <w:tcW w:w="955" w:type="dxa"/>
          </w:tcPr>
          <w:p w14:paraId="2D0DD99B" w14:textId="77777777" w:rsidR="00EE0837" w:rsidRPr="005F6D8A" w:rsidRDefault="00EE0837" w:rsidP="00424213">
            <w:pPr>
              <w:jc w:val="right"/>
              <w:rPr>
                <w:b/>
                <w:color w:val="FF0000"/>
                <w:sz w:val="15"/>
                <w:szCs w:val="15"/>
              </w:rPr>
            </w:pPr>
          </w:p>
        </w:tc>
        <w:tc>
          <w:tcPr>
            <w:tcW w:w="683" w:type="dxa"/>
          </w:tcPr>
          <w:p w14:paraId="0761CEC7" w14:textId="77777777" w:rsidR="00EE0837" w:rsidRPr="005F6D8A" w:rsidRDefault="00EE0837" w:rsidP="00424213">
            <w:pPr>
              <w:jc w:val="right"/>
              <w:rPr>
                <w:b/>
                <w:color w:val="FF0000"/>
                <w:sz w:val="15"/>
                <w:szCs w:val="15"/>
              </w:rPr>
            </w:pPr>
          </w:p>
        </w:tc>
      </w:tr>
      <w:tr w:rsidR="005F6D8A" w:rsidRPr="005F6D8A" w14:paraId="508B342E" w14:textId="77777777" w:rsidTr="00FA7C8E">
        <w:trPr>
          <w:trHeight w:hRule="exact" w:val="284"/>
        </w:trPr>
        <w:tc>
          <w:tcPr>
            <w:tcW w:w="1560" w:type="dxa"/>
          </w:tcPr>
          <w:p w14:paraId="1A336DE6" w14:textId="77777777" w:rsidR="00EE0837" w:rsidRPr="005F6D8A" w:rsidRDefault="00EE0837" w:rsidP="00893449">
            <w:pPr>
              <w:rPr>
                <w:color w:val="FF0000"/>
                <w:sz w:val="15"/>
                <w:szCs w:val="15"/>
              </w:rPr>
            </w:pPr>
          </w:p>
        </w:tc>
        <w:tc>
          <w:tcPr>
            <w:tcW w:w="709" w:type="dxa"/>
            <w:tcBorders>
              <w:top w:val="single" w:sz="4" w:space="0" w:color="808080" w:themeColor="background1" w:themeShade="80"/>
            </w:tcBorders>
          </w:tcPr>
          <w:p w14:paraId="420BD0E1" w14:textId="77777777" w:rsidR="00EE0837" w:rsidRPr="005F6D8A" w:rsidRDefault="00EE0837" w:rsidP="00424213">
            <w:pPr>
              <w:jc w:val="right"/>
              <w:rPr>
                <w:b/>
                <w:color w:val="FF0000"/>
                <w:sz w:val="15"/>
                <w:szCs w:val="15"/>
              </w:rPr>
            </w:pPr>
          </w:p>
        </w:tc>
        <w:tc>
          <w:tcPr>
            <w:tcW w:w="820" w:type="dxa"/>
            <w:gridSpan w:val="2"/>
            <w:tcBorders>
              <w:top w:val="single" w:sz="4" w:space="0" w:color="808080" w:themeColor="background1" w:themeShade="80"/>
            </w:tcBorders>
          </w:tcPr>
          <w:p w14:paraId="5A593266" w14:textId="77777777" w:rsidR="00EE0837" w:rsidRPr="005F6D8A" w:rsidRDefault="00EE0837" w:rsidP="007074BD">
            <w:pPr>
              <w:ind w:right="46"/>
              <w:jc w:val="right"/>
              <w:rPr>
                <w:b/>
                <w:color w:val="FF0000"/>
                <w:sz w:val="15"/>
                <w:szCs w:val="15"/>
              </w:rPr>
            </w:pPr>
          </w:p>
        </w:tc>
        <w:tc>
          <w:tcPr>
            <w:tcW w:w="928" w:type="dxa"/>
            <w:tcBorders>
              <w:top w:val="single" w:sz="4" w:space="0" w:color="808080" w:themeColor="background1" w:themeShade="80"/>
            </w:tcBorders>
          </w:tcPr>
          <w:p w14:paraId="2AEF4F5E" w14:textId="77777777" w:rsidR="00EE0837" w:rsidRPr="005F6D8A" w:rsidRDefault="00EE0837" w:rsidP="00424213">
            <w:pPr>
              <w:ind w:right="66"/>
              <w:jc w:val="right"/>
              <w:rPr>
                <w:b/>
                <w:color w:val="FF0000"/>
                <w:sz w:val="15"/>
                <w:szCs w:val="15"/>
              </w:rPr>
            </w:pPr>
          </w:p>
        </w:tc>
        <w:tc>
          <w:tcPr>
            <w:tcW w:w="700" w:type="dxa"/>
            <w:tcBorders>
              <w:top w:val="single" w:sz="4" w:space="0" w:color="808080" w:themeColor="background1" w:themeShade="80"/>
            </w:tcBorders>
          </w:tcPr>
          <w:p w14:paraId="39C49A99" w14:textId="77777777" w:rsidR="00EE0837" w:rsidRPr="005F6D8A" w:rsidRDefault="00EE0837" w:rsidP="007074BD">
            <w:pPr>
              <w:ind w:right="6"/>
              <w:jc w:val="right"/>
              <w:rPr>
                <w:b/>
                <w:color w:val="FF0000"/>
                <w:sz w:val="15"/>
                <w:szCs w:val="15"/>
              </w:rPr>
            </w:pPr>
          </w:p>
        </w:tc>
        <w:tc>
          <w:tcPr>
            <w:tcW w:w="2690" w:type="dxa"/>
            <w:gridSpan w:val="3"/>
            <w:tcBorders>
              <w:top w:val="single" w:sz="4" w:space="0" w:color="808080" w:themeColor="background1" w:themeShade="80"/>
              <w:bottom w:val="single" w:sz="4" w:space="0" w:color="808080" w:themeColor="background1" w:themeShade="80"/>
            </w:tcBorders>
          </w:tcPr>
          <w:p w14:paraId="577DFBD5" w14:textId="2E013337" w:rsidR="00EE0837" w:rsidRPr="008B3557" w:rsidRDefault="00EE0837" w:rsidP="00EE0837">
            <w:pPr>
              <w:ind w:right="1"/>
              <w:jc w:val="center"/>
              <w:rPr>
                <w:b/>
                <w:sz w:val="15"/>
                <w:szCs w:val="15"/>
              </w:rPr>
            </w:pPr>
            <w:r w:rsidRPr="008B3557">
              <w:rPr>
                <w:b/>
                <w:sz w:val="15"/>
                <w:szCs w:val="15"/>
              </w:rPr>
              <w:t>Other reserves</w:t>
            </w:r>
          </w:p>
        </w:tc>
        <w:tc>
          <w:tcPr>
            <w:tcW w:w="710" w:type="dxa"/>
            <w:tcBorders>
              <w:top w:val="single" w:sz="4" w:space="0" w:color="808080" w:themeColor="background1" w:themeShade="80"/>
            </w:tcBorders>
          </w:tcPr>
          <w:p w14:paraId="1732F0ED" w14:textId="77777777" w:rsidR="00EE0837" w:rsidRPr="005F6D8A" w:rsidRDefault="00EE0837" w:rsidP="007074BD">
            <w:pPr>
              <w:jc w:val="right"/>
              <w:rPr>
                <w:b/>
                <w:color w:val="FF0000"/>
                <w:sz w:val="15"/>
                <w:szCs w:val="15"/>
              </w:rPr>
            </w:pPr>
          </w:p>
        </w:tc>
        <w:tc>
          <w:tcPr>
            <w:tcW w:w="1135" w:type="dxa"/>
            <w:tcBorders>
              <w:top w:val="single" w:sz="4" w:space="0" w:color="808080" w:themeColor="background1" w:themeShade="80"/>
            </w:tcBorders>
          </w:tcPr>
          <w:p w14:paraId="18515FB5" w14:textId="77777777" w:rsidR="00EE0837" w:rsidRPr="005F6D8A" w:rsidRDefault="00EE0837" w:rsidP="00424213">
            <w:pPr>
              <w:jc w:val="right"/>
              <w:rPr>
                <w:b/>
                <w:color w:val="FF0000"/>
                <w:sz w:val="15"/>
                <w:szCs w:val="15"/>
              </w:rPr>
            </w:pPr>
          </w:p>
        </w:tc>
        <w:tc>
          <w:tcPr>
            <w:tcW w:w="955" w:type="dxa"/>
          </w:tcPr>
          <w:p w14:paraId="04D171A8" w14:textId="77777777" w:rsidR="00EE0837" w:rsidRPr="005F6D8A" w:rsidRDefault="00EE0837" w:rsidP="00424213">
            <w:pPr>
              <w:jc w:val="right"/>
              <w:rPr>
                <w:b/>
                <w:color w:val="FF0000"/>
                <w:sz w:val="15"/>
                <w:szCs w:val="15"/>
              </w:rPr>
            </w:pPr>
          </w:p>
        </w:tc>
        <w:tc>
          <w:tcPr>
            <w:tcW w:w="683" w:type="dxa"/>
          </w:tcPr>
          <w:p w14:paraId="7201F7C5" w14:textId="77777777" w:rsidR="00EE0837" w:rsidRPr="005F6D8A" w:rsidRDefault="00EE0837" w:rsidP="00424213">
            <w:pPr>
              <w:jc w:val="right"/>
              <w:rPr>
                <w:b/>
                <w:color w:val="FF0000"/>
                <w:sz w:val="15"/>
                <w:szCs w:val="15"/>
              </w:rPr>
            </w:pPr>
          </w:p>
        </w:tc>
      </w:tr>
      <w:tr w:rsidR="005F6D8A" w:rsidRPr="005F6D8A" w14:paraId="38F86E39" w14:textId="77777777" w:rsidTr="00FF7584">
        <w:trPr>
          <w:trHeight w:val="961"/>
        </w:trPr>
        <w:tc>
          <w:tcPr>
            <w:tcW w:w="1560" w:type="dxa"/>
            <w:tcBorders>
              <w:bottom w:val="single" w:sz="4" w:space="0" w:color="A6A6A6" w:themeColor="background1" w:themeShade="A6"/>
            </w:tcBorders>
          </w:tcPr>
          <w:p w14:paraId="52FED3F1" w14:textId="77777777" w:rsidR="00424213" w:rsidRPr="008B3557" w:rsidRDefault="00424213" w:rsidP="00893449"/>
        </w:tc>
        <w:tc>
          <w:tcPr>
            <w:tcW w:w="709" w:type="dxa"/>
            <w:tcBorders>
              <w:bottom w:val="single" w:sz="4" w:space="0" w:color="A6A6A6" w:themeColor="background1" w:themeShade="A6"/>
            </w:tcBorders>
          </w:tcPr>
          <w:p w14:paraId="15159733" w14:textId="3D0E9A0B" w:rsidR="00424213" w:rsidRPr="008B3557" w:rsidRDefault="00424213" w:rsidP="00424213">
            <w:pPr>
              <w:jc w:val="right"/>
              <w:rPr>
                <w:b/>
                <w:sz w:val="15"/>
                <w:szCs w:val="15"/>
              </w:rPr>
            </w:pPr>
            <w:r w:rsidRPr="008B3557">
              <w:rPr>
                <w:b/>
                <w:sz w:val="15"/>
                <w:szCs w:val="15"/>
              </w:rPr>
              <w:t>Ordinary share capital      £m</w:t>
            </w:r>
          </w:p>
        </w:tc>
        <w:tc>
          <w:tcPr>
            <w:tcW w:w="820" w:type="dxa"/>
            <w:gridSpan w:val="2"/>
            <w:tcBorders>
              <w:bottom w:val="single" w:sz="4" w:space="0" w:color="A6A6A6" w:themeColor="background1" w:themeShade="A6"/>
            </w:tcBorders>
          </w:tcPr>
          <w:p w14:paraId="7856406A" w14:textId="5333D7C9" w:rsidR="00424213" w:rsidRPr="008B3557" w:rsidRDefault="00424213" w:rsidP="007074BD">
            <w:pPr>
              <w:ind w:right="46"/>
              <w:jc w:val="right"/>
              <w:rPr>
                <w:b/>
                <w:sz w:val="15"/>
                <w:szCs w:val="15"/>
              </w:rPr>
            </w:pPr>
            <w:r w:rsidRPr="008B3557">
              <w:rPr>
                <w:b/>
                <w:sz w:val="15"/>
                <w:szCs w:val="15"/>
              </w:rPr>
              <w:t>Share premium £m</w:t>
            </w:r>
          </w:p>
        </w:tc>
        <w:tc>
          <w:tcPr>
            <w:tcW w:w="928" w:type="dxa"/>
            <w:tcBorders>
              <w:bottom w:val="single" w:sz="4" w:space="0" w:color="A6A6A6" w:themeColor="background1" w:themeShade="A6"/>
            </w:tcBorders>
          </w:tcPr>
          <w:p w14:paraId="1FF207E3" w14:textId="49219CBC" w:rsidR="00424213" w:rsidRPr="008B3557" w:rsidRDefault="00424213" w:rsidP="00424213">
            <w:pPr>
              <w:ind w:right="66"/>
              <w:jc w:val="right"/>
              <w:rPr>
                <w:b/>
                <w:sz w:val="15"/>
                <w:szCs w:val="15"/>
                <w:vertAlign w:val="superscript"/>
              </w:rPr>
            </w:pPr>
            <w:r w:rsidRPr="008B3557">
              <w:rPr>
                <w:b/>
                <w:sz w:val="15"/>
                <w:szCs w:val="15"/>
              </w:rPr>
              <w:t>Capital redemption reserve</w:t>
            </w:r>
            <w:r w:rsidR="00DE7140" w:rsidRPr="008B3557">
              <w:rPr>
                <w:b/>
                <w:sz w:val="15"/>
                <w:szCs w:val="15"/>
                <w:vertAlign w:val="superscript"/>
              </w:rPr>
              <w:t xml:space="preserve">   </w:t>
            </w:r>
            <w:r w:rsidRPr="008B3557">
              <w:rPr>
                <w:b/>
                <w:sz w:val="15"/>
                <w:szCs w:val="15"/>
              </w:rPr>
              <w:t xml:space="preserve"> £m</w:t>
            </w:r>
          </w:p>
        </w:tc>
        <w:tc>
          <w:tcPr>
            <w:tcW w:w="700" w:type="dxa"/>
            <w:tcBorders>
              <w:bottom w:val="single" w:sz="4" w:space="0" w:color="A6A6A6" w:themeColor="background1" w:themeShade="A6"/>
            </w:tcBorders>
          </w:tcPr>
          <w:p w14:paraId="2325602A" w14:textId="6B66E4AF" w:rsidR="00424213" w:rsidRPr="008B3557" w:rsidRDefault="00424213" w:rsidP="007074BD">
            <w:pPr>
              <w:ind w:right="6"/>
              <w:jc w:val="right"/>
              <w:rPr>
                <w:b/>
                <w:sz w:val="15"/>
                <w:szCs w:val="15"/>
              </w:rPr>
            </w:pPr>
            <w:r w:rsidRPr="008B3557">
              <w:rPr>
                <w:b/>
                <w:sz w:val="15"/>
                <w:szCs w:val="15"/>
              </w:rPr>
              <w:t>Own shares held          £m</w:t>
            </w:r>
          </w:p>
        </w:tc>
        <w:tc>
          <w:tcPr>
            <w:tcW w:w="876" w:type="dxa"/>
            <w:tcBorders>
              <w:bottom w:val="single" w:sz="4" w:space="0" w:color="A6A6A6" w:themeColor="background1" w:themeShade="A6"/>
            </w:tcBorders>
          </w:tcPr>
          <w:p w14:paraId="6BE6F6C8" w14:textId="2986BFA0" w:rsidR="00424213" w:rsidRPr="008B3557" w:rsidRDefault="00424213" w:rsidP="00424213">
            <w:pPr>
              <w:ind w:right="35"/>
              <w:jc w:val="right"/>
              <w:rPr>
                <w:b/>
                <w:sz w:val="15"/>
                <w:szCs w:val="15"/>
              </w:rPr>
            </w:pPr>
            <w:r w:rsidRPr="008B3557">
              <w:rPr>
                <w:b/>
                <w:sz w:val="15"/>
                <w:szCs w:val="15"/>
              </w:rPr>
              <w:t>Share based payments reserves £m</w:t>
            </w:r>
          </w:p>
        </w:tc>
        <w:tc>
          <w:tcPr>
            <w:tcW w:w="997" w:type="dxa"/>
            <w:tcBorders>
              <w:bottom w:val="single" w:sz="4" w:space="0" w:color="A6A6A6" w:themeColor="background1" w:themeShade="A6"/>
            </w:tcBorders>
          </w:tcPr>
          <w:p w14:paraId="16965A75" w14:textId="3172231C" w:rsidR="00424213" w:rsidRPr="008B3557" w:rsidRDefault="00424213" w:rsidP="00424213">
            <w:pPr>
              <w:ind w:right="102"/>
              <w:jc w:val="right"/>
              <w:rPr>
                <w:b/>
                <w:sz w:val="15"/>
                <w:szCs w:val="15"/>
              </w:rPr>
            </w:pPr>
            <w:r w:rsidRPr="008B3557">
              <w:rPr>
                <w:b/>
                <w:sz w:val="15"/>
                <w:szCs w:val="15"/>
              </w:rPr>
              <w:t>Translation, hedging and other reserves    £m</w:t>
            </w:r>
          </w:p>
        </w:tc>
        <w:tc>
          <w:tcPr>
            <w:tcW w:w="817" w:type="dxa"/>
            <w:tcBorders>
              <w:bottom w:val="single" w:sz="4" w:space="0" w:color="A6A6A6" w:themeColor="background1" w:themeShade="A6"/>
            </w:tcBorders>
          </w:tcPr>
          <w:p w14:paraId="21190177" w14:textId="02B9B5AD" w:rsidR="00424213" w:rsidRPr="008B3557" w:rsidRDefault="00424213" w:rsidP="007074BD">
            <w:pPr>
              <w:ind w:right="1"/>
              <w:jc w:val="right"/>
              <w:rPr>
                <w:b/>
                <w:sz w:val="15"/>
                <w:szCs w:val="15"/>
              </w:rPr>
            </w:pPr>
            <w:r w:rsidRPr="008B3557">
              <w:rPr>
                <w:b/>
                <w:sz w:val="15"/>
                <w:szCs w:val="15"/>
              </w:rPr>
              <w:t>Merger reserve  £m</w:t>
            </w:r>
          </w:p>
        </w:tc>
        <w:tc>
          <w:tcPr>
            <w:tcW w:w="710" w:type="dxa"/>
            <w:tcBorders>
              <w:bottom w:val="single" w:sz="4" w:space="0" w:color="A6A6A6" w:themeColor="background1" w:themeShade="A6"/>
            </w:tcBorders>
          </w:tcPr>
          <w:p w14:paraId="5759E63B" w14:textId="2D055AA6" w:rsidR="00424213" w:rsidRPr="008B3557" w:rsidRDefault="007074BD" w:rsidP="007074BD">
            <w:pPr>
              <w:jc w:val="right"/>
              <w:rPr>
                <w:b/>
                <w:sz w:val="15"/>
                <w:szCs w:val="15"/>
              </w:rPr>
            </w:pPr>
            <w:r w:rsidRPr="008B3557">
              <w:rPr>
                <w:b/>
                <w:sz w:val="15"/>
                <w:szCs w:val="15"/>
              </w:rPr>
              <w:t xml:space="preserve">  </w:t>
            </w:r>
            <w:r w:rsidR="00424213" w:rsidRPr="008B3557">
              <w:rPr>
                <w:b/>
                <w:sz w:val="15"/>
                <w:szCs w:val="15"/>
              </w:rPr>
              <w:t xml:space="preserve">Retained </w:t>
            </w:r>
            <w:r w:rsidRPr="008B3557">
              <w:rPr>
                <w:b/>
                <w:sz w:val="15"/>
                <w:szCs w:val="15"/>
              </w:rPr>
              <w:t xml:space="preserve"> </w:t>
            </w:r>
            <w:r w:rsidR="00424213" w:rsidRPr="008B3557">
              <w:rPr>
                <w:b/>
                <w:sz w:val="15"/>
                <w:szCs w:val="15"/>
              </w:rPr>
              <w:t xml:space="preserve">earnings </w:t>
            </w:r>
            <w:r w:rsidRPr="008B3557">
              <w:rPr>
                <w:b/>
                <w:sz w:val="15"/>
                <w:szCs w:val="15"/>
              </w:rPr>
              <w:t xml:space="preserve">                       </w:t>
            </w:r>
            <w:r w:rsidR="00424213" w:rsidRPr="008B3557">
              <w:rPr>
                <w:b/>
                <w:sz w:val="15"/>
                <w:szCs w:val="15"/>
              </w:rPr>
              <w:t>£m</w:t>
            </w:r>
          </w:p>
        </w:tc>
        <w:tc>
          <w:tcPr>
            <w:tcW w:w="1135" w:type="dxa"/>
            <w:tcBorders>
              <w:bottom w:val="single" w:sz="4" w:space="0" w:color="A6A6A6" w:themeColor="background1" w:themeShade="A6"/>
            </w:tcBorders>
          </w:tcPr>
          <w:p w14:paraId="3C80F999" w14:textId="420C77B9" w:rsidR="00424213" w:rsidRPr="008B3557" w:rsidRDefault="00424213" w:rsidP="00424213">
            <w:pPr>
              <w:jc w:val="right"/>
              <w:rPr>
                <w:b/>
                <w:sz w:val="15"/>
                <w:szCs w:val="15"/>
              </w:rPr>
            </w:pPr>
            <w:r w:rsidRPr="008B3557">
              <w:rPr>
                <w:b/>
                <w:sz w:val="15"/>
                <w:szCs w:val="15"/>
              </w:rPr>
              <w:t>Total equity attributable to equity shareholders £m</w:t>
            </w:r>
          </w:p>
        </w:tc>
        <w:tc>
          <w:tcPr>
            <w:tcW w:w="955" w:type="dxa"/>
            <w:tcBorders>
              <w:bottom w:val="single" w:sz="4" w:space="0" w:color="A6A6A6" w:themeColor="background1" w:themeShade="A6"/>
            </w:tcBorders>
          </w:tcPr>
          <w:p w14:paraId="357E10D5" w14:textId="297B72C9" w:rsidR="00424213" w:rsidRPr="008B3557" w:rsidRDefault="00424213" w:rsidP="00424213">
            <w:pPr>
              <w:jc w:val="right"/>
              <w:rPr>
                <w:b/>
                <w:sz w:val="15"/>
                <w:szCs w:val="15"/>
              </w:rPr>
            </w:pPr>
            <w:r w:rsidRPr="008B3557">
              <w:rPr>
                <w:b/>
                <w:sz w:val="15"/>
                <w:szCs w:val="15"/>
              </w:rPr>
              <w:t>Non-controlling interests</w:t>
            </w:r>
            <w:r w:rsidR="00E7751B">
              <w:rPr>
                <w:b/>
                <w:sz w:val="15"/>
                <w:szCs w:val="15"/>
                <w:vertAlign w:val="superscript"/>
              </w:rPr>
              <w:t>1</w:t>
            </w:r>
            <w:r w:rsidRPr="008B3557">
              <w:rPr>
                <w:b/>
                <w:sz w:val="15"/>
                <w:szCs w:val="15"/>
                <w:vertAlign w:val="superscript"/>
              </w:rPr>
              <w:t xml:space="preserve"> </w:t>
            </w:r>
            <w:r w:rsidR="00FF7584" w:rsidRPr="008B3557">
              <w:rPr>
                <w:b/>
                <w:sz w:val="15"/>
                <w:szCs w:val="15"/>
                <w:vertAlign w:val="superscript"/>
              </w:rPr>
              <w:t xml:space="preserve">  </w:t>
            </w:r>
            <w:r w:rsidRPr="008B3557">
              <w:rPr>
                <w:b/>
                <w:sz w:val="15"/>
                <w:szCs w:val="15"/>
              </w:rPr>
              <w:t>£m</w:t>
            </w:r>
          </w:p>
        </w:tc>
        <w:tc>
          <w:tcPr>
            <w:tcW w:w="683" w:type="dxa"/>
            <w:tcBorders>
              <w:bottom w:val="single" w:sz="4" w:space="0" w:color="A6A6A6" w:themeColor="background1" w:themeShade="A6"/>
            </w:tcBorders>
          </w:tcPr>
          <w:p w14:paraId="2EE24186" w14:textId="7C4B8F56" w:rsidR="00424213" w:rsidRPr="008B3557" w:rsidRDefault="00424213" w:rsidP="00424213">
            <w:pPr>
              <w:jc w:val="right"/>
              <w:rPr>
                <w:b/>
                <w:sz w:val="15"/>
                <w:szCs w:val="15"/>
              </w:rPr>
            </w:pPr>
            <w:r w:rsidRPr="008B3557">
              <w:rPr>
                <w:b/>
                <w:sz w:val="15"/>
                <w:szCs w:val="15"/>
              </w:rPr>
              <w:t>Total equity   £m</w:t>
            </w:r>
          </w:p>
        </w:tc>
      </w:tr>
      <w:tr w:rsidR="005F6D8A" w:rsidRPr="008B3557" w14:paraId="26948497" w14:textId="77777777" w:rsidTr="00D30841">
        <w:tc>
          <w:tcPr>
            <w:tcW w:w="1560" w:type="dxa"/>
            <w:tcBorders>
              <w:top w:val="single" w:sz="4" w:space="0" w:color="A6A6A6" w:themeColor="background1" w:themeShade="A6"/>
            </w:tcBorders>
          </w:tcPr>
          <w:p w14:paraId="4F1A9985" w14:textId="523A80CF" w:rsidR="00424213" w:rsidRPr="008B3557" w:rsidRDefault="00424213" w:rsidP="00424213">
            <w:pPr>
              <w:pStyle w:val="Tabletext"/>
              <w:rPr>
                <w:b/>
                <w:sz w:val="15"/>
                <w:szCs w:val="15"/>
              </w:rPr>
            </w:pPr>
            <w:r w:rsidRPr="008B3557">
              <w:rPr>
                <w:b/>
                <w:sz w:val="15"/>
                <w:szCs w:val="15"/>
              </w:rPr>
              <w:t>Balance at 1 January 20</w:t>
            </w:r>
            <w:r w:rsidR="00A07D72" w:rsidRPr="008B3557">
              <w:rPr>
                <w:b/>
                <w:sz w:val="15"/>
                <w:szCs w:val="15"/>
              </w:rPr>
              <w:t>2</w:t>
            </w:r>
            <w:r w:rsidR="008B3557" w:rsidRPr="008B3557">
              <w:rPr>
                <w:b/>
                <w:sz w:val="15"/>
                <w:szCs w:val="15"/>
              </w:rPr>
              <w:t>1</w:t>
            </w:r>
          </w:p>
        </w:tc>
        <w:tc>
          <w:tcPr>
            <w:tcW w:w="709" w:type="dxa"/>
            <w:tcBorders>
              <w:top w:val="single" w:sz="4" w:space="0" w:color="A6A6A6" w:themeColor="background1" w:themeShade="A6"/>
            </w:tcBorders>
          </w:tcPr>
          <w:p w14:paraId="4A806F83" w14:textId="6F7BD660" w:rsidR="00424213" w:rsidRPr="008B3557" w:rsidRDefault="008B3557" w:rsidP="00DC4F14">
            <w:pPr>
              <w:pStyle w:val="TableFiguresBold0"/>
              <w:rPr>
                <w:sz w:val="15"/>
                <w:szCs w:val="15"/>
              </w:rPr>
            </w:pPr>
            <w:r w:rsidRPr="008B3557">
              <w:rPr>
                <w:sz w:val="15"/>
                <w:szCs w:val="15"/>
              </w:rPr>
              <w:t>119</w:t>
            </w:r>
          </w:p>
        </w:tc>
        <w:tc>
          <w:tcPr>
            <w:tcW w:w="820" w:type="dxa"/>
            <w:gridSpan w:val="2"/>
            <w:tcBorders>
              <w:top w:val="single" w:sz="4" w:space="0" w:color="A6A6A6" w:themeColor="background1" w:themeShade="A6"/>
            </w:tcBorders>
          </w:tcPr>
          <w:p w14:paraId="3C42D985" w14:textId="26DAAF69" w:rsidR="00424213" w:rsidRPr="008B3557" w:rsidRDefault="008B3557" w:rsidP="00DC4F14">
            <w:pPr>
              <w:pStyle w:val="TableFiguresBold0"/>
              <w:rPr>
                <w:sz w:val="15"/>
                <w:szCs w:val="15"/>
              </w:rPr>
            </w:pPr>
            <w:r w:rsidRPr="008B3557">
              <w:rPr>
                <w:sz w:val="15"/>
                <w:szCs w:val="15"/>
              </w:rPr>
              <w:t>3,277</w:t>
            </w:r>
          </w:p>
        </w:tc>
        <w:tc>
          <w:tcPr>
            <w:tcW w:w="928" w:type="dxa"/>
            <w:tcBorders>
              <w:top w:val="single" w:sz="4" w:space="0" w:color="A6A6A6" w:themeColor="background1" w:themeShade="A6"/>
            </w:tcBorders>
          </w:tcPr>
          <w:p w14:paraId="6B9F907D" w14:textId="206F6057" w:rsidR="00424213" w:rsidRPr="008B3557" w:rsidRDefault="008B3557" w:rsidP="00DC4F14">
            <w:pPr>
              <w:pStyle w:val="TableFiguresBold0"/>
              <w:rPr>
                <w:sz w:val="15"/>
                <w:szCs w:val="15"/>
              </w:rPr>
            </w:pPr>
            <w:r w:rsidRPr="008B3557">
              <w:rPr>
                <w:sz w:val="15"/>
                <w:szCs w:val="15"/>
              </w:rPr>
              <w:t>114</w:t>
            </w:r>
          </w:p>
        </w:tc>
        <w:tc>
          <w:tcPr>
            <w:tcW w:w="700" w:type="dxa"/>
            <w:tcBorders>
              <w:top w:val="single" w:sz="4" w:space="0" w:color="A6A6A6" w:themeColor="background1" w:themeShade="A6"/>
            </w:tcBorders>
          </w:tcPr>
          <w:p w14:paraId="63770F0F" w14:textId="27FA9532" w:rsidR="00424213" w:rsidRPr="008B3557" w:rsidRDefault="008B3557" w:rsidP="00DC4F14">
            <w:pPr>
              <w:pStyle w:val="TableFiguresBrackets"/>
              <w:rPr>
                <w:b/>
                <w:bCs/>
                <w:sz w:val="15"/>
              </w:rPr>
            </w:pPr>
            <w:r w:rsidRPr="008B3557">
              <w:rPr>
                <w:b/>
                <w:bCs/>
                <w:sz w:val="15"/>
              </w:rPr>
              <w:t>(1)</w:t>
            </w:r>
          </w:p>
        </w:tc>
        <w:tc>
          <w:tcPr>
            <w:tcW w:w="876" w:type="dxa"/>
            <w:tcBorders>
              <w:top w:val="single" w:sz="4" w:space="0" w:color="A6A6A6" w:themeColor="background1" w:themeShade="A6"/>
            </w:tcBorders>
          </w:tcPr>
          <w:p w14:paraId="698991D5" w14:textId="34DD36C0" w:rsidR="00424213" w:rsidRPr="008B3557" w:rsidRDefault="008B3557" w:rsidP="00DC4F14">
            <w:pPr>
              <w:pStyle w:val="TableFigures"/>
              <w:rPr>
                <w:b/>
                <w:bCs/>
                <w:sz w:val="15"/>
              </w:rPr>
            </w:pPr>
            <w:r w:rsidRPr="008B3557">
              <w:rPr>
                <w:b/>
                <w:bCs/>
                <w:sz w:val="15"/>
              </w:rPr>
              <w:t>22</w:t>
            </w:r>
          </w:p>
        </w:tc>
        <w:tc>
          <w:tcPr>
            <w:tcW w:w="997" w:type="dxa"/>
            <w:tcBorders>
              <w:top w:val="single" w:sz="4" w:space="0" w:color="A6A6A6" w:themeColor="background1" w:themeShade="A6"/>
            </w:tcBorders>
          </w:tcPr>
          <w:p w14:paraId="5DAC7AFC" w14:textId="53E8A5D7" w:rsidR="00424213" w:rsidRPr="008B3557" w:rsidRDefault="008B3557" w:rsidP="00DC4F14">
            <w:pPr>
              <w:pStyle w:val="TableFigures"/>
              <w:rPr>
                <w:b/>
                <w:bCs/>
                <w:sz w:val="15"/>
              </w:rPr>
            </w:pPr>
            <w:r w:rsidRPr="008B3557">
              <w:rPr>
                <w:b/>
                <w:bCs/>
                <w:sz w:val="15"/>
              </w:rPr>
              <w:t>62</w:t>
            </w:r>
          </w:p>
        </w:tc>
        <w:tc>
          <w:tcPr>
            <w:tcW w:w="817" w:type="dxa"/>
            <w:tcBorders>
              <w:top w:val="single" w:sz="4" w:space="0" w:color="A6A6A6" w:themeColor="background1" w:themeShade="A6"/>
            </w:tcBorders>
          </w:tcPr>
          <w:p w14:paraId="3CF6F0E3" w14:textId="61D2C8A1" w:rsidR="00424213" w:rsidRPr="008B3557" w:rsidRDefault="008B3557" w:rsidP="00DC4F14">
            <w:pPr>
              <w:pStyle w:val="TableFigures"/>
              <w:rPr>
                <w:b/>
                <w:bCs/>
                <w:sz w:val="15"/>
              </w:rPr>
            </w:pPr>
            <w:r w:rsidRPr="008B3557">
              <w:rPr>
                <w:b/>
                <w:bCs/>
                <w:sz w:val="15"/>
              </w:rPr>
              <w:t>169</w:t>
            </w:r>
          </w:p>
        </w:tc>
        <w:tc>
          <w:tcPr>
            <w:tcW w:w="710" w:type="dxa"/>
            <w:tcBorders>
              <w:top w:val="single" w:sz="4" w:space="0" w:color="A6A6A6" w:themeColor="background1" w:themeShade="A6"/>
            </w:tcBorders>
          </w:tcPr>
          <w:p w14:paraId="6883F80C" w14:textId="77E16154" w:rsidR="00424213" w:rsidRPr="008B3557" w:rsidRDefault="008B3557" w:rsidP="00DC4F14">
            <w:pPr>
              <w:pStyle w:val="TableFigures"/>
              <w:rPr>
                <w:b/>
                <w:bCs/>
                <w:sz w:val="15"/>
              </w:rPr>
            </w:pPr>
            <w:r w:rsidRPr="008B3557">
              <w:rPr>
                <w:b/>
                <w:bCs/>
                <w:sz w:val="15"/>
              </w:rPr>
              <w:t>5,897</w:t>
            </w:r>
          </w:p>
        </w:tc>
        <w:tc>
          <w:tcPr>
            <w:tcW w:w="1135" w:type="dxa"/>
            <w:tcBorders>
              <w:top w:val="single" w:sz="4" w:space="0" w:color="A6A6A6" w:themeColor="background1" w:themeShade="A6"/>
            </w:tcBorders>
          </w:tcPr>
          <w:p w14:paraId="486559E5" w14:textId="273EEDB8" w:rsidR="00424213" w:rsidRPr="008B3557" w:rsidRDefault="008B3557" w:rsidP="00DC4F14">
            <w:pPr>
              <w:pStyle w:val="TableFigures"/>
              <w:rPr>
                <w:b/>
                <w:bCs/>
                <w:sz w:val="15"/>
              </w:rPr>
            </w:pPr>
            <w:r w:rsidRPr="008B3557">
              <w:rPr>
                <w:b/>
                <w:bCs/>
                <w:sz w:val="15"/>
              </w:rPr>
              <w:t>9,659</w:t>
            </w:r>
          </w:p>
        </w:tc>
        <w:tc>
          <w:tcPr>
            <w:tcW w:w="955" w:type="dxa"/>
            <w:tcBorders>
              <w:top w:val="single" w:sz="4" w:space="0" w:color="A6A6A6" w:themeColor="background1" w:themeShade="A6"/>
            </w:tcBorders>
          </w:tcPr>
          <w:p w14:paraId="219514B1" w14:textId="3D4041F5" w:rsidR="00424213" w:rsidRPr="008B3557" w:rsidRDefault="008B3557" w:rsidP="00DC4F14">
            <w:pPr>
              <w:pStyle w:val="TableFigures"/>
              <w:rPr>
                <w:b/>
                <w:bCs/>
                <w:sz w:val="15"/>
              </w:rPr>
            </w:pPr>
            <w:r w:rsidRPr="008B3557">
              <w:rPr>
                <w:b/>
                <w:bCs/>
                <w:sz w:val="15"/>
              </w:rPr>
              <w:t>12</w:t>
            </w:r>
          </w:p>
        </w:tc>
        <w:tc>
          <w:tcPr>
            <w:tcW w:w="683" w:type="dxa"/>
            <w:tcBorders>
              <w:top w:val="single" w:sz="4" w:space="0" w:color="A6A6A6" w:themeColor="background1" w:themeShade="A6"/>
            </w:tcBorders>
          </w:tcPr>
          <w:p w14:paraId="29CFDE6B" w14:textId="6C21EBDF" w:rsidR="00424213" w:rsidRPr="008B3557" w:rsidRDefault="008B3557" w:rsidP="00DC4F14">
            <w:pPr>
              <w:pStyle w:val="TableFigures"/>
              <w:rPr>
                <w:b/>
                <w:bCs/>
                <w:sz w:val="15"/>
              </w:rPr>
            </w:pPr>
            <w:r w:rsidRPr="008B3557">
              <w:rPr>
                <w:b/>
                <w:bCs/>
                <w:sz w:val="15"/>
              </w:rPr>
              <w:t>9,671</w:t>
            </w:r>
          </w:p>
        </w:tc>
      </w:tr>
      <w:tr w:rsidR="005F6D8A" w:rsidRPr="008B3557" w14:paraId="29474061" w14:textId="77777777" w:rsidTr="00D30841">
        <w:tc>
          <w:tcPr>
            <w:tcW w:w="1560" w:type="dxa"/>
          </w:tcPr>
          <w:p w14:paraId="4EFC2976" w14:textId="7AE37983" w:rsidR="00424213" w:rsidRPr="008B3557" w:rsidRDefault="00424213" w:rsidP="00424213">
            <w:pPr>
              <w:pStyle w:val="Tabletext"/>
              <w:rPr>
                <w:sz w:val="15"/>
                <w:szCs w:val="15"/>
              </w:rPr>
            </w:pPr>
            <w:r w:rsidRPr="008B3557">
              <w:rPr>
                <w:sz w:val="15"/>
                <w:szCs w:val="15"/>
              </w:rPr>
              <w:t>Profit for the year</w:t>
            </w:r>
          </w:p>
        </w:tc>
        <w:tc>
          <w:tcPr>
            <w:tcW w:w="709" w:type="dxa"/>
          </w:tcPr>
          <w:p w14:paraId="3ACF7D84" w14:textId="1E20F50D" w:rsidR="00424213" w:rsidRPr="008B3557" w:rsidRDefault="00424213" w:rsidP="00DC4F14">
            <w:pPr>
              <w:pStyle w:val="TableFiguresBold0"/>
              <w:rPr>
                <w:sz w:val="15"/>
                <w:szCs w:val="15"/>
              </w:rPr>
            </w:pPr>
            <w:r w:rsidRPr="008B3557">
              <w:rPr>
                <w:sz w:val="15"/>
                <w:szCs w:val="15"/>
              </w:rPr>
              <w:t>–</w:t>
            </w:r>
          </w:p>
        </w:tc>
        <w:tc>
          <w:tcPr>
            <w:tcW w:w="820" w:type="dxa"/>
            <w:gridSpan w:val="2"/>
          </w:tcPr>
          <w:p w14:paraId="450F0F23" w14:textId="7165ABD7" w:rsidR="00424213" w:rsidRPr="008B3557" w:rsidRDefault="00424213" w:rsidP="00DC4F14">
            <w:pPr>
              <w:pStyle w:val="TableFiguresBold0"/>
              <w:rPr>
                <w:sz w:val="15"/>
                <w:szCs w:val="15"/>
              </w:rPr>
            </w:pPr>
            <w:r w:rsidRPr="008B3557">
              <w:rPr>
                <w:sz w:val="15"/>
                <w:szCs w:val="15"/>
              </w:rPr>
              <w:t>–</w:t>
            </w:r>
          </w:p>
        </w:tc>
        <w:tc>
          <w:tcPr>
            <w:tcW w:w="928" w:type="dxa"/>
          </w:tcPr>
          <w:p w14:paraId="6DC497EA" w14:textId="647E592E" w:rsidR="00424213" w:rsidRPr="008B3557" w:rsidRDefault="00424213" w:rsidP="00DC4F14">
            <w:pPr>
              <w:pStyle w:val="TableFiguresBold0"/>
              <w:rPr>
                <w:sz w:val="15"/>
                <w:szCs w:val="15"/>
              </w:rPr>
            </w:pPr>
            <w:r w:rsidRPr="008B3557">
              <w:rPr>
                <w:sz w:val="15"/>
                <w:szCs w:val="15"/>
              </w:rPr>
              <w:t>–</w:t>
            </w:r>
          </w:p>
        </w:tc>
        <w:tc>
          <w:tcPr>
            <w:tcW w:w="700" w:type="dxa"/>
          </w:tcPr>
          <w:p w14:paraId="2A04E2EC" w14:textId="5E302023" w:rsidR="00424213" w:rsidRPr="008B3557" w:rsidRDefault="00424213" w:rsidP="00DC4F14">
            <w:pPr>
              <w:pStyle w:val="TableFiguresBold0"/>
              <w:rPr>
                <w:sz w:val="15"/>
              </w:rPr>
            </w:pPr>
            <w:r w:rsidRPr="008B3557">
              <w:rPr>
                <w:sz w:val="15"/>
              </w:rPr>
              <w:t>–</w:t>
            </w:r>
          </w:p>
        </w:tc>
        <w:tc>
          <w:tcPr>
            <w:tcW w:w="876" w:type="dxa"/>
          </w:tcPr>
          <w:p w14:paraId="18823567" w14:textId="774DC42A" w:rsidR="00424213" w:rsidRPr="008B3557" w:rsidRDefault="00424213" w:rsidP="00DC4F14">
            <w:pPr>
              <w:pStyle w:val="TableFigures"/>
              <w:rPr>
                <w:b/>
                <w:bCs/>
                <w:sz w:val="15"/>
              </w:rPr>
            </w:pPr>
            <w:r w:rsidRPr="008B3557">
              <w:rPr>
                <w:b/>
                <w:bCs/>
                <w:sz w:val="15"/>
              </w:rPr>
              <w:t>–</w:t>
            </w:r>
          </w:p>
        </w:tc>
        <w:tc>
          <w:tcPr>
            <w:tcW w:w="997" w:type="dxa"/>
          </w:tcPr>
          <w:p w14:paraId="564776B3" w14:textId="7D6B7D35" w:rsidR="00424213" w:rsidRPr="008B3557" w:rsidRDefault="00424213" w:rsidP="00DC4F14">
            <w:pPr>
              <w:pStyle w:val="TableFigures"/>
              <w:rPr>
                <w:b/>
                <w:bCs/>
                <w:sz w:val="15"/>
              </w:rPr>
            </w:pPr>
            <w:r w:rsidRPr="008B3557">
              <w:rPr>
                <w:b/>
                <w:bCs/>
                <w:sz w:val="15"/>
              </w:rPr>
              <w:t>–</w:t>
            </w:r>
          </w:p>
        </w:tc>
        <w:tc>
          <w:tcPr>
            <w:tcW w:w="817" w:type="dxa"/>
          </w:tcPr>
          <w:p w14:paraId="0EA19968" w14:textId="1FAF677F" w:rsidR="00424213" w:rsidRPr="008B3557" w:rsidRDefault="00424213" w:rsidP="00DC4F14">
            <w:pPr>
              <w:pStyle w:val="TableFigures"/>
              <w:rPr>
                <w:b/>
                <w:bCs/>
                <w:sz w:val="15"/>
              </w:rPr>
            </w:pPr>
            <w:r w:rsidRPr="008B3557">
              <w:rPr>
                <w:b/>
                <w:bCs/>
                <w:sz w:val="15"/>
              </w:rPr>
              <w:t>–</w:t>
            </w:r>
          </w:p>
        </w:tc>
        <w:tc>
          <w:tcPr>
            <w:tcW w:w="710" w:type="dxa"/>
          </w:tcPr>
          <w:p w14:paraId="6886DF3B" w14:textId="6EBF61AC" w:rsidR="00424213" w:rsidRPr="008B3557" w:rsidRDefault="008B3557" w:rsidP="00DC4F14">
            <w:pPr>
              <w:pStyle w:val="TableFigures"/>
              <w:rPr>
                <w:b/>
                <w:bCs/>
                <w:sz w:val="15"/>
              </w:rPr>
            </w:pPr>
            <w:r w:rsidRPr="008B3557">
              <w:rPr>
                <w:b/>
                <w:bCs/>
                <w:sz w:val="15"/>
              </w:rPr>
              <w:t>4,060</w:t>
            </w:r>
          </w:p>
        </w:tc>
        <w:tc>
          <w:tcPr>
            <w:tcW w:w="1135" w:type="dxa"/>
          </w:tcPr>
          <w:p w14:paraId="192EB9F8" w14:textId="7FEF40B1" w:rsidR="00424213" w:rsidRPr="008B3557" w:rsidRDefault="008B3557" w:rsidP="00DC4F14">
            <w:pPr>
              <w:pStyle w:val="TableFigures"/>
              <w:rPr>
                <w:b/>
                <w:bCs/>
                <w:sz w:val="15"/>
              </w:rPr>
            </w:pPr>
            <w:r w:rsidRPr="008B3557">
              <w:rPr>
                <w:b/>
                <w:bCs/>
                <w:sz w:val="15"/>
              </w:rPr>
              <w:t>4</w:t>
            </w:r>
            <w:r w:rsidR="00F252A5">
              <w:rPr>
                <w:b/>
                <w:bCs/>
                <w:sz w:val="15"/>
              </w:rPr>
              <w:t>,</w:t>
            </w:r>
            <w:r w:rsidRPr="008B3557">
              <w:rPr>
                <w:b/>
                <w:bCs/>
                <w:sz w:val="15"/>
              </w:rPr>
              <w:t>060</w:t>
            </w:r>
          </w:p>
        </w:tc>
        <w:tc>
          <w:tcPr>
            <w:tcW w:w="955" w:type="dxa"/>
          </w:tcPr>
          <w:p w14:paraId="30A12946" w14:textId="38615C19" w:rsidR="00424213" w:rsidRPr="008B3557" w:rsidRDefault="008B3557" w:rsidP="00DC4F14">
            <w:pPr>
              <w:pStyle w:val="TableFigures"/>
              <w:rPr>
                <w:b/>
                <w:bCs/>
                <w:sz w:val="15"/>
              </w:rPr>
            </w:pPr>
            <w:r w:rsidRPr="008B3557">
              <w:rPr>
                <w:b/>
                <w:bCs/>
                <w:sz w:val="15"/>
              </w:rPr>
              <w:t>7</w:t>
            </w:r>
          </w:p>
        </w:tc>
        <w:tc>
          <w:tcPr>
            <w:tcW w:w="683" w:type="dxa"/>
          </w:tcPr>
          <w:p w14:paraId="31B93587" w14:textId="696F7AF5" w:rsidR="00424213" w:rsidRPr="008B3557" w:rsidRDefault="008B3557" w:rsidP="00DC4F14">
            <w:pPr>
              <w:pStyle w:val="TableFigures"/>
              <w:rPr>
                <w:b/>
                <w:bCs/>
                <w:sz w:val="15"/>
              </w:rPr>
            </w:pPr>
            <w:r w:rsidRPr="008B3557">
              <w:rPr>
                <w:b/>
                <w:bCs/>
                <w:sz w:val="15"/>
              </w:rPr>
              <w:t>4,067</w:t>
            </w:r>
          </w:p>
        </w:tc>
      </w:tr>
      <w:tr w:rsidR="005F6D8A" w:rsidRPr="008B3557" w14:paraId="69242FE0" w14:textId="77777777" w:rsidTr="00D30841">
        <w:tc>
          <w:tcPr>
            <w:tcW w:w="1560" w:type="dxa"/>
            <w:tcBorders>
              <w:bottom w:val="single" w:sz="4" w:space="0" w:color="A6A6A6" w:themeColor="background1" w:themeShade="A6"/>
            </w:tcBorders>
          </w:tcPr>
          <w:p w14:paraId="26AA4B02" w14:textId="6ABA13E9" w:rsidR="00424213" w:rsidRPr="008B3557" w:rsidRDefault="00424213" w:rsidP="00424213">
            <w:pPr>
              <w:pStyle w:val="Tabletext"/>
              <w:rPr>
                <w:sz w:val="15"/>
                <w:szCs w:val="15"/>
              </w:rPr>
            </w:pPr>
            <w:r w:rsidRPr="008B3557">
              <w:rPr>
                <w:sz w:val="15"/>
                <w:szCs w:val="15"/>
              </w:rPr>
              <w:t>Other comprehensive</w:t>
            </w:r>
            <w:r w:rsidR="008B3557" w:rsidRPr="008B3557">
              <w:rPr>
                <w:sz w:val="15"/>
                <w:szCs w:val="15"/>
              </w:rPr>
              <w:t xml:space="preserve"> (expense)/</w:t>
            </w:r>
            <w:r w:rsidRPr="008B3557">
              <w:rPr>
                <w:sz w:val="15"/>
                <w:szCs w:val="15"/>
              </w:rPr>
              <w:t>income</w:t>
            </w:r>
          </w:p>
        </w:tc>
        <w:tc>
          <w:tcPr>
            <w:tcW w:w="709" w:type="dxa"/>
            <w:tcBorders>
              <w:bottom w:val="single" w:sz="4" w:space="0" w:color="A6A6A6" w:themeColor="background1" w:themeShade="A6"/>
            </w:tcBorders>
          </w:tcPr>
          <w:p w14:paraId="6E0C54EE" w14:textId="2D1787A4" w:rsidR="00424213" w:rsidRPr="008B3557" w:rsidRDefault="00204C91" w:rsidP="00DC4F14">
            <w:pPr>
              <w:pStyle w:val="TableFiguresBold0"/>
              <w:rPr>
                <w:sz w:val="15"/>
                <w:szCs w:val="15"/>
              </w:rPr>
            </w:pPr>
            <w:r w:rsidRPr="008B3557">
              <w:rPr>
                <w:sz w:val="15"/>
                <w:szCs w:val="15"/>
              </w:rPr>
              <w:t>–</w:t>
            </w:r>
          </w:p>
        </w:tc>
        <w:tc>
          <w:tcPr>
            <w:tcW w:w="820" w:type="dxa"/>
            <w:gridSpan w:val="2"/>
            <w:tcBorders>
              <w:bottom w:val="single" w:sz="4" w:space="0" w:color="A6A6A6" w:themeColor="background1" w:themeShade="A6"/>
            </w:tcBorders>
          </w:tcPr>
          <w:p w14:paraId="6A231A0E" w14:textId="7ABB5F63" w:rsidR="00424213" w:rsidRPr="008B3557" w:rsidRDefault="00204C91" w:rsidP="00DC4F14">
            <w:pPr>
              <w:pStyle w:val="TableFiguresBold0"/>
              <w:rPr>
                <w:sz w:val="15"/>
                <w:szCs w:val="15"/>
              </w:rPr>
            </w:pPr>
            <w:r w:rsidRPr="008B3557">
              <w:rPr>
                <w:sz w:val="15"/>
                <w:szCs w:val="15"/>
              </w:rPr>
              <w:t>–</w:t>
            </w:r>
          </w:p>
        </w:tc>
        <w:tc>
          <w:tcPr>
            <w:tcW w:w="928" w:type="dxa"/>
            <w:tcBorders>
              <w:bottom w:val="single" w:sz="4" w:space="0" w:color="A6A6A6" w:themeColor="background1" w:themeShade="A6"/>
            </w:tcBorders>
          </w:tcPr>
          <w:p w14:paraId="5FAB84FE" w14:textId="01475DBE" w:rsidR="00424213" w:rsidRPr="008B3557" w:rsidRDefault="00204C91" w:rsidP="00DC4F14">
            <w:pPr>
              <w:pStyle w:val="TableFiguresBold0"/>
              <w:rPr>
                <w:sz w:val="15"/>
                <w:szCs w:val="15"/>
              </w:rPr>
            </w:pPr>
            <w:r w:rsidRPr="008B3557">
              <w:rPr>
                <w:sz w:val="15"/>
                <w:szCs w:val="15"/>
              </w:rPr>
              <w:t>–</w:t>
            </w:r>
          </w:p>
        </w:tc>
        <w:tc>
          <w:tcPr>
            <w:tcW w:w="700" w:type="dxa"/>
            <w:tcBorders>
              <w:bottom w:val="single" w:sz="4" w:space="0" w:color="A6A6A6" w:themeColor="background1" w:themeShade="A6"/>
            </w:tcBorders>
          </w:tcPr>
          <w:p w14:paraId="5219F26B" w14:textId="29E3F068" w:rsidR="00424213" w:rsidRPr="008B3557" w:rsidRDefault="00204C91" w:rsidP="00DC4F14">
            <w:pPr>
              <w:pStyle w:val="TableFigures"/>
              <w:rPr>
                <w:b/>
                <w:bCs/>
                <w:sz w:val="15"/>
              </w:rPr>
            </w:pPr>
            <w:r w:rsidRPr="008B3557">
              <w:rPr>
                <w:b/>
                <w:bCs/>
                <w:sz w:val="15"/>
              </w:rPr>
              <w:t>–</w:t>
            </w:r>
          </w:p>
        </w:tc>
        <w:tc>
          <w:tcPr>
            <w:tcW w:w="876" w:type="dxa"/>
            <w:tcBorders>
              <w:bottom w:val="single" w:sz="4" w:space="0" w:color="A6A6A6" w:themeColor="background1" w:themeShade="A6"/>
            </w:tcBorders>
          </w:tcPr>
          <w:p w14:paraId="4875CD29" w14:textId="288A89F8" w:rsidR="00424213" w:rsidRPr="008B3557" w:rsidRDefault="00204C91" w:rsidP="00DC4F14">
            <w:pPr>
              <w:pStyle w:val="TableFigures"/>
              <w:rPr>
                <w:b/>
                <w:bCs/>
                <w:sz w:val="15"/>
              </w:rPr>
            </w:pPr>
            <w:r w:rsidRPr="008B3557">
              <w:rPr>
                <w:b/>
                <w:bCs/>
                <w:sz w:val="15"/>
              </w:rPr>
              <w:t>–</w:t>
            </w:r>
          </w:p>
        </w:tc>
        <w:tc>
          <w:tcPr>
            <w:tcW w:w="997" w:type="dxa"/>
            <w:tcBorders>
              <w:bottom w:val="single" w:sz="4" w:space="0" w:color="A6A6A6" w:themeColor="background1" w:themeShade="A6"/>
            </w:tcBorders>
          </w:tcPr>
          <w:p w14:paraId="6A4C7303" w14:textId="778788D5" w:rsidR="00424213" w:rsidRPr="0068185D" w:rsidRDefault="008B3557" w:rsidP="0068185D">
            <w:pPr>
              <w:pStyle w:val="TableFiguresBrackets"/>
              <w:rPr>
                <w:b/>
                <w:bCs/>
                <w:sz w:val="15"/>
              </w:rPr>
            </w:pPr>
            <w:r w:rsidRPr="0068185D">
              <w:rPr>
                <w:b/>
                <w:bCs/>
                <w:sz w:val="15"/>
              </w:rPr>
              <w:t>(111)</w:t>
            </w:r>
          </w:p>
        </w:tc>
        <w:tc>
          <w:tcPr>
            <w:tcW w:w="817" w:type="dxa"/>
            <w:tcBorders>
              <w:bottom w:val="single" w:sz="4" w:space="0" w:color="A6A6A6" w:themeColor="background1" w:themeShade="A6"/>
            </w:tcBorders>
          </w:tcPr>
          <w:p w14:paraId="11E5211F" w14:textId="47FFEBB2" w:rsidR="00424213" w:rsidRPr="008B3557" w:rsidRDefault="00204C91" w:rsidP="00DC4F14">
            <w:pPr>
              <w:pStyle w:val="TableFigures"/>
              <w:rPr>
                <w:b/>
                <w:bCs/>
                <w:sz w:val="15"/>
              </w:rPr>
            </w:pPr>
            <w:r w:rsidRPr="008B3557">
              <w:rPr>
                <w:b/>
                <w:bCs/>
                <w:sz w:val="15"/>
              </w:rPr>
              <w:t>–</w:t>
            </w:r>
          </w:p>
        </w:tc>
        <w:tc>
          <w:tcPr>
            <w:tcW w:w="710" w:type="dxa"/>
            <w:tcBorders>
              <w:bottom w:val="single" w:sz="4" w:space="0" w:color="A6A6A6" w:themeColor="background1" w:themeShade="A6"/>
            </w:tcBorders>
          </w:tcPr>
          <w:p w14:paraId="1E344C60" w14:textId="4001F217" w:rsidR="00424213" w:rsidRPr="008B3557" w:rsidRDefault="00204C91" w:rsidP="00DC4F14">
            <w:pPr>
              <w:pStyle w:val="TableFigures"/>
              <w:rPr>
                <w:b/>
                <w:bCs/>
                <w:sz w:val="15"/>
              </w:rPr>
            </w:pPr>
            <w:r w:rsidRPr="008B3557">
              <w:rPr>
                <w:b/>
                <w:bCs/>
                <w:sz w:val="15"/>
              </w:rPr>
              <w:t>–</w:t>
            </w:r>
          </w:p>
        </w:tc>
        <w:tc>
          <w:tcPr>
            <w:tcW w:w="1135" w:type="dxa"/>
            <w:tcBorders>
              <w:bottom w:val="single" w:sz="4" w:space="0" w:color="A6A6A6" w:themeColor="background1" w:themeShade="A6"/>
            </w:tcBorders>
          </w:tcPr>
          <w:p w14:paraId="5762B57F" w14:textId="721B1367" w:rsidR="00424213" w:rsidRPr="0068185D" w:rsidRDefault="008B3557" w:rsidP="0068185D">
            <w:pPr>
              <w:pStyle w:val="TableFiguresBrackets"/>
              <w:rPr>
                <w:sz w:val="15"/>
              </w:rPr>
            </w:pPr>
            <w:r w:rsidRPr="0068185D">
              <w:rPr>
                <w:b/>
                <w:bCs/>
                <w:sz w:val="15"/>
              </w:rPr>
              <w:t>(111)</w:t>
            </w:r>
          </w:p>
        </w:tc>
        <w:tc>
          <w:tcPr>
            <w:tcW w:w="955" w:type="dxa"/>
            <w:tcBorders>
              <w:bottom w:val="single" w:sz="4" w:space="0" w:color="A6A6A6" w:themeColor="background1" w:themeShade="A6"/>
            </w:tcBorders>
          </w:tcPr>
          <w:p w14:paraId="00D9B2F1" w14:textId="6A4DD0C5" w:rsidR="00424213" w:rsidRPr="0068185D" w:rsidRDefault="008B3557" w:rsidP="0068185D">
            <w:pPr>
              <w:pStyle w:val="TableFiguresBold0"/>
              <w:rPr>
                <w:b w:val="0"/>
                <w:bCs w:val="0"/>
                <w:sz w:val="15"/>
              </w:rPr>
            </w:pPr>
            <w:r w:rsidRPr="0068185D">
              <w:rPr>
                <w:sz w:val="15"/>
              </w:rPr>
              <w:t>1</w:t>
            </w:r>
          </w:p>
        </w:tc>
        <w:tc>
          <w:tcPr>
            <w:tcW w:w="683" w:type="dxa"/>
            <w:tcBorders>
              <w:bottom w:val="single" w:sz="4" w:space="0" w:color="A6A6A6" w:themeColor="background1" w:themeShade="A6"/>
            </w:tcBorders>
          </w:tcPr>
          <w:p w14:paraId="3AB266F2" w14:textId="31ECAE85" w:rsidR="00424213" w:rsidRPr="0068185D" w:rsidRDefault="008B3557" w:rsidP="0068185D">
            <w:pPr>
              <w:pStyle w:val="TableFiguresBrackets"/>
              <w:rPr>
                <w:sz w:val="15"/>
              </w:rPr>
            </w:pPr>
            <w:r w:rsidRPr="0068185D">
              <w:rPr>
                <w:b/>
                <w:bCs/>
                <w:sz w:val="15"/>
              </w:rPr>
              <w:t>(110)</w:t>
            </w:r>
          </w:p>
        </w:tc>
      </w:tr>
      <w:tr w:rsidR="005F6D8A" w:rsidRPr="008B3557" w14:paraId="3224F8CC" w14:textId="77777777" w:rsidTr="00D30841">
        <w:tc>
          <w:tcPr>
            <w:tcW w:w="1560" w:type="dxa"/>
            <w:tcBorders>
              <w:top w:val="single" w:sz="4" w:space="0" w:color="A6A6A6" w:themeColor="background1" w:themeShade="A6"/>
              <w:bottom w:val="single" w:sz="4" w:space="0" w:color="A6A6A6" w:themeColor="background1" w:themeShade="A6"/>
            </w:tcBorders>
          </w:tcPr>
          <w:p w14:paraId="040A3EE9" w14:textId="209F50C5" w:rsidR="00424213" w:rsidRPr="008B3557" w:rsidRDefault="00424213" w:rsidP="00424213">
            <w:pPr>
              <w:pStyle w:val="Tabletext"/>
              <w:rPr>
                <w:b/>
                <w:sz w:val="15"/>
                <w:szCs w:val="15"/>
              </w:rPr>
            </w:pPr>
            <w:r w:rsidRPr="008B3557">
              <w:rPr>
                <w:b/>
                <w:sz w:val="15"/>
                <w:szCs w:val="15"/>
              </w:rPr>
              <w:t xml:space="preserve">Total comprehensive </w:t>
            </w:r>
            <w:r w:rsidR="008B3557" w:rsidRPr="008B3557">
              <w:rPr>
                <w:b/>
                <w:sz w:val="15"/>
                <w:szCs w:val="15"/>
              </w:rPr>
              <w:t>(expense)/</w:t>
            </w:r>
            <w:r w:rsidRPr="008B3557">
              <w:rPr>
                <w:b/>
                <w:sz w:val="15"/>
                <w:szCs w:val="15"/>
              </w:rPr>
              <w:t>income for the year</w:t>
            </w:r>
          </w:p>
        </w:tc>
        <w:tc>
          <w:tcPr>
            <w:tcW w:w="709" w:type="dxa"/>
            <w:tcBorders>
              <w:top w:val="single" w:sz="4" w:space="0" w:color="A6A6A6" w:themeColor="background1" w:themeShade="A6"/>
              <w:bottom w:val="single" w:sz="4" w:space="0" w:color="A6A6A6" w:themeColor="background1" w:themeShade="A6"/>
            </w:tcBorders>
          </w:tcPr>
          <w:p w14:paraId="181C1A15" w14:textId="598C5CA9" w:rsidR="00424213" w:rsidRPr="008B3557" w:rsidRDefault="00C75A70" w:rsidP="00DC4F14">
            <w:pPr>
              <w:pStyle w:val="TableFiguresBold0"/>
              <w:rPr>
                <w:sz w:val="15"/>
                <w:szCs w:val="15"/>
              </w:rPr>
            </w:pPr>
            <w:r w:rsidRPr="008B3557">
              <w:rPr>
                <w:sz w:val="15"/>
                <w:szCs w:val="15"/>
              </w:rPr>
              <w:t>–</w:t>
            </w:r>
          </w:p>
        </w:tc>
        <w:tc>
          <w:tcPr>
            <w:tcW w:w="820" w:type="dxa"/>
            <w:gridSpan w:val="2"/>
            <w:tcBorders>
              <w:top w:val="single" w:sz="4" w:space="0" w:color="A6A6A6" w:themeColor="background1" w:themeShade="A6"/>
              <w:bottom w:val="single" w:sz="4" w:space="0" w:color="A6A6A6" w:themeColor="background1" w:themeShade="A6"/>
            </w:tcBorders>
          </w:tcPr>
          <w:p w14:paraId="09215C44" w14:textId="3993B880" w:rsidR="00424213" w:rsidRPr="008B3557" w:rsidRDefault="00C75A70" w:rsidP="00DC4F14">
            <w:pPr>
              <w:pStyle w:val="TableFiguresBold0"/>
              <w:rPr>
                <w:sz w:val="15"/>
                <w:szCs w:val="15"/>
              </w:rPr>
            </w:pPr>
            <w:r w:rsidRPr="008B3557">
              <w:rPr>
                <w:sz w:val="15"/>
                <w:szCs w:val="15"/>
              </w:rPr>
              <w:t>–</w:t>
            </w:r>
          </w:p>
        </w:tc>
        <w:tc>
          <w:tcPr>
            <w:tcW w:w="928" w:type="dxa"/>
            <w:tcBorders>
              <w:top w:val="single" w:sz="4" w:space="0" w:color="A6A6A6" w:themeColor="background1" w:themeShade="A6"/>
              <w:bottom w:val="single" w:sz="4" w:space="0" w:color="A6A6A6" w:themeColor="background1" w:themeShade="A6"/>
            </w:tcBorders>
          </w:tcPr>
          <w:p w14:paraId="5FDD5EDD" w14:textId="3FB25E74" w:rsidR="00424213" w:rsidRPr="008B3557" w:rsidRDefault="00C75A70" w:rsidP="00DC4F14">
            <w:pPr>
              <w:pStyle w:val="TableFiguresBold0"/>
              <w:rPr>
                <w:sz w:val="15"/>
                <w:szCs w:val="15"/>
              </w:rPr>
            </w:pPr>
            <w:r w:rsidRPr="008B3557">
              <w:rPr>
                <w:sz w:val="15"/>
                <w:szCs w:val="15"/>
              </w:rPr>
              <w:t>–</w:t>
            </w:r>
          </w:p>
        </w:tc>
        <w:tc>
          <w:tcPr>
            <w:tcW w:w="700" w:type="dxa"/>
            <w:tcBorders>
              <w:top w:val="single" w:sz="4" w:space="0" w:color="A6A6A6" w:themeColor="background1" w:themeShade="A6"/>
              <w:bottom w:val="single" w:sz="4" w:space="0" w:color="A6A6A6" w:themeColor="background1" w:themeShade="A6"/>
            </w:tcBorders>
          </w:tcPr>
          <w:p w14:paraId="4A8D2D09" w14:textId="47981DE3" w:rsidR="00424213" w:rsidRPr="008B3557" w:rsidRDefault="00C75A70" w:rsidP="00424213">
            <w:pPr>
              <w:pStyle w:val="TableFigures"/>
              <w:rPr>
                <w:b/>
                <w:sz w:val="15"/>
                <w:szCs w:val="15"/>
              </w:rPr>
            </w:pPr>
            <w:r w:rsidRPr="008B3557">
              <w:rPr>
                <w:b/>
                <w:sz w:val="15"/>
                <w:szCs w:val="15"/>
              </w:rPr>
              <w:t>–</w:t>
            </w:r>
          </w:p>
        </w:tc>
        <w:tc>
          <w:tcPr>
            <w:tcW w:w="876" w:type="dxa"/>
            <w:tcBorders>
              <w:top w:val="single" w:sz="4" w:space="0" w:color="A6A6A6" w:themeColor="background1" w:themeShade="A6"/>
              <w:bottom w:val="single" w:sz="4" w:space="0" w:color="A6A6A6" w:themeColor="background1" w:themeShade="A6"/>
            </w:tcBorders>
          </w:tcPr>
          <w:p w14:paraId="25058990" w14:textId="19241367" w:rsidR="00424213" w:rsidRPr="008B3557" w:rsidRDefault="00C75A70" w:rsidP="00424213">
            <w:pPr>
              <w:pStyle w:val="TableFigures"/>
              <w:rPr>
                <w:b/>
                <w:sz w:val="15"/>
                <w:szCs w:val="15"/>
              </w:rPr>
            </w:pPr>
            <w:r w:rsidRPr="008B3557">
              <w:rPr>
                <w:b/>
                <w:sz w:val="15"/>
                <w:szCs w:val="15"/>
              </w:rPr>
              <w:t>–</w:t>
            </w:r>
          </w:p>
        </w:tc>
        <w:tc>
          <w:tcPr>
            <w:tcW w:w="997" w:type="dxa"/>
            <w:tcBorders>
              <w:top w:val="single" w:sz="4" w:space="0" w:color="A6A6A6" w:themeColor="background1" w:themeShade="A6"/>
              <w:bottom w:val="single" w:sz="4" w:space="0" w:color="A6A6A6" w:themeColor="background1" w:themeShade="A6"/>
            </w:tcBorders>
          </w:tcPr>
          <w:p w14:paraId="607B243D" w14:textId="0C289B04" w:rsidR="00424213" w:rsidRPr="0068185D" w:rsidRDefault="008B3557" w:rsidP="0068185D">
            <w:pPr>
              <w:pStyle w:val="TableFiguresBrackets"/>
              <w:rPr>
                <w:b/>
                <w:bCs/>
                <w:sz w:val="15"/>
              </w:rPr>
            </w:pPr>
            <w:r w:rsidRPr="0068185D">
              <w:rPr>
                <w:b/>
                <w:bCs/>
                <w:sz w:val="15"/>
              </w:rPr>
              <w:t>(111)</w:t>
            </w:r>
          </w:p>
        </w:tc>
        <w:tc>
          <w:tcPr>
            <w:tcW w:w="817" w:type="dxa"/>
            <w:tcBorders>
              <w:top w:val="single" w:sz="4" w:space="0" w:color="A6A6A6" w:themeColor="background1" w:themeShade="A6"/>
              <w:bottom w:val="single" w:sz="4" w:space="0" w:color="A6A6A6" w:themeColor="background1" w:themeShade="A6"/>
            </w:tcBorders>
          </w:tcPr>
          <w:p w14:paraId="6F2A2A93" w14:textId="67C2A984" w:rsidR="00424213" w:rsidRPr="008B3557" w:rsidRDefault="00204C91" w:rsidP="00424213">
            <w:pPr>
              <w:pStyle w:val="TableFigures"/>
              <w:rPr>
                <w:b/>
                <w:sz w:val="15"/>
                <w:szCs w:val="15"/>
              </w:rPr>
            </w:pPr>
            <w:r w:rsidRPr="008B3557">
              <w:rPr>
                <w:b/>
                <w:sz w:val="15"/>
                <w:szCs w:val="15"/>
              </w:rPr>
              <w:t>–</w:t>
            </w:r>
          </w:p>
        </w:tc>
        <w:tc>
          <w:tcPr>
            <w:tcW w:w="710" w:type="dxa"/>
            <w:tcBorders>
              <w:top w:val="single" w:sz="4" w:space="0" w:color="A6A6A6" w:themeColor="background1" w:themeShade="A6"/>
              <w:bottom w:val="single" w:sz="4" w:space="0" w:color="A6A6A6" w:themeColor="background1" w:themeShade="A6"/>
            </w:tcBorders>
          </w:tcPr>
          <w:p w14:paraId="3FB03141" w14:textId="29491D3D" w:rsidR="00424213" w:rsidRPr="008B3557" w:rsidRDefault="008B3557" w:rsidP="00424213">
            <w:pPr>
              <w:pStyle w:val="TableFigures"/>
              <w:rPr>
                <w:b/>
                <w:sz w:val="15"/>
                <w:szCs w:val="15"/>
              </w:rPr>
            </w:pPr>
            <w:r w:rsidRPr="008B3557">
              <w:rPr>
                <w:b/>
                <w:sz w:val="15"/>
                <w:szCs w:val="15"/>
              </w:rPr>
              <w:t>4,060</w:t>
            </w:r>
          </w:p>
        </w:tc>
        <w:tc>
          <w:tcPr>
            <w:tcW w:w="1135" w:type="dxa"/>
            <w:tcBorders>
              <w:top w:val="single" w:sz="4" w:space="0" w:color="A6A6A6" w:themeColor="background1" w:themeShade="A6"/>
              <w:bottom w:val="single" w:sz="4" w:space="0" w:color="A6A6A6" w:themeColor="background1" w:themeShade="A6"/>
            </w:tcBorders>
          </w:tcPr>
          <w:p w14:paraId="655E5B29" w14:textId="49A48D8A" w:rsidR="00424213" w:rsidRPr="008B3557" w:rsidRDefault="008B3557" w:rsidP="00424213">
            <w:pPr>
              <w:pStyle w:val="TableFigures"/>
              <w:rPr>
                <w:b/>
                <w:sz w:val="15"/>
                <w:szCs w:val="15"/>
              </w:rPr>
            </w:pPr>
            <w:r w:rsidRPr="008B3557">
              <w:rPr>
                <w:b/>
                <w:sz w:val="15"/>
                <w:szCs w:val="15"/>
              </w:rPr>
              <w:t>3,949</w:t>
            </w:r>
          </w:p>
        </w:tc>
        <w:tc>
          <w:tcPr>
            <w:tcW w:w="955" w:type="dxa"/>
            <w:tcBorders>
              <w:top w:val="single" w:sz="4" w:space="0" w:color="A6A6A6" w:themeColor="background1" w:themeShade="A6"/>
              <w:bottom w:val="single" w:sz="4" w:space="0" w:color="A6A6A6" w:themeColor="background1" w:themeShade="A6"/>
            </w:tcBorders>
          </w:tcPr>
          <w:p w14:paraId="6FDC17D9" w14:textId="6FDB9777" w:rsidR="00424213" w:rsidRPr="008B3557" w:rsidRDefault="008B3557" w:rsidP="00424213">
            <w:pPr>
              <w:pStyle w:val="TableFigures"/>
              <w:rPr>
                <w:b/>
                <w:sz w:val="15"/>
                <w:szCs w:val="15"/>
              </w:rPr>
            </w:pPr>
            <w:r w:rsidRPr="008B3557">
              <w:rPr>
                <w:b/>
                <w:sz w:val="15"/>
                <w:szCs w:val="15"/>
              </w:rPr>
              <w:t>8</w:t>
            </w:r>
          </w:p>
        </w:tc>
        <w:tc>
          <w:tcPr>
            <w:tcW w:w="683" w:type="dxa"/>
            <w:tcBorders>
              <w:top w:val="single" w:sz="4" w:space="0" w:color="A6A6A6" w:themeColor="background1" w:themeShade="A6"/>
              <w:bottom w:val="single" w:sz="4" w:space="0" w:color="A6A6A6" w:themeColor="background1" w:themeShade="A6"/>
            </w:tcBorders>
          </w:tcPr>
          <w:p w14:paraId="698BC582" w14:textId="15806486" w:rsidR="00424213" w:rsidRPr="008B3557" w:rsidRDefault="008B3557" w:rsidP="00424213">
            <w:pPr>
              <w:pStyle w:val="TableFigures"/>
              <w:rPr>
                <w:b/>
                <w:sz w:val="15"/>
                <w:szCs w:val="15"/>
              </w:rPr>
            </w:pPr>
            <w:r w:rsidRPr="008B3557">
              <w:rPr>
                <w:b/>
                <w:sz w:val="15"/>
                <w:szCs w:val="15"/>
              </w:rPr>
              <w:t>3,957</w:t>
            </w:r>
          </w:p>
        </w:tc>
      </w:tr>
      <w:tr w:rsidR="005F6D8A" w:rsidRPr="008B3557" w14:paraId="7C3EF40B" w14:textId="77777777" w:rsidTr="00FA7C8E">
        <w:tc>
          <w:tcPr>
            <w:tcW w:w="1560" w:type="dxa"/>
            <w:tcBorders>
              <w:top w:val="single" w:sz="4" w:space="0" w:color="A6A6A6" w:themeColor="background1" w:themeShade="A6"/>
            </w:tcBorders>
          </w:tcPr>
          <w:p w14:paraId="1021D7EC" w14:textId="77777777" w:rsidR="009D7833" w:rsidRPr="008B3557" w:rsidRDefault="009D7833" w:rsidP="00FA7C8E">
            <w:pPr>
              <w:pStyle w:val="TableFigures"/>
              <w:jc w:val="left"/>
              <w:rPr>
                <w:sz w:val="15"/>
                <w:szCs w:val="15"/>
              </w:rPr>
            </w:pPr>
            <w:r w:rsidRPr="008B3557">
              <w:rPr>
                <w:b/>
                <w:sz w:val="15"/>
                <w:szCs w:val="15"/>
              </w:rPr>
              <w:t xml:space="preserve">Transactions with owners of the Company </w:t>
            </w:r>
          </w:p>
        </w:tc>
        <w:tc>
          <w:tcPr>
            <w:tcW w:w="709" w:type="dxa"/>
            <w:tcBorders>
              <w:top w:val="single" w:sz="4" w:space="0" w:color="A6A6A6" w:themeColor="background1" w:themeShade="A6"/>
            </w:tcBorders>
          </w:tcPr>
          <w:p w14:paraId="7D6526A9" w14:textId="77777777" w:rsidR="009D7833" w:rsidRPr="008B3557" w:rsidRDefault="009D7833" w:rsidP="00DC4F14">
            <w:pPr>
              <w:pStyle w:val="TableFiguresBold0"/>
              <w:rPr>
                <w:sz w:val="15"/>
                <w:szCs w:val="15"/>
              </w:rPr>
            </w:pPr>
          </w:p>
        </w:tc>
        <w:tc>
          <w:tcPr>
            <w:tcW w:w="743" w:type="dxa"/>
            <w:tcBorders>
              <w:top w:val="single" w:sz="4" w:space="0" w:color="A6A6A6" w:themeColor="background1" w:themeShade="A6"/>
            </w:tcBorders>
          </w:tcPr>
          <w:p w14:paraId="2C892EDC" w14:textId="77777777" w:rsidR="009D7833" w:rsidRPr="008B3557" w:rsidRDefault="009D7833" w:rsidP="00DC4F14">
            <w:pPr>
              <w:pStyle w:val="TableFiguresBold0"/>
              <w:rPr>
                <w:sz w:val="15"/>
                <w:szCs w:val="15"/>
              </w:rPr>
            </w:pPr>
          </w:p>
        </w:tc>
        <w:tc>
          <w:tcPr>
            <w:tcW w:w="1005" w:type="dxa"/>
            <w:gridSpan w:val="2"/>
            <w:tcBorders>
              <w:top w:val="single" w:sz="4" w:space="0" w:color="A6A6A6" w:themeColor="background1" w:themeShade="A6"/>
            </w:tcBorders>
          </w:tcPr>
          <w:p w14:paraId="2BD09F17" w14:textId="46BE5DD0" w:rsidR="009D7833" w:rsidRPr="008B3557" w:rsidRDefault="009D7833" w:rsidP="00DC4F14">
            <w:pPr>
              <w:pStyle w:val="TableFiguresBold0"/>
              <w:rPr>
                <w:sz w:val="15"/>
                <w:szCs w:val="15"/>
              </w:rPr>
            </w:pPr>
          </w:p>
        </w:tc>
        <w:tc>
          <w:tcPr>
            <w:tcW w:w="700" w:type="dxa"/>
            <w:tcBorders>
              <w:top w:val="single" w:sz="4" w:space="0" w:color="A6A6A6" w:themeColor="background1" w:themeShade="A6"/>
            </w:tcBorders>
          </w:tcPr>
          <w:p w14:paraId="7D73F138" w14:textId="77777777" w:rsidR="009D7833" w:rsidRPr="008B3557" w:rsidRDefault="009D7833" w:rsidP="00424213">
            <w:pPr>
              <w:pStyle w:val="TableFigures"/>
              <w:rPr>
                <w:sz w:val="15"/>
                <w:szCs w:val="15"/>
              </w:rPr>
            </w:pPr>
          </w:p>
        </w:tc>
        <w:tc>
          <w:tcPr>
            <w:tcW w:w="876" w:type="dxa"/>
            <w:tcBorders>
              <w:top w:val="single" w:sz="4" w:space="0" w:color="A6A6A6" w:themeColor="background1" w:themeShade="A6"/>
            </w:tcBorders>
          </w:tcPr>
          <w:p w14:paraId="63F9F690" w14:textId="77777777" w:rsidR="009D7833" w:rsidRPr="008B3557" w:rsidRDefault="009D7833" w:rsidP="00424213">
            <w:pPr>
              <w:pStyle w:val="TableFigures"/>
              <w:rPr>
                <w:sz w:val="15"/>
                <w:szCs w:val="15"/>
              </w:rPr>
            </w:pPr>
          </w:p>
        </w:tc>
        <w:tc>
          <w:tcPr>
            <w:tcW w:w="997" w:type="dxa"/>
            <w:tcBorders>
              <w:top w:val="single" w:sz="4" w:space="0" w:color="A6A6A6" w:themeColor="background1" w:themeShade="A6"/>
            </w:tcBorders>
          </w:tcPr>
          <w:p w14:paraId="0774F105" w14:textId="77777777" w:rsidR="009D7833" w:rsidRPr="008B3557" w:rsidRDefault="009D7833" w:rsidP="00424213">
            <w:pPr>
              <w:pStyle w:val="TableFigures"/>
              <w:rPr>
                <w:sz w:val="15"/>
                <w:szCs w:val="15"/>
              </w:rPr>
            </w:pPr>
          </w:p>
        </w:tc>
        <w:tc>
          <w:tcPr>
            <w:tcW w:w="817" w:type="dxa"/>
            <w:tcBorders>
              <w:top w:val="single" w:sz="4" w:space="0" w:color="A6A6A6" w:themeColor="background1" w:themeShade="A6"/>
            </w:tcBorders>
          </w:tcPr>
          <w:p w14:paraId="2C4F0637" w14:textId="77777777" w:rsidR="009D7833" w:rsidRPr="008B3557" w:rsidRDefault="009D7833" w:rsidP="00424213">
            <w:pPr>
              <w:pStyle w:val="TableFigures"/>
              <w:rPr>
                <w:sz w:val="15"/>
                <w:szCs w:val="15"/>
              </w:rPr>
            </w:pPr>
          </w:p>
        </w:tc>
        <w:tc>
          <w:tcPr>
            <w:tcW w:w="710" w:type="dxa"/>
            <w:tcBorders>
              <w:top w:val="single" w:sz="4" w:space="0" w:color="A6A6A6" w:themeColor="background1" w:themeShade="A6"/>
            </w:tcBorders>
          </w:tcPr>
          <w:p w14:paraId="6EAE24B3" w14:textId="77777777" w:rsidR="009D7833" w:rsidRPr="008B3557" w:rsidRDefault="009D7833" w:rsidP="00424213">
            <w:pPr>
              <w:pStyle w:val="TableFigures"/>
              <w:rPr>
                <w:sz w:val="15"/>
                <w:szCs w:val="15"/>
              </w:rPr>
            </w:pPr>
          </w:p>
        </w:tc>
        <w:tc>
          <w:tcPr>
            <w:tcW w:w="1135" w:type="dxa"/>
            <w:tcBorders>
              <w:top w:val="single" w:sz="4" w:space="0" w:color="A6A6A6" w:themeColor="background1" w:themeShade="A6"/>
            </w:tcBorders>
          </w:tcPr>
          <w:p w14:paraId="29C2D420" w14:textId="77777777" w:rsidR="009D7833" w:rsidRPr="008B3557" w:rsidRDefault="009D7833" w:rsidP="00424213">
            <w:pPr>
              <w:pStyle w:val="TableFigures"/>
              <w:rPr>
                <w:sz w:val="15"/>
                <w:szCs w:val="15"/>
              </w:rPr>
            </w:pPr>
          </w:p>
        </w:tc>
        <w:tc>
          <w:tcPr>
            <w:tcW w:w="955" w:type="dxa"/>
            <w:tcBorders>
              <w:top w:val="single" w:sz="4" w:space="0" w:color="A6A6A6" w:themeColor="background1" w:themeShade="A6"/>
            </w:tcBorders>
          </w:tcPr>
          <w:p w14:paraId="32509516" w14:textId="77777777" w:rsidR="009D7833" w:rsidRPr="008B3557" w:rsidRDefault="009D7833" w:rsidP="00424213">
            <w:pPr>
              <w:pStyle w:val="TableFigures"/>
              <w:rPr>
                <w:sz w:val="15"/>
                <w:szCs w:val="15"/>
              </w:rPr>
            </w:pPr>
          </w:p>
        </w:tc>
        <w:tc>
          <w:tcPr>
            <w:tcW w:w="683" w:type="dxa"/>
            <w:tcBorders>
              <w:top w:val="single" w:sz="4" w:space="0" w:color="A6A6A6" w:themeColor="background1" w:themeShade="A6"/>
            </w:tcBorders>
          </w:tcPr>
          <w:p w14:paraId="58742F14" w14:textId="77777777" w:rsidR="009D7833" w:rsidRPr="008B3557" w:rsidRDefault="009D7833" w:rsidP="00424213">
            <w:pPr>
              <w:pStyle w:val="TableFigures"/>
              <w:rPr>
                <w:sz w:val="15"/>
                <w:szCs w:val="15"/>
              </w:rPr>
            </w:pPr>
          </w:p>
        </w:tc>
      </w:tr>
      <w:tr w:rsidR="005F6D8A" w:rsidRPr="008B3557" w14:paraId="0E9ACA5B" w14:textId="77777777" w:rsidTr="00D30841">
        <w:tc>
          <w:tcPr>
            <w:tcW w:w="1560" w:type="dxa"/>
          </w:tcPr>
          <w:p w14:paraId="4F904C80" w14:textId="77850A9A" w:rsidR="00424213" w:rsidRPr="008B3557" w:rsidRDefault="00424213" w:rsidP="00424213">
            <w:pPr>
              <w:pStyle w:val="Tabletext"/>
              <w:rPr>
                <w:sz w:val="15"/>
                <w:szCs w:val="15"/>
              </w:rPr>
            </w:pPr>
            <w:r w:rsidRPr="008B3557">
              <w:rPr>
                <w:sz w:val="15"/>
                <w:szCs w:val="15"/>
              </w:rPr>
              <w:t>Issue of shares</w:t>
            </w:r>
          </w:p>
        </w:tc>
        <w:tc>
          <w:tcPr>
            <w:tcW w:w="709" w:type="dxa"/>
          </w:tcPr>
          <w:p w14:paraId="6DD3B412" w14:textId="1B569BD1" w:rsidR="00424213" w:rsidRPr="008B3557" w:rsidRDefault="008B3557" w:rsidP="00DC4F14">
            <w:pPr>
              <w:pStyle w:val="TableFiguresBold0"/>
              <w:rPr>
                <w:sz w:val="15"/>
                <w:szCs w:val="15"/>
              </w:rPr>
            </w:pPr>
            <w:r w:rsidRPr="008B3557">
              <w:rPr>
                <w:sz w:val="15"/>
                <w:szCs w:val="15"/>
              </w:rPr>
              <w:t>–</w:t>
            </w:r>
          </w:p>
        </w:tc>
        <w:tc>
          <w:tcPr>
            <w:tcW w:w="820" w:type="dxa"/>
            <w:gridSpan w:val="2"/>
          </w:tcPr>
          <w:p w14:paraId="6DB0141E" w14:textId="131DD8DD" w:rsidR="00424213" w:rsidRPr="008B3557" w:rsidRDefault="008B3557" w:rsidP="00DC4F14">
            <w:pPr>
              <w:pStyle w:val="TableFiguresBold0"/>
              <w:rPr>
                <w:sz w:val="15"/>
                <w:szCs w:val="15"/>
              </w:rPr>
            </w:pPr>
            <w:r w:rsidRPr="008B3557">
              <w:rPr>
                <w:sz w:val="15"/>
                <w:szCs w:val="15"/>
              </w:rPr>
              <w:t>1</w:t>
            </w:r>
          </w:p>
        </w:tc>
        <w:tc>
          <w:tcPr>
            <w:tcW w:w="928" w:type="dxa"/>
          </w:tcPr>
          <w:p w14:paraId="1700AD39" w14:textId="371D8849" w:rsidR="00424213" w:rsidRPr="008B3557" w:rsidRDefault="00204C91" w:rsidP="00DC4F14">
            <w:pPr>
              <w:pStyle w:val="TableFiguresBold0"/>
              <w:rPr>
                <w:sz w:val="15"/>
                <w:szCs w:val="15"/>
              </w:rPr>
            </w:pPr>
            <w:r w:rsidRPr="008B3557">
              <w:rPr>
                <w:sz w:val="15"/>
                <w:szCs w:val="15"/>
              </w:rPr>
              <w:t>–</w:t>
            </w:r>
          </w:p>
        </w:tc>
        <w:tc>
          <w:tcPr>
            <w:tcW w:w="700" w:type="dxa"/>
          </w:tcPr>
          <w:p w14:paraId="100233F5" w14:textId="03022C5E" w:rsidR="00424213" w:rsidRPr="008B3557" w:rsidRDefault="00204C91" w:rsidP="00DC4F14">
            <w:pPr>
              <w:pStyle w:val="TableFigures"/>
              <w:rPr>
                <w:b/>
                <w:bCs/>
                <w:sz w:val="15"/>
              </w:rPr>
            </w:pPr>
            <w:r w:rsidRPr="008B3557">
              <w:rPr>
                <w:b/>
                <w:bCs/>
                <w:sz w:val="15"/>
              </w:rPr>
              <w:t>–</w:t>
            </w:r>
          </w:p>
        </w:tc>
        <w:tc>
          <w:tcPr>
            <w:tcW w:w="876" w:type="dxa"/>
          </w:tcPr>
          <w:p w14:paraId="3F900616" w14:textId="056CCF72" w:rsidR="00424213" w:rsidRPr="008B3557" w:rsidRDefault="00204C91" w:rsidP="00DC4F14">
            <w:pPr>
              <w:pStyle w:val="TableFigures"/>
              <w:rPr>
                <w:b/>
                <w:bCs/>
                <w:sz w:val="15"/>
              </w:rPr>
            </w:pPr>
            <w:r w:rsidRPr="008B3557">
              <w:rPr>
                <w:b/>
                <w:bCs/>
                <w:sz w:val="15"/>
              </w:rPr>
              <w:t>–</w:t>
            </w:r>
          </w:p>
        </w:tc>
        <w:tc>
          <w:tcPr>
            <w:tcW w:w="997" w:type="dxa"/>
          </w:tcPr>
          <w:p w14:paraId="134649CB" w14:textId="3A5EEBDC" w:rsidR="00424213" w:rsidRPr="008B3557" w:rsidRDefault="00204C91" w:rsidP="00DC4F14">
            <w:pPr>
              <w:pStyle w:val="TableFigures"/>
              <w:rPr>
                <w:b/>
                <w:bCs/>
                <w:sz w:val="15"/>
              </w:rPr>
            </w:pPr>
            <w:r w:rsidRPr="008B3557">
              <w:rPr>
                <w:b/>
                <w:bCs/>
                <w:sz w:val="15"/>
              </w:rPr>
              <w:t>–</w:t>
            </w:r>
          </w:p>
        </w:tc>
        <w:tc>
          <w:tcPr>
            <w:tcW w:w="817" w:type="dxa"/>
          </w:tcPr>
          <w:p w14:paraId="0A89B562" w14:textId="668B1E2B" w:rsidR="00424213" w:rsidRPr="008B3557" w:rsidRDefault="00204C91" w:rsidP="00DC4F14">
            <w:pPr>
              <w:pStyle w:val="TableFigures"/>
              <w:rPr>
                <w:b/>
                <w:bCs/>
                <w:sz w:val="15"/>
              </w:rPr>
            </w:pPr>
            <w:r w:rsidRPr="008B3557">
              <w:rPr>
                <w:b/>
                <w:bCs/>
                <w:sz w:val="15"/>
              </w:rPr>
              <w:t>–</w:t>
            </w:r>
          </w:p>
        </w:tc>
        <w:tc>
          <w:tcPr>
            <w:tcW w:w="710" w:type="dxa"/>
          </w:tcPr>
          <w:p w14:paraId="600032C3" w14:textId="02113E94" w:rsidR="00424213" w:rsidRPr="008B3557" w:rsidRDefault="00204C91" w:rsidP="00DC4F14">
            <w:pPr>
              <w:pStyle w:val="TableFigures"/>
              <w:rPr>
                <w:b/>
                <w:bCs/>
                <w:sz w:val="15"/>
              </w:rPr>
            </w:pPr>
            <w:r w:rsidRPr="008B3557">
              <w:rPr>
                <w:b/>
                <w:bCs/>
                <w:sz w:val="15"/>
              </w:rPr>
              <w:t>–</w:t>
            </w:r>
          </w:p>
        </w:tc>
        <w:tc>
          <w:tcPr>
            <w:tcW w:w="1135" w:type="dxa"/>
          </w:tcPr>
          <w:p w14:paraId="02A84B98" w14:textId="7C2B7EF4" w:rsidR="00424213" w:rsidRPr="008B3557" w:rsidRDefault="008B3557" w:rsidP="00DC4F14">
            <w:pPr>
              <w:pStyle w:val="TableFigures"/>
              <w:rPr>
                <w:b/>
                <w:bCs/>
                <w:sz w:val="15"/>
              </w:rPr>
            </w:pPr>
            <w:r w:rsidRPr="008B3557">
              <w:rPr>
                <w:b/>
                <w:bCs/>
                <w:sz w:val="15"/>
              </w:rPr>
              <w:t>1</w:t>
            </w:r>
          </w:p>
        </w:tc>
        <w:tc>
          <w:tcPr>
            <w:tcW w:w="955" w:type="dxa"/>
          </w:tcPr>
          <w:p w14:paraId="0D68B726" w14:textId="29B2460D" w:rsidR="00424213" w:rsidRPr="008B3557" w:rsidRDefault="00204C91" w:rsidP="00DC4F14">
            <w:pPr>
              <w:pStyle w:val="TableFigures"/>
              <w:rPr>
                <w:b/>
                <w:bCs/>
                <w:sz w:val="15"/>
              </w:rPr>
            </w:pPr>
            <w:r w:rsidRPr="008B3557">
              <w:rPr>
                <w:b/>
                <w:bCs/>
                <w:sz w:val="15"/>
              </w:rPr>
              <w:t>–</w:t>
            </w:r>
          </w:p>
        </w:tc>
        <w:tc>
          <w:tcPr>
            <w:tcW w:w="683" w:type="dxa"/>
          </w:tcPr>
          <w:p w14:paraId="0546F7BD" w14:textId="751EDE2D" w:rsidR="00424213" w:rsidRPr="008B3557" w:rsidRDefault="008B3557" w:rsidP="00DC4F14">
            <w:pPr>
              <w:pStyle w:val="TableFigures"/>
              <w:rPr>
                <w:b/>
                <w:bCs/>
                <w:sz w:val="15"/>
              </w:rPr>
            </w:pPr>
            <w:r w:rsidRPr="008B3557">
              <w:rPr>
                <w:b/>
                <w:bCs/>
                <w:sz w:val="15"/>
              </w:rPr>
              <w:t>1</w:t>
            </w:r>
          </w:p>
        </w:tc>
      </w:tr>
      <w:tr w:rsidR="005F6D8A" w:rsidRPr="008B3557" w14:paraId="07FE90BC" w14:textId="77777777" w:rsidTr="00D30841">
        <w:tc>
          <w:tcPr>
            <w:tcW w:w="1560" w:type="dxa"/>
          </w:tcPr>
          <w:p w14:paraId="1B050826" w14:textId="1242148E" w:rsidR="00424213" w:rsidRPr="008B3557" w:rsidRDefault="00424213" w:rsidP="00424213">
            <w:pPr>
              <w:pStyle w:val="Tabletext"/>
              <w:rPr>
                <w:sz w:val="15"/>
                <w:szCs w:val="15"/>
              </w:rPr>
            </w:pPr>
            <w:r w:rsidRPr="008B3557">
              <w:rPr>
                <w:sz w:val="15"/>
                <w:szCs w:val="15"/>
              </w:rPr>
              <w:t>Own shares acquired</w:t>
            </w:r>
          </w:p>
        </w:tc>
        <w:tc>
          <w:tcPr>
            <w:tcW w:w="709" w:type="dxa"/>
          </w:tcPr>
          <w:p w14:paraId="2B164DA8" w14:textId="5AB0F079" w:rsidR="00424213" w:rsidRPr="008B3557" w:rsidRDefault="00204C91" w:rsidP="00DC4F14">
            <w:pPr>
              <w:pStyle w:val="TableFiguresBold0"/>
              <w:rPr>
                <w:sz w:val="15"/>
                <w:szCs w:val="15"/>
              </w:rPr>
            </w:pPr>
            <w:r w:rsidRPr="008B3557">
              <w:rPr>
                <w:sz w:val="15"/>
                <w:szCs w:val="15"/>
              </w:rPr>
              <w:t>–</w:t>
            </w:r>
          </w:p>
        </w:tc>
        <w:tc>
          <w:tcPr>
            <w:tcW w:w="820" w:type="dxa"/>
            <w:gridSpan w:val="2"/>
          </w:tcPr>
          <w:p w14:paraId="11ADF42F" w14:textId="51064618" w:rsidR="00424213" w:rsidRPr="008B3557" w:rsidRDefault="00204C91" w:rsidP="00DC4F14">
            <w:pPr>
              <w:pStyle w:val="TableFiguresBold0"/>
              <w:rPr>
                <w:sz w:val="15"/>
                <w:szCs w:val="15"/>
              </w:rPr>
            </w:pPr>
            <w:r w:rsidRPr="008B3557">
              <w:rPr>
                <w:sz w:val="15"/>
                <w:szCs w:val="15"/>
              </w:rPr>
              <w:t>–</w:t>
            </w:r>
          </w:p>
        </w:tc>
        <w:tc>
          <w:tcPr>
            <w:tcW w:w="928" w:type="dxa"/>
          </w:tcPr>
          <w:p w14:paraId="597D73DB" w14:textId="78BBF562" w:rsidR="00424213" w:rsidRPr="008B3557" w:rsidRDefault="00204C91" w:rsidP="00DC4F14">
            <w:pPr>
              <w:pStyle w:val="TableFiguresBold0"/>
              <w:rPr>
                <w:sz w:val="15"/>
                <w:szCs w:val="15"/>
              </w:rPr>
            </w:pPr>
            <w:r w:rsidRPr="008B3557">
              <w:rPr>
                <w:sz w:val="15"/>
                <w:szCs w:val="15"/>
              </w:rPr>
              <w:t>–</w:t>
            </w:r>
          </w:p>
        </w:tc>
        <w:tc>
          <w:tcPr>
            <w:tcW w:w="700" w:type="dxa"/>
          </w:tcPr>
          <w:p w14:paraId="3CD28F05" w14:textId="1CC30E86" w:rsidR="00424213" w:rsidRPr="008B3557" w:rsidRDefault="008B3557" w:rsidP="00DC4F14">
            <w:pPr>
              <w:pStyle w:val="TableFiguresBrackets"/>
              <w:rPr>
                <w:b/>
                <w:bCs/>
                <w:sz w:val="15"/>
              </w:rPr>
            </w:pPr>
            <w:r w:rsidRPr="008B3557">
              <w:rPr>
                <w:b/>
                <w:bCs/>
                <w:sz w:val="15"/>
              </w:rPr>
              <w:t>(3)</w:t>
            </w:r>
          </w:p>
        </w:tc>
        <w:tc>
          <w:tcPr>
            <w:tcW w:w="876" w:type="dxa"/>
          </w:tcPr>
          <w:p w14:paraId="74C59352" w14:textId="4000A4EE" w:rsidR="00424213" w:rsidRPr="008B3557" w:rsidRDefault="00204C91" w:rsidP="00DC4F14">
            <w:pPr>
              <w:pStyle w:val="TableFigures"/>
              <w:rPr>
                <w:b/>
                <w:bCs/>
                <w:sz w:val="15"/>
              </w:rPr>
            </w:pPr>
            <w:r w:rsidRPr="008B3557">
              <w:rPr>
                <w:b/>
                <w:bCs/>
                <w:sz w:val="15"/>
              </w:rPr>
              <w:t>–</w:t>
            </w:r>
          </w:p>
        </w:tc>
        <w:tc>
          <w:tcPr>
            <w:tcW w:w="997" w:type="dxa"/>
          </w:tcPr>
          <w:p w14:paraId="5AB1AF31" w14:textId="73C42329" w:rsidR="00424213" w:rsidRPr="008B3557" w:rsidRDefault="00204C91" w:rsidP="00DC4F14">
            <w:pPr>
              <w:pStyle w:val="TableFigures"/>
              <w:rPr>
                <w:b/>
                <w:bCs/>
                <w:sz w:val="15"/>
              </w:rPr>
            </w:pPr>
            <w:r w:rsidRPr="008B3557">
              <w:rPr>
                <w:b/>
                <w:bCs/>
                <w:sz w:val="15"/>
              </w:rPr>
              <w:t>–</w:t>
            </w:r>
          </w:p>
        </w:tc>
        <w:tc>
          <w:tcPr>
            <w:tcW w:w="817" w:type="dxa"/>
          </w:tcPr>
          <w:p w14:paraId="6D9AD51F" w14:textId="4685E0E4" w:rsidR="00424213" w:rsidRPr="008B3557" w:rsidRDefault="00204C91" w:rsidP="00DC4F14">
            <w:pPr>
              <w:pStyle w:val="TableFigures"/>
              <w:rPr>
                <w:b/>
                <w:bCs/>
                <w:sz w:val="15"/>
              </w:rPr>
            </w:pPr>
            <w:r w:rsidRPr="008B3557">
              <w:rPr>
                <w:b/>
                <w:bCs/>
                <w:sz w:val="15"/>
              </w:rPr>
              <w:t>–</w:t>
            </w:r>
          </w:p>
        </w:tc>
        <w:tc>
          <w:tcPr>
            <w:tcW w:w="710" w:type="dxa"/>
          </w:tcPr>
          <w:p w14:paraId="67EEFCCC" w14:textId="1911748E" w:rsidR="00424213" w:rsidRPr="008B3557" w:rsidRDefault="00204C91" w:rsidP="00DC4F14">
            <w:pPr>
              <w:pStyle w:val="TableFigures"/>
              <w:rPr>
                <w:b/>
                <w:bCs/>
                <w:sz w:val="15"/>
              </w:rPr>
            </w:pPr>
            <w:r w:rsidRPr="008B3557">
              <w:rPr>
                <w:b/>
                <w:bCs/>
                <w:sz w:val="15"/>
              </w:rPr>
              <w:t>–</w:t>
            </w:r>
          </w:p>
        </w:tc>
        <w:tc>
          <w:tcPr>
            <w:tcW w:w="1135" w:type="dxa"/>
          </w:tcPr>
          <w:p w14:paraId="566505BC" w14:textId="4A088434" w:rsidR="00424213" w:rsidRPr="008B3557" w:rsidRDefault="008B3557" w:rsidP="00DC4F14">
            <w:pPr>
              <w:pStyle w:val="TableFiguresBrackets"/>
              <w:rPr>
                <w:b/>
                <w:bCs/>
                <w:sz w:val="15"/>
              </w:rPr>
            </w:pPr>
            <w:r w:rsidRPr="008B3557">
              <w:rPr>
                <w:b/>
                <w:bCs/>
                <w:sz w:val="15"/>
              </w:rPr>
              <w:t>(3)</w:t>
            </w:r>
          </w:p>
        </w:tc>
        <w:tc>
          <w:tcPr>
            <w:tcW w:w="955" w:type="dxa"/>
          </w:tcPr>
          <w:p w14:paraId="7C99DF26" w14:textId="404CA91B" w:rsidR="00424213" w:rsidRPr="008B3557" w:rsidRDefault="00204C91" w:rsidP="00DC4F14">
            <w:pPr>
              <w:pStyle w:val="TableFigures"/>
              <w:rPr>
                <w:b/>
                <w:bCs/>
                <w:sz w:val="15"/>
              </w:rPr>
            </w:pPr>
            <w:r w:rsidRPr="008B3557">
              <w:rPr>
                <w:b/>
                <w:bCs/>
                <w:sz w:val="15"/>
              </w:rPr>
              <w:t>–</w:t>
            </w:r>
          </w:p>
        </w:tc>
        <w:tc>
          <w:tcPr>
            <w:tcW w:w="683" w:type="dxa"/>
          </w:tcPr>
          <w:p w14:paraId="3612BD8D" w14:textId="5A5B45AB" w:rsidR="00424213" w:rsidRPr="008B3557" w:rsidRDefault="008B3557" w:rsidP="00DC4F14">
            <w:pPr>
              <w:pStyle w:val="TableFiguresBrackets"/>
              <w:rPr>
                <w:b/>
                <w:bCs/>
                <w:sz w:val="15"/>
              </w:rPr>
            </w:pPr>
            <w:r w:rsidRPr="008B3557">
              <w:rPr>
                <w:b/>
                <w:bCs/>
                <w:sz w:val="15"/>
              </w:rPr>
              <w:t>(3)</w:t>
            </w:r>
          </w:p>
        </w:tc>
      </w:tr>
      <w:tr w:rsidR="005F6D8A" w:rsidRPr="008B3557" w14:paraId="152B1831" w14:textId="77777777" w:rsidTr="00D30841">
        <w:tc>
          <w:tcPr>
            <w:tcW w:w="1560" w:type="dxa"/>
          </w:tcPr>
          <w:p w14:paraId="10EA32DA" w14:textId="392D5DB1" w:rsidR="00424213" w:rsidRPr="008B3557" w:rsidRDefault="00424213" w:rsidP="00424213">
            <w:pPr>
              <w:pStyle w:val="Tabletext"/>
              <w:rPr>
                <w:sz w:val="15"/>
                <w:szCs w:val="15"/>
              </w:rPr>
            </w:pPr>
            <w:r w:rsidRPr="008B3557">
              <w:rPr>
                <w:sz w:val="15"/>
                <w:szCs w:val="15"/>
              </w:rPr>
              <w:t>Equity-settled share-based transactions</w:t>
            </w:r>
          </w:p>
        </w:tc>
        <w:tc>
          <w:tcPr>
            <w:tcW w:w="709" w:type="dxa"/>
          </w:tcPr>
          <w:p w14:paraId="03AD9244" w14:textId="7392E3D0" w:rsidR="00424213" w:rsidRPr="008B3557" w:rsidRDefault="00204C91" w:rsidP="00DC4F14">
            <w:pPr>
              <w:pStyle w:val="TableFiguresBold0"/>
              <w:rPr>
                <w:sz w:val="15"/>
                <w:szCs w:val="15"/>
              </w:rPr>
            </w:pPr>
            <w:r w:rsidRPr="008B3557">
              <w:rPr>
                <w:sz w:val="15"/>
                <w:szCs w:val="15"/>
              </w:rPr>
              <w:t>–</w:t>
            </w:r>
          </w:p>
        </w:tc>
        <w:tc>
          <w:tcPr>
            <w:tcW w:w="820" w:type="dxa"/>
            <w:gridSpan w:val="2"/>
          </w:tcPr>
          <w:p w14:paraId="34D0EF9A" w14:textId="653A8FF5" w:rsidR="00424213" w:rsidRPr="008B3557" w:rsidRDefault="00204C91" w:rsidP="00DC4F14">
            <w:pPr>
              <w:pStyle w:val="TableFiguresBold0"/>
              <w:rPr>
                <w:sz w:val="15"/>
                <w:szCs w:val="15"/>
              </w:rPr>
            </w:pPr>
            <w:r w:rsidRPr="008B3557">
              <w:rPr>
                <w:sz w:val="15"/>
                <w:szCs w:val="15"/>
              </w:rPr>
              <w:t>–</w:t>
            </w:r>
          </w:p>
        </w:tc>
        <w:tc>
          <w:tcPr>
            <w:tcW w:w="928" w:type="dxa"/>
          </w:tcPr>
          <w:p w14:paraId="4E84C9ED" w14:textId="12B18B57" w:rsidR="00424213" w:rsidRPr="008B3557" w:rsidRDefault="00204C91" w:rsidP="00DC4F14">
            <w:pPr>
              <w:pStyle w:val="TableFiguresBold0"/>
              <w:rPr>
                <w:sz w:val="15"/>
                <w:szCs w:val="15"/>
              </w:rPr>
            </w:pPr>
            <w:r w:rsidRPr="008B3557">
              <w:rPr>
                <w:sz w:val="15"/>
                <w:szCs w:val="15"/>
              </w:rPr>
              <w:t>–</w:t>
            </w:r>
          </w:p>
        </w:tc>
        <w:tc>
          <w:tcPr>
            <w:tcW w:w="700" w:type="dxa"/>
          </w:tcPr>
          <w:p w14:paraId="574360EA" w14:textId="7DF522F0" w:rsidR="00424213" w:rsidRPr="008B3557" w:rsidRDefault="008B3557" w:rsidP="00DC4F14">
            <w:pPr>
              <w:pStyle w:val="TableFigures"/>
              <w:rPr>
                <w:b/>
                <w:bCs/>
                <w:sz w:val="15"/>
              </w:rPr>
            </w:pPr>
            <w:r w:rsidRPr="008B3557">
              <w:rPr>
                <w:b/>
                <w:bCs/>
                <w:sz w:val="15"/>
              </w:rPr>
              <w:t>3</w:t>
            </w:r>
          </w:p>
        </w:tc>
        <w:tc>
          <w:tcPr>
            <w:tcW w:w="876" w:type="dxa"/>
          </w:tcPr>
          <w:p w14:paraId="4EE9C65A" w14:textId="35D679CB" w:rsidR="00424213" w:rsidRPr="008B3557" w:rsidRDefault="008B3557" w:rsidP="00DC4F14">
            <w:pPr>
              <w:pStyle w:val="TableFiguresBrackets"/>
              <w:rPr>
                <w:b/>
                <w:bCs/>
                <w:sz w:val="15"/>
              </w:rPr>
            </w:pPr>
            <w:r w:rsidRPr="008B3557">
              <w:rPr>
                <w:b/>
                <w:bCs/>
                <w:sz w:val="15"/>
              </w:rPr>
              <w:t>(2)</w:t>
            </w:r>
          </w:p>
        </w:tc>
        <w:tc>
          <w:tcPr>
            <w:tcW w:w="997" w:type="dxa"/>
          </w:tcPr>
          <w:p w14:paraId="796B4043" w14:textId="6E959C53" w:rsidR="00424213" w:rsidRPr="008B3557" w:rsidRDefault="00204C91" w:rsidP="00DC4F14">
            <w:pPr>
              <w:pStyle w:val="TableFigures"/>
              <w:rPr>
                <w:b/>
                <w:bCs/>
                <w:sz w:val="15"/>
              </w:rPr>
            </w:pPr>
            <w:r w:rsidRPr="008B3557">
              <w:rPr>
                <w:b/>
                <w:bCs/>
                <w:sz w:val="15"/>
              </w:rPr>
              <w:t>–</w:t>
            </w:r>
          </w:p>
        </w:tc>
        <w:tc>
          <w:tcPr>
            <w:tcW w:w="817" w:type="dxa"/>
          </w:tcPr>
          <w:p w14:paraId="228D34D1" w14:textId="7C9B0353" w:rsidR="00424213" w:rsidRPr="008B3557" w:rsidRDefault="00204C91" w:rsidP="00DC4F14">
            <w:pPr>
              <w:pStyle w:val="TableFigures"/>
              <w:rPr>
                <w:b/>
                <w:bCs/>
                <w:sz w:val="15"/>
              </w:rPr>
            </w:pPr>
            <w:r w:rsidRPr="008B3557">
              <w:rPr>
                <w:b/>
                <w:bCs/>
                <w:sz w:val="15"/>
              </w:rPr>
              <w:t>–</w:t>
            </w:r>
          </w:p>
        </w:tc>
        <w:tc>
          <w:tcPr>
            <w:tcW w:w="710" w:type="dxa"/>
          </w:tcPr>
          <w:p w14:paraId="1E2FEDC0" w14:textId="489A0C43" w:rsidR="00424213" w:rsidRPr="008B3557" w:rsidRDefault="008B3557" w:rsidP="00DC4F14">
            <w:pPr>
              <w:pStyle w:val="TableFigures"/>
              <w:rPr>
                <w:b/>
                <w:bCs/>
                <w:sz w:val="15"/>
              </w:rPr>
            </w:pPr>
            <w:r w:rsidRPr="008B3557">
              <w:rPr>
                <w:b/>
                <w:bCs/>
                <w:sz w:val="15"/>
              </w:rPr>
              <w:t>6</w:t>
            </w:r>
          </w:p>
        </w:tc>
        <w:tc>
          <w:tcPr>
            <w:tcW w:w="1135" w:type="dxa"/>
          </w:tcPr>
          <w:p w14:paraId="2FC09E97" w14:textId="064E7812" w:rsidR="00424213" w:rsidRPr="008B3557" w:rsidRDefault="008B3557" w:rsidP="00DC4F14">
            <w:pPr>
              <w:pStyle w:val="TableFigures"/>
              <w:rPr>
                <w:b/>
                <w:bCs/>
                <w:sz w:val="15"/>
              </w:rPr>
            </w:pPr>
            <w:r w:rsidRPr="008B3557">
              <w:rPr>
                <w:b/>
                <w:bCs/>
                <w:sz w:val="15"/>
              </w:rPr>
              <w:t>7</w:t>
            </w:r>
          </w:p>
        </w:tc>
        <w:tc>
          <w:tcPr>
            <w:tcW w:w="955" w:type="dxa"/>
          </w:tcPr>
          <w:p w14:paraId="0B90D768" w14:textId="0917FE43" w:rsidR="00424213" w:rsidRPr="008B3557" w:rsidRDefault="00204C91" w:rsidP="00DC4F14">
            <w:pPr>
              <w:pStyle w:val="TableFigures"/>
              <w:rPr>
                <w:b/>
                <w:bCs/>
                <w:sz w:val="15"/>
              </w:rPr>
            </w:pPr>
            <w:r w:rsidRPr="008B3557">
              <w:rPr>
                <w:b/>
                <w:bCs/>
                <w:sz w:val="15"/>
              </w:rPr>
              <w:t>–</w:t>
            </w:r>
          </w:p>
        </w:tc>
        <w:tc>
          <w:tcPr>
            <w:tcW w:w="683" w:type="dxa"/>
          </w:tcPr>
          <w:p w14:paraId="4EA46E5F" w14:textId="2140252C" w:rsidR="00424213" w:rsidRPr="008B3557" w:rsidRDefault="008B3557" w:rsidP="00DC4F14">
            <w:pPr>
              <w:pStyle w:val="TableFigures"/>
              <w:rPr>
                <w:b/>
                <w:bCs/>
                <w:sz w:val="15"/>
              </w:rPr>
            </w:pPr>
            <w:r w:rsidRPr="008B3557">
              <w:rPr>
                <w:b/>
                <w:bCs/>
                <w:sz w:val="15"/>
              </w:rPr>
              <w:t>7</w:t>
            </w:r>
          </w:p>
        </w:tc>
      </w:tr>
      <w:tr w:rsidR="005F6D8A" w:rsidRPr="008B3557" w14:paraId="4F1D6072" w14:textId="77777777" w:rsidTr="00D30841">
        <w:tc>
          <w:tcPr>
            <w:tcW w:w="1560" w:type="dxa"/>
          </w:tcPr>
          <w:p w14:paraId="1017A857" w14:textId="3C1DB95E" w:rsidR="00424213" w:rsidRPr="008B3557" w:rsidRDefault="00424213" w:rsidP="00424213">
            <w:pPr>
              <w:pStyle w:val="Tabletext"/>
              <w:rPr>
                <w:sz w:val="15"/>
                <w:szCs w:val="15"/>
              </w:rPr>
            </w:pPr>
            <w:r w:rsidRPr="008B3557">
              <w:rPr>
                <w:sz w:val="15"/>
                <w:szCs w:val="15"/>
              </w:rPr>
              <w:t>Dividends</w:t>
            </w:r>
          </w:p>
        </w:tc>
        <w:tc>
          <w:tcPr>
            <w:tcW w:w="709" w:type="dxa"/>
          </w:tcPr>
          <w:p w14:paraId="76A1D6B0" w14:textId="639CC23F" w:rsidR="00424213" w:rsidRPr="008B3557" w:rsidRDefault="008B3557" w:rsidP="00DC4F14">
            <w:pPr>
              <w:pStyle w:val="TableFiguresBold0"/>
              <w:rPr>
                <w:sz w:val="15"/>
                <w:szCs w:val="15"/>
              </w:rPr>
            </w:pPr>
            <w:r w:rsidRPr="008B3557">
              <w:rPr>
                <w:sz w:val="15"/>
                <w:szCs w:val="15"/>
              </w:rPr>
              <w:t>1</w:t>
            </w:r>
          </w:p>
        </w:tc>
        <w:tc>
          <w:tcPr>
            <w:tcW w:w="820" w:type="dxa"/>
            <w:gridSpan w:val="2"/>
          </w:tcPr>
          <w:p w14:paraId="39B609E9" w14:textId="3932BEB2" w:rsidR="00424213" w:rsidRPr="008B3557" w:rsidRDefault="008B3557" w:rsidP="00DC4F14">
            <w:pPr>
              <w:pStyle w:val="TableFiguresBold0"/>
              <w:rPr>
                <w:sz w:val="15"/>
                <w:szCs w:val="15"/>
              </w:rPr>
            </w:pPr>
            <w:r w:rsidRPr="008B3557">
              <w:rPr>
                <w:sz w:val="15"/>
                <w:szCs w:val="15"/>
              </w:rPr>
              <w:t>93</w:t>
            </w:r>
          </w:p>
        </w:tc>
        <w:tc>
          <w:tcPr>
            <w:tcW w:w="928" w:type="dxa"/>
          </w:tcPr>
          <w:p w14:paraId="17A6FFBF" w14:textId="7B594502" w:rsidR="00424213" w:rsidRPr="008B3557" w:rsidRDefault="00D964CC" w:rsidP="00DC4F14">
            <w:pPr>
              <w:pStyle w:val="TableFiguresBold0"/>
              <w:rPr>
                <w:sz w:val="15"/>
                <w:szCs w:val="15"/>
              </w:rPr>
            </w:pPr>
            <w:r w:rsidRPr="008B3557">
              <w:rPr>
                <w:sz w:val="15"/>
                <w:szCs w:val="15"/>
              </w:rPr>
              <w:t>–</w:t>
            </w:r>
          </w:p>
        </w:tc>
        <w:tc>
          <w:tcPr>
            <w:tcW w:w="700" w:type="dxa"/>
          </w:tcPr>
          <w:p w14:paraId="7CADFC87" w14:textId="09CEAD7D" w:rsidR="00424213" w:rsidRPr="008B3557" w:rsidRDefault="00204C91" w:rsidP="00DC4F14">
            <w:pPr>
              <w:pStyle w:val="TableFigures"/>
              <w:rPr>
                <w:b/>
                <w:bCs/>
                <w:sz w:val="15"/>
              </w:rPr>
            </w:pPr>
            <w:r w:rsidRPr="008B3557">
              <w:rPr>
                <w:b/>
                <w:bCs/>
                <w:sz w:val="15"/>
              </w:rPr>
              <w:t>–</w:t>
            </w:r>
          </w:p>
        </w:tc>
        <w:tc>
          <w:tcPr>
            <w:tcW w:w="876" w:type="dxa"/>
          </w:tcPr>
          <w:p w14:paraId="39BDC573" w14:textId="58E240D7" w:rsidR="00424213" w:rsidRPr="008B3557" w:rsidRDefault="00204C91" w:rsidP="00DC4F14">
            <w:pPr>
              <w:pStyle w:val="TableFigures"/>
              <w:rPr>
                <w:b/>
                <w:bCs/>
                <w:sz w:val="15"/>
              </w:rPr>
            </w:pPr>
            <w:r w:rsidRPr="008B3557">
              <w:rPr>
                <w:b/>
                <w:bCs/>
                <w:sz w:val="15"/>
              </w:rPr>
              <w:t>–</w:t>
            </w:r>
          </w:p>
        </w:tc>
        <w:tc>
          <w:tcPr>
            <w:tcW w:w="997" w:type="dxa"/>
          </w:tcPr>
          <w:p w14:paraId="404C90BD" w14:textId="7ADE6D4A" w:rsidR="00424213" w:rsidRPr="008B3557" w:rsidRDefault="00204C91" w:rsidP="00DC4F14">
            <w:pPr>
              <w:pStyle w:val="TableFigures"/>
              <w:rPr>
                <w:b/>
                <w:bCs/>
                <w:sz w:val="15"/>
              </w:rPr>
            </w:pPr>
            <w:r w:rsidRPr="008B3557">
              <w:rPr>
                <w:b/>
                <w:bCs/>
                <w:sz w:val="15"/>
              </w:rPr>
              <w:t>–</w:t>
            </w:r>
          </w:p>
        </w:tc>
        <w:tc>
          <w:tcPr>
            <w:tcW w:w="817" w:type="dxa"/>
          </w:tcPr>
          <w:p w14:paraId="545972D5" w14:textId="4213B362" w:rsidR="00424213" w:rsidRPr="008B3557" w:rsidRDefault="00204C91" w:rsidP="00DC4F14">
            <w:pPr>
              <w:pStyle w:val="TableFigures"/>
              <w:rPr>
                <w:b/>
                <w:bCs/>
                <w:sz w:val="15"/>
              </w:rPr>
            </w:pPr>
            <w:r w:rsidRPr="008B3557">
              <w:rPr>
                <w:b/>
                <w:bCs/>
                <w:sz w:val="15"/>
              </w:rPr>
              <w:t>–</w:t>
            </w:r>
          </w:p>
        </w:tc>
        <w:tc>
          <w:tcPr>
            <w:tcW w:w="710" w:type="dxa"/>
          </w:tcPr>
          <w:p w14:paraId="06973CDC" w14:textId="5134DA5A" w:rsidR="00424213" w:rsidRPr="008B3557" w:rsidRDefault="008B3557" w:rsidP="00DC4F14">
            <w:pPr>
              <w:pStyle w:val="TableFiguresBrackets"/>
              <w:rPr>
                <w:b/>
                <w:bCs/>
                <w:sz w:val="15"/>
              </w:rPr>
            </w:pPr>
            <w:r w:rsidRPr="008B3557">
              <w:rPr>
                <w:b/>
                <w:bCs/>
                <w:sz w:val="15"/>
              </w:rPr>
              <w:t>(270)</w:t>
            </w:r>
          </w:p>
        </w:tc>
        <w:tc>
          <w:tcPr>
            <w:tcW w:w="1135" w:type="dxa"/>
          </w:tcPr>
          <w:p w14:paraId="7306717A" w14:textId="61D9FAD4" w:rsidR="00424213" w:rsidRPr="008B3557" w:rsidRDefault="008B3557" w:rsidP="00DC4F14">
            <w:pPr>
              <w:pStyle w:val="TableFiguresBrackets"/>
              <w:rPr>
                <w:b/>
                <w:bCs/>
                <w:sz w:val="15"/>
              </w:rPr>
            </w:pPr>
            <w:r w:rsidRPr="008B3557">
              <w:rPr>
                <w:b/>
                <w:bCs/>
                <w:sz w:val="15"/>
              </w:rPr>
              <w:t>(176)</w:t>
            </w:r>
          </w:p>
        </w:tc>
        <w:tc>
          <w:tcPr>
            <w:tcW w:w="955" w:type="dxa"/>
          </w:tcPr>
          <w:p w14:paraId="593C3FF1" w14:textId="2141D39F" w:rsidR="00424213" w:rsidRPr="0068185D" w:rsidRDefault="008B3557" w:rsidP="0068185D">
            <w:pPr>
              <w:pStyle w:val="TableFiguresBrackets"/>
              <w:rPr>
                <w:b/>
                <w:bCs/>
                <w:sz w:val="15"/>
              </w:rPr>
            </w:pPr>
            <w:r w:rsidRPr="0068185D">
              <w:rPr>
                <w:b/>
                <w:bCs/>
                <w:sz w:val="15"/>
              </w:rPr>
              <w:t>(4)</w:t>
            </w:r>
          </w:p>
        </w:tc>
        <w:tc>
          <w:tcPr>
            <w:tcW w:w="683" w:type="dxa"/>
          </w:tcPr>
          <w:p w14:paraId="776DECAB" w14:textId="3C8AAC31" w:rsidR="00424213" w:rsidRPr="008B3557" w:rsidRDefault="008B3557" w:rsidP="00DC4F14">
            <w:pPr>
              <w:pStyle w:val="TableFiguresBrackets"/>
              <w:rPr>
                <w:b/>
                <w:bCs/>
                <w:sz w:val="15"/>
              </w:rPr>
            </w:pPr>
            <w:r w:rsidRPr="008B3557">
              <w:rPr>
                <w:b/>
                <w:bCs/>
                <w:sz w:val="15"/>
              </w:rPr>
              <w:t>(180)</w:t>
            </w:r>
          </w:p>
        </w:tc>
      </w:tr>
      <w:tr w:rsidR="005F6D8A" w:rsidRPr="008B3557" w14:paraId="621E14DA" w14:textId="77777777" w:rsidTr="00D30841">
        <w:tc>
          <w:tcPr>
            <w:tcW w:w="1560" w:type="dxa"/>
            <w:tcBorders>
              <w:bottom w:val="single" w:sz="4" w:space="0" w:color="A6A6A6" w:themeColor="background1" w:themeShade="A6"/>
            </w:tcBorders>
          </w:tcPr>
          <w:p w14:paraId="6ACC1413" w14:textId="1891B592" w:rsidR="00424213" w:rsidRPr="008B3557" w:rsidRDefault="00424213" w:rsidP="00424213">
            <w:pPr>
              <w:pStyle w:val="Tabletext"/>
              <w:rPr>
                <w:sz w:val="15"/>
                <w:szCs w:val="15"/>
              </w:rPr>
            </w:pPr>
            <w:r w:rsidRPr="008B3557">
              <w:rPr>
                <w:sz w:val="15"/>
                <w:szCs w:val="15"/>
              </w:rPr>
              <w:t>Movement in non-controlling interest</w:t>
            </w:r>
            <w:r w:rsidR="00E7751B">
              <w:rPr>
                <w:sz w:val="15"/>
                <w:szCs w:val="15"/>
                <w:vertAlign w:val="superscript"/>
              </w:rPr>
              <w:t>1</w:t>
            </w:r>
          </w:p>
        </w:tc>
        <w:tc>
          <w:tcPr>
            <w:tcW w:w="709" w:type="dxa"/>
            <w:tcBorders>
              <w:bottom w:val="single" w:sz="4" w:space="0" w:color="A6A6A6" w:themeColor="background1" w:themeShade="A6"/>
            </w:tcBorders>
          </w:tcPr>
          <w:p w14:paraId="322B061A" w14:textId="58CCA3A3" w:rsidR="00424213" w:rsidRPr="008B3557" w:rsidRDefault="00204C91" w:rsidP="00DC4F14">
            <w:pPr>
              <w:pStyle w:val="TableFiguresBold0"/>
              <w:rPr>
                <w:sz w:val="15"/>
                <w:szCs w:val="15"/>
              </w:rPr>
            </w:pPr>
            <w:r w:rsidRPr="008B3557">
              <w:rPr>
                <w:sz w:val="15"/>
                <w:szCs w:val="15"/>
              </w:rPr>
              <w:t>–</w:t>
            </w:r>
          </w:p>
        </w:tc>
        <w:tc>
          <w:tcPr>
            <w:tcW w:w="820" w:type="dxa"/>
            <w:gridSpan w:val="2"/>
            <w:tcBorders>
              <w:bottom w:val="single" w:sz="4" w:space="0" w:color="A6A6A6" w:themeColor="background1" w:themeShade="A6"/>
            </w:tcBorders>
          </w:tcPr>
          <w:p w14:paraId="3795EE2F" w14:textId="3DAE96EE" w:rsidR="00424213" w:rsidRPr="008B3557" w:rsidRDefault="00204C91" w:rsidP="00DC4F14">
            <w:pPr>
              <w:pStyle w:val="TableFiguresBold0"/>
              <w:rPr>
                <w:sz w:val="15"/>
                <w:szCs w:val="15"/>
              </w:rPr>
            </w:pPr>
            <w:r w:rsidRPr="008B3557">
              <w:rPr>
                <w:sz w:val="15"/>
                <w:szCs w:val="15"/>
              </w:rPr>
              <w:t>–</w:t>
            </w:r>
          </w:p>
        </w:tc>
        <w:tc>
          <w:tcPr>
            <w:tcW w:w="928" w:type="dxa"/>
            <w:tcBorders>
              <w:bottom w:val="single" w:sz="4" w:space="0" w:color="A6A6A6" w:themeColor="background1" w:themeShade="A6"/>
            </w:tcBorders>
          </w:tcPr>
          <w:p w14:paraId="0DDF59A5" w14:textId="6DE105D2" w:rsidR="00424213" w:rsidRPr="008B3557" w:rsidRDefault="00204C91" w:rsidP="00DC4F14">
            <w:pPr>
              <w:pStyle w:val="TableFiguresBold0"/>
              <w:rPr>
                <w:sz w:val="15"/>
                <w:szCs w:val="15"/>
              </w:rPr>
            </w:pPr>
            <w:r w:rsidRPr="008B3557">
              <w:rPr>
                <w:sz w:val="15"/>
                <w:szCs w:val="15"/>
              </w:rPr>
              <w:t>–</w:t>
            </w:r>
          </w:p>
        </w:tc>
        <w:tc>
          <w:tcPr>
            <w:tcW w:w="700" w:type="dxa"/>
            <w:tcBorders>
              <w:bottom w:val="single" w:sz="4" w:space="0" w:color="A6A6A6" w:themeColor="background1" w:themeShade="A6"/>
            </w:tcBorders>
          </w:tcPr>
          <w:p w14:paraId="4C7EB6E1" w14:textId="61DB0894" w:rsidR="00424213" w:rsidRPr="008B3557" w:rsidRDefault="00204C91" w:rsidP="00DC4F14">
            <w:pPr>
              <w:pStyle w:val="TableFigures"/>
              <w:rPr>
                <w:b/>
                <w:bCs/>
                <w:sz w:val="15"/>
              </w:rPr>
            </w:pPr>
            <w:r w:rsidRPr="008B3557">
              <w:rPr>
                <w:b/>
                <w:bCs/>
                <w:sz w:val="15"/>
              </w:rPr>
              <w:t>–</w:t>
            </w:r>
          </w:p>
        </w:tc>
        <w:tc>
          <w:tcPr>
            <w:tcW w:w="876" w:type="dxa"/>
            <w:tcBorders>
              <w:bottom w:val="single" w:sz="4" w:space="0" w:color="A6A6A6" w:themeColor="background1" w:themeShade="A6"/>
            </w:tcBorders>
          </w:tcPr>
          <w:p w14:paraId="343AA876" w14:textId="2AE4FEAB" w:rsidR="00424213" w:rsidRPr="008B3557" w:rsidRDefault="00204C91" w:rsidP="00DC4F14">
            <w:pPr>
              <w:pStyle w:val="TableFigures"/>
              <w:rPr>
                <w:b/>
                <w:bCs/>
                <w:sz w:val="15"/>
              </w:rPr>
            </w:pPr>
            <w:r w:rsidRPr="008B3557">
              <w:rPr>
                <w:b/>
                <w:bCs/>
                <w:sz w:val="15"/>
              </w:rPr>
              <w:t>–</w:t>
            </w:r>
          </w:p>
        </w:tc>
        <w:tc>
          <w:tcPr>
            <w:tcW w:w="997" w:type="dxa"/>
            <w:tcBorders>
              <w:bottom w:val="single" w:sz="4" w:space="0" w:color="A6A6A6" w:themeColor="background1" w:themeShade="A6"/>
            </w:tcBorders>
          </w:tcPr>
          <w:p w14:paraId="495D7EB9" w14:textId="2E0AA4FD" w:rsidR="00424213" w:rsidRPr="008B3557" w:rsidRDefault="00204C91" w:rsidP="00DC4F14">
            <w:pPr>
              <w:pStyle w:val="TableFigures"/>
              <w:rPr>
                <w:b/>
                <w:bCs/>
                <w:sz w:val="15"/>
              </w:rPr>
            </w:pPr>
            <w:r w:rsidRPr="008B3557">
              <w:rPr>
                <w:b/>
                <w:bCs/>
                <w:sz w:val="15"/>
              </w:rPr>
              <w:t>–</w:t>
            </w:r>
          </w:p>
        </w:tc>
        <w:tc>
          <w:tcPr>
            <w:tcW w:w="817" w:type="dxa"/>
            <w:tcBorders>
              <w:bottom w:val="single" w:sz="4" w:space="0" w:color="A6A6A6" w:themeColor="background1" w:themeShade="A6"/>
            </w:tcBorders>
          </w:tcPr>
          <w:p w14:paraId="22D36077" w14:textId="69684098" w:rsidR="00424213" w:rsidRPr="008B3557" w:rsidRDefault="00204C91" w:rsidP="00DC4F14">
            <w:pPr>
              <w:pStyle w:val="TableFigures"/>
              <w:rPr>
                <w:b/>
                <w:bCs/>
                <w:sz w:val="15"/>
              </w:rPr>
            </w:pPr>
            <w:r w:rsidRPr="008B3557">
              <w:rPr>
                <w:b/>
                <w:bCs/>
                <w:sz w:val="15"/>
              </w:rPr>
              <w:t>–</w:t>
            </w:r>
          </w:p>
        </w:tc>
        <w:tc>
          <w:tcPr>
            <w:tcW w:w="710" w:type="dxa"/>
            <w:tcBorders>
              <w:bottom w:val="single" w:sz="4" w:space="0" w:color="A6A6A6" w:themeColor="background1" w:themeShade="A6"/>
            </w:tcBorders>
          </w:tcPr>
          <w:p w14:paraId="2228863B" w14:textId="3CD38BF8" w:rsidR="00424213" w:rsidRPr="008B3557" w:rsidRDefault="008B3557" w:rsidP="00DC4F14">
            <w:pPr>
              <w:pStyle w:val="TableFiguresBrackets"/>
              <w:rPr>
                <w:b/>
                <w:bCs/>
                <w:sz w:val="15"/>
              </w:rPr>
            </w:pPr>
            <w:r w:rsidRPr="008B3557">
              <w:rPr>
                <w:b/>
                <w:bCs/>
                <w:sz w:val="15"/>
              </w:rPr>
              <w:t>(1)</w:t>
            </w:r>
          </w:p>
        </w:tc>
        <w:tc>
          <w:tcPr>
            <w:tcW w:w="1135" w:type="dxa"/>
            <w:tcBorders>
              <w:bottom w:val="single" w:sz="4" w:space="0" w:color="A6A6A6" w:themeColor="background1" w:themeShade="A6"/>
            </w:tcBorders>
          </w:tcPr>
          <w:p w14:paraId="07B2467A" w14:textId="5BEC8F3E" w:rsidR="00424213" w:rsidRPr="008B3557" w:rsidRDefault="008B3557" w:rsidP="00DC4F14">
            <w:pPr>
              <w:pStyle w:val="TableFiguresBrackets"/>
              <w:rPr>
                <w:b/>
                <w:bCs/>
                <w:sz w:val="15"/>
              </w:rPr>
            </w:pPr>
            <w:r w:rsidRPr="008B3557">
              <w:rPr>
                <w:b/>
                <w:bCs/>
                <w:sz w:val="15"/>
              </w:rPr>
              <w:t>(1)</w:t>
            </w:r>
          </w:p>
        </w:tc>
        <w:tc>
          <w:tcPr>
            <w:tcW w:w="955" w:type="dxa"/>
            <w:tcBorders>
              <w:bottom w:val="single" w:sz="4" w:space="0" w:color="A6A6A6" w:themeColor="background1" w:themeShade="A6"/>
            </w:tcBorders>
          </w:tcPr>
          <w:p w14:paraId="5D465CE8" w14:textId="28F437CC" w:rsidR="00424213" w:rsidRPr="0068185D" w:rsidRDefault="008B3557" w:rsidP="0068185D">
            <w:pPr>
              <w:pStyle w:val="TableFiguresBrackets"/>
              <w:rPr>
                <w:sz w:val="15"/>
              </w:rPr>
            </w:pPr>
            <w:r w:rsidRPr="0068185D">
              <w:rPr>
                <w:b/>
                <w:bCs/>
                <w:sz w:val="15"/>
              </w:rPr>
              <w:t>(16)</w:t>
            </w:r>
          </w:p>
        </w:tc>
        <w:tc>
          <w:tcPr>
            <w:tcW w:w="683" w:type="dxa"/>
            <w:tcBorders>
              <w:bottom w:val="single" w:sz="4" w:space="0" w:color="A6A6A6" w:themeColor="background1" w:themeShade="A6"/>
            </w:tcBorders>
          </w:tcPr>
          <w:p w14:paraId="6F671F06" w14:textId="49BE35B5" w:rsidR="00424213" w:rsidRPr="00BA4E4C" w:rsidRDefault="008B3557">
            <w:pPr>
              <w:pStyle w:val="TableFiguresBrackets"/>
              <w:rPr>
                <w:b/>
                <w:bCs/>
                <w:sz w:val="15"/>
              </w:rPr>
            </w:pPr>
            <w:r w:rsidRPr="00BA4E4C">
              <w:rPr>
                <w:b/>
                <w:bCs/>
                <w:sz w:val="15"/>
              </w:rPr>
              <w:t>(17)</w:t>
            </w:r>
          </w:p>
        </w:tc>
      </w:tr>
      <w:tr w:rsidR="005F6D8A" w:rsidRPr="008B3557" w14:paraId="2F5263EE" w14:textId="77777777" w:rsidTr="00FA7C8E">
        <w:tc>
          <w:tcPr>
            <w:tcW w:w="1560" w:type="dxa"/>
            <w:tcBorders>
              <w:top w:val="single" w:sz="4" w:space="0" w:color="A6A6A6" w:themeColor="background1" w:themeShade="A6"/>
              <w:bottom w:val="single" w:sz="4" w:space="0" w:color="A6A6A6" w:themeColor="background1" w:themeShade="A6"/>
            </w:tcBorders>
          </w:tcPr>
          <w:p w14:paraId="7FA89A4A" w14:textId="5EBFA7D3" w:rsidR="00424213" w:rsidRPr="008B3557" w:rsidRDefault="00424213" w:rsidP="00424213">
            <w:pPr>
              <w:pStyle w:val="Tabletext"/>
              <w:rPr>
                <w:b/>
                <w:sz w:val="15"/>
                <w:szCs w:val="15"/>
              </w:rPr>
            </w:pPr>
            <w:r w:rsidRPr="008B3557">
              <w:rPr>
                <w:b/>
                <w:sz w:val="15"/>
                <w:szCs w:val="15"/>
              </w:rPr>
              <w:t>Total transaction with owners of the Company</w:t>
            </w:r>
          </w:p>
        </w:tc>
        <w:tc>
          <w:tcPr>
            <w:tcW w:w="709" w:type="dxa"/>
            <w:tcBorders>
              <w:top w:val="single" w:sz="4" w:space="0" w:color="A6A6A6" w:themeColor="background1" w:themeShade="A6"/>
              <w:bottom w:val="single" w:sz="4" w:space="0" w:color="A6A6A6" w:themeColor="background1" w:themeShade="A6"/>
            </w:tcBorders>
          </w:tcPr>
          <w:p w14:paraId="0233F442" w14:textId="4509770C" w:rsidR="00424213" w:rsidRPr="008B3557" w:rsidRDefault="008B3557" w:rsidP="00DC4F14">
            <w:pPr>
              <w:pStyle w:val="TableFiguresBold0"/>
              <w:rPr>
                <w:sz w:val="15"/>
                <w:szCs w:val="15"/>
              </w:rPr>
            </w:pPr>
            <w:r w:rsidRPr="008B3557">
              <w:rPr>
                <w:sz w:val="15"/>
                <w:szCs w:val="15"/>
              </w:rPr>
              <w:t>1</w:t>
            </w:r>
          </w:p>
        </w:tc>
        <w:tc>
          <w:tcPr>
            <w:tcW w:w="820" w:type="dxa"/>
            <w:gridSpan w:val="2"/>
            <w:tcBorders>
              <w:top w:val="single" w:sz="4" w:space="0" w:color="A6A6A6" w:themeColor="background1" w:themeShade="A6"/>
              <w:bottom w:val="single" w:sz="4" w:space="0" w:color="A6A6A6" w:themeColor="background1" w:themeShade="A6"/>
            </w:tcBorders>
          </w:tcPr>
          <w:p w14:paraId="1E2E46B2" w14:textId="2B57381C" w:rsidR="00424213" w:rsidRPr="008B3557" w:rsidRDefault="008B3557" w:rsidP="00DC4F14">
            <w:pPr>
              <w:pStyle w:val="TableFiguresBold0"/>
              <w:rPr>
                <w:sz w:val="15"/>
                <w:szCs w:val="15"/>
              </w:rPr>
            </w:pPr>
            <w:r w:rsidRPr="008B3557">
              <w:rPr>
                <w:sz w:val="15"/>
                <w:szCs w:val="15"/>
              </w:rPr>
              <w:t>94</w:t>
            </w:r>
          </w:p>
        </w:tc>
        <w:tc>
          <w:tcPr>
            <w:tcW w:w="928" w:type="dxa"/>
            <w:tcBorders>
              <w:top w:val="single" w:sz="4" w:space="0" w:color="A6A6A6" w:themeColor="background1" w:themeShade="A6"/>
              <w:bottom w:val="single" w:sz="4" w:space="0" w:color="A6A6A6" w:themeColor="background1" w:themeShade="A6"/>
            </w:tcBorders>
          </w:tcPr>
          <w:p w14:paraId="705ACF6A" w14:textId="19A741BC" w:rsidR="00424213" w:rsidRPr="008B3557" w:rsidRDefault="00204C91" w:rsidP="00DC4F14">
            <w:pPr>
              <w:pStyle w:val="TableFiguresBold0"/>
              <w:rPr>
                <w:sz w:val="15"/>
                <w:szCs w:val="15"/>
              </w:rPr>
            </w:pPr>
            <w:r w:rsidRPr="008B3557">
              <w:rPr>
                <w:sz w:val="15"/>
                <w:szCs w:val="15"/>
              </w:rPr>
              <w:t>–</w:t>
            </w:r>
          </w:p>
        </w:tc>
        <w:tc>
          <w:tcPr>
            <w:tcW w:w="700" w:type="dxa"/>
            <w:tcBorders>
              <w:top w:val="single" w:sz="4" w:space="0" w:color="A6A6A6" w:themeColor="background1" w:themeShade="A6"/>
              <w:bottom w:val="single" w:sz="4" w:space="0" w:color="A6A6A6" w:themeColor="background1" w:themeShade="A6"/>
            </w:tcBorders>
          </w:tcPr>
          <w:p w14:paraId="66D4018D" w14:textId="26D4B292" w:rsidR="00424213" w:rsidRPr="008B3557" w:rsidRDefault="008B3557" w:rsidP="004B05D3">
            <w:pPr>
              <w:pStyle w:val="TableFiguresBold0"/>
              <w:rPr>
                <w:sz w:val="15"/>
              </w:rPr>
            </w:pPr>
            <w:r w:rsidRPr="008B3557">
              <w:rPr>
                <w:sz w:val="15"/>
              </w:rPr>
              <w:t>–</w:t>
            </w:r>
          </w:p>
        </w:tc>
        <w:tc>
          <w:tcPr>
            <w:tcW w:w="876" w:type="dxa"/>
            <w:tcBorders>
              <w:top w:val="single" w:sz="4" w:space="0" w:color="A6A6A6" w:themeColor="background1" w:themeShade="A6"/>
              <w:bottom w:val="single" w:sz="4" w:space="0" w:color="A6A6A6" w:themeColor="background1" w:themeShade="A6"/>
            </w:tcBorders>
          </w:tcPr>
          <w:p w14:paraId="6E4C7BBA" w14:textId="6A17E9A1" w:rsidR="00424213" w:rsidRPr="008B3557" w:rsidRDefault="008B3557" w:rsidP="004B05D3">
            <w:pPr>
              <w:pStyle w:val="TableFiguresBrackets"/>
              <w:rPr>
                <w:b/>
                <w:bCs/>
                <w:sz w:val="15"/>
              </w:rPr>
            </w:pPr>
            <w:r w:rsidRPr="008B3557">
              <w:rPr>
                <w:b/>
                <w:bCs/>
                <w:sz w:val="15"/>
              </w:rPr>
              <w:t>(2)</w:t>
            </w:r>
          </w:p>
        </w:tc>
        <w:tc>
          <w:tcPr>
            <w:tcW w:w="997" w:type="dxa"/>
            <w:tcBorders>
              <w:top w:val="single" w:sz="4" w:space="0" w:color="A6A6A6" w:themeColor="background1" w:themeShade="A6"/>
              <w:bottom w:val="single" w:sz="4" w:space="0" w:color="A6A6A6" w:themeColor="background1" w:themeShade="A6"/>
            </w:tcBorders>
          </w:tcPr>
          <w:p w14:paraId="073371EE" w14:textId="5CADBAA2" w:rsidR="00424213" w:rsidRPr="008B3557" w:rsidRDefault="00204C91" w:rsidP="00424213">
            <w:pPr>
              <w:pStyle w:val="TableFigures"/>
              <w:rPr>
                <w:b/>
                <w:sz w:val="15"/>
                <w:szCs w:val="15"/>
              </w:rPr>
            </w:pPr>
            <w:r w:rsidRPr="008B3557">
              <w:rPr>
                <w:b/>
                <w:sz w:val="15"/>
                <w:szCs w:val="15"/>
              </w:rPr>
              <w:t>–</w:t>
            </w:r>
          </w:p>
        </w:tc>
        <w:tc>
          <w:tcPr>
            <w:tcW w:w="817" w:type="dxa"/>
            <w:tcBorders>
              <w:top w:val="single" w:sz="4" w:space="0" w:color="A6A6A6" w:themeColor="background1" w:themeShade="A6"/>
              <w:bottom w:val="single" w:sz="4" w:space="0" w:color="A6A6A6" w:themeColor="background1" w:themeShade="A6"/>
            </w:tcBorders>
          </w:tcPr>
          <w:p w14:paraId="5BA6658A" w14:textId="0FDDCD4B" w:rsidR="00424213" w:rsidRPr="008B3557" w:rsidRDefault="00204C91" w:rsidP="00424213">
            <w:pPr>
              <w:pStyle w:val="TableFigures"/>
              <w:rPr>
                <w:b/>
                <w:sz w:val="15"/>
                <w:szCs w:val="15"/>
              </w:rPr>
            </w:pPr>
            <w:r w:rsidRPr="008B3557">
              <w:rPr>
                <w:b/>
                <w:sz w:val="15"/>
                <w:szCs w:val="15"/>
              </w:rPr>
              <w:t>–</w:t>
            </w:r>
          </w:p>
        </w:tc>
        <w:tc>
          <w:tcPr>
            <w:tcW w:w="710" w:type="dxa"/>
            <w:tcBorders>
              <w:top w:val="single" w:sz="4" w:space="0" w:color="A6A6A6" w:themeColor="background1" w:themeShade="A6"/>
              <w:bottom w:val="single" w:sz="4" w:space="0" w:color="A6A6A6" w:themeColor="background1" w:themeShade="A6"/>
            </w:tcBorders>
          </w:tcPr>
          <w:p w14:paraId="1992542C" w14:textId="38BCBED2" w:rsidR="00424213" w:rsidRPr="008B3557" w:rsidRDefault="008B3557" w:rsidP="004B05D3">
            <w:pPr>
              <w:pStyle w:val="TableFiguresBrackets"/>
              <w:rPr>
                <w:b/>
                <w:bCs/>
                <w:sz w:val="15"/>
              </w:rPr>
            </w:pPr>
            <w:r w:rsidRPr="008B3557">
              <w:rPr>
                <w:b/>
                <w:bCs/>
                <w:sz w:val="15"/>
              </w:rPr>
              <w:t>(265)</w:t>
            </w:r>
          </w:p>
        </w:tc>
        <w:tc>
          <w:tcPr>
            <w:tcW w:w="1135" w:type="dxa"/>
            <w:tcBorders>
              <w:top w:val="single" w:sz="4" w:space="0" w:color="A6A6A6" w:themeColor="background1" w:themeShade="A6"/>
              <w:bottom w:val="single" w:sz="4" w:space="0" w:color="A6A6A6" w:themeColor="background1" w:themeShade="A6"/>
            </w:tcBorders>
          </w:tcPr>
          <w:p w14:paraId="1DB3EB30" w14:textId="2EBB38F7" w:rsidR="00424213" w:rsidRPr="0068185D" w:rsidRDefault="008B3557" w:rsidP="0068185D">
            <w:pPr>
              <w:pStyle w:val="TableFiguresBrackets"/>
              <w:rPr>
                <w:b/>
                <w:bCs/>
                <w:sz w:val="15"/>
              </w:rPr>
            </w:pPr>
            <w:r w:rsidRPr="0068185D">
              <w:rPr>
                <w:b/>
                <w:bCs/>
                <w:sz w:val="15"/>
              </w:rPr>
              <w:t>(172)</w:t>
            </w:r>
          </w:p>
        </w:tc>
        <w:tc>
          <w:tcPr>
            <w:tcW w:w="955" w:type="dxa"/>
            <w:tcBorders>
              <w:top w:val="single" w:sz="4" w:space="0" w:color="A6A6A6" w:themeColor="background1" w:themeShade="A6"/>
              <w:bottom w:val="single" w:sz="4" w:space="0" w:color="A6A6A6" w:themeColor="background1" w:themeShade="A6"/>
            </w:tcBorders>
          </w:tcPr>
          <w:p w14:paraId="1A5243B1" w14:textId="0E48AC7B" w:rsidR="00A07D72" w:rsidRPr="0068185D" w:rsidRDefault="008B3557" w:rsidP="0068185D">
            <w:pPr>
              <w:pStyle w:val="TableFiguresBrackets"/>
              <w:rPr>
                <w:sz w:val="15"/>
              </w:rPr>
            </w:pPr>
            <w:r w:rsidRPr="0068185D">
              <w:rPr>
                <w:b/>
                <w:bCs/>
                <w:sz w:val="15"/>
              </w:rPr>
              <w:t>(20)</w:t>
            </w:r>
          </w:p>
        </w:tc>
        <w:tc>
          <w:tcPr>
            <w:tcW w:w="683" w:type="dxa"/>
            <w:tcBorders>
              <w:top w:val="single" w:sz="4" w:space="0" w:color="A6A6A6" w:themeColor="background1" w:themeShade="A6"/>
              <w:bottom w:val="single" w:sz="4" w:space="0" w:color="A6A6A6" w:themeColor="background1" w:themeShade="A6"/>
            </w:tcBorders>
          </w:tcPr>
          <w:p w14:paraId="60FB9A11" w14:textId="3B3748C3" w:rsidR="00424213" w:rsidRPr="0068185D" w:rsidRDefault="008B3557" w:rsidP="0068185D">
            <w:pPr>
              <w:pStyle w:val="TableFiguresBrackets"/>
              <w:rPr>
                <w:b/>
                <w:bCs/>
                <w:sz w:val="15"/>
              </w:rPr>
            </w:pPr>
            <w:r w:rsidRPr="0068185D">
              <w:rPr>
                <w:b/>
                <w:bCs/>
                <w:sz w:val="15"/>
              </w:rPr>
              <w:t>(192)</w:t>
            </w:r>
          </w:p>
        </w:tc>
      </w:tr>
      <w:tr w:rsidR="005F6D8A" w:rsidRPr="008B3557" w14:paraId="575C5F91" w14:textId="77777777" w:rsidTr="00FA7C8E">
        <w:tc>
          <w:tcPr>
            <w:tcW w:w="1560" w:type="dxa"/>
            <w:tcBorders>
              <w:top w:val="single" w:sz="4" w:space="0" w:color="A6A6A6" w:themeColor="background1" w:themeShade="A6"/>
              <w:bottom w:val="single" w:sz="8" w:space="0" w:color="A6A6A6" w:themeColor="background1" w:themeShade="A6"/>
            </w:tcBorders>
          </w:tcPr>
          <w:p w14:paraId="2ECB9260" w14:textId="58493B3B" w:rsidR="00424213" w:rsidRPr="008B3557" w:rsidRDefault="00424213" w:rsidP="00424213">
            <w:pPr>
              <w:pStyle w:val="Tabletext"/>
              <w:rPr>
                <w:b/>
                <w:sz w:val="15"/>
                <w:szCs w:val="15"/>
              </w:rPr>
            </w:pPr>
            <w:r w:rsidRPr="008B3557">
              <w:rPr>
                <w:b/>
                <w:sz w:val="15"/>
                <w:szCs w:val="15"/>
              </w:rPr>
              <w:t>Balance at 31 December 20</w:t>
            </w:r>
            <w:r w:rsidR="00A07D72" w:rsidRPr="008B3557">
              <w:rPr>
                <w:b/>
                <w:sz w:val="15"/>
                <w:szCs w:val="15"/>
              </w:rPr>
              <w:t>2</w:t>
            </w:r>
            <w:r w:rsidR="008B3557" w:rsidRPr="008B3557">
              <w:rPr>
                <w:b/>
                <w:sz w:val="15"/>
                <w:szCs w:val="15"/>
              </w:rPr>
              <w:t>1</w:t>
            </w:r>
          </w:p>
        </w:tc>
        <w:tc>
          <w:tcPr>
            <w:tcW w:w="709" w:type="dxa"/>
            <w:tcBorders>
              <w:top w:val="single" w:sz="4" w:space="0" w:color="A6A6A6" w:themeColor="background1" w:themeShade="A6"/>
              <w:bottom w:val="single" w:sz="8" w:space="0" w:color="A6A6A6" w:themeColor="background1" w:themeShade="A6"/>
            </w:tcBorders>
          </w:tcPr>
          <w:p w14:paraId="52BB364E" w14:textId="67F46138" w:rsidR="00424213" w:rsidRPr="008B3557" w:rsidRDefault="008B3557" w:rsidP="00DC4F14">
            <w:pPr>
              <w:pStyle w:val="TableFiguresBold0"/>
              <w:rPr>
                <w:sz w:val="15"/>
                <w:szCs w:val="15"/>
              </w:rPr>
            </w:pPr>
            <w:r w:rsidRPr="008B3557">
              <w:rPr>
                <w:sz w:val="15"/>
                <w:szCs w:val="15"/>
              </w:rPr>
              <w:t>120</w:t>
            </w:r>
          </w:p>
        </w:tc>
        <w:tc>
          <w:tcPr>
            <w:tcW w:w="820" w:type="dxa"/>
            <w:gridSpan w:val="2"/>
            <w:tcBorders>
              <w:top w:val="single" w:sz="4" w:space="0" w:color="A6A6A6" w:themeColor="background1" w:themeShade="A6"/>
              <w:bottom w:val="single" w:sz="8" w:space="0" w:color="A6A6A6" w:themeColor="background1" w:themeShade="A6"/>
            </w:tcBorders>
          </w:tcPr>
          <w:p w14:paraId="731F2879" w14:textId="326F31AC" w:rsidR="00424213" w:rsidRPr="008B3557" w:rsidRDefault="008B3557" w:rsidP="00DC4F14">
            <w:pPr>
              <w:pStyle w:val="TableFiguresBold0"/>
              <w:rPr>
                <w:sz w:val="15"/>
                <w:szCs w:val="15"/>
              </w:rPr>
            </w:pPr>
            <w:r w:rsidRPr="008B3557">
              <w:rPr>
                <w:sz w:val="15"/>
                <w:szCs w:val="15"/>
              </w:rPr>
              <w:t>3,371</w:t>
            </w:r>
          </w:p>
        </w:tc>
        <w:tc>
          <w:tcPr>
            <w:tcW w:w="928" w:type="dxa"/>
            <w:tcBorders>
              <w:top w:val="single" w:sz="4" w:space="0" w:color="A6A6A6" w:themeColor="background1" w:themeShade="A6"/>
              <w:bottom w:val="single" w:sz="8" w:space="0" w:color="A6A6A6" w:themeColor="background1" w:themeShade="A6"/>
            </w:tcBorders>
          </w:tcPr>
          <w:p w14:paraId="0D609781" w14:textId="390F9910" w:rsidR="00424213" w:rsidRPr="008B3557" w:rsidRDefault="008B3557" w:rsidP="00DC4F14">
            <w:pPr>
              <w:pStyle w:val="TableFiguresBold0"/>
              <w:rPr>
                <w:sz w:val="15"/>
                <w:szCs w:val="15"/>
              </w:rPr>
            </w:pPr>
            <w:r w:rsidRPr="008B3557">
              <w:rPr>
                <w:sz w:val="15"/>
                <w:szCs w:val="15"/>
              </w:rPr>
              <w:t>114</w:t>
            </w:r>
          </w:p>
        </w:tc>
        <w:tc>
          <w:tcPr>
            <w:tcW w:w="700" w:type="dxa"/>
            <w:tcBorders>
              <w:top w:val="single" w:sz="4" w:space="0" w:color="A6A6A6" w:themeColor="background1" w:themeShade="A6"/>
              <w:bottom w:val="single" w:sz="8" w:space="0" w:color="A6A6A6" w:themeColor="background1" w:themeShade="A6"/>
            </w:tcBorders>
          </w:tcPr>
          <w:p w14:paraId="4DA0F8EB" w14:textId="007D9ACF" w:rsidR="00424213" w:rsidRPr="008B3557" w:rsidRDefault="008B3557" w:rsidP="00FA7C8E">
            <w:pPr>
              <w:pStyle w:val="TableFiguresBrackets"/>
              <w:rPr>
                <w:b/>
                <w:bCs/>
                <w:sz w:val="15"/>
                <w:szCs w:val="15"/>
              </w:rPr>
            </w:pPr>
            <w:r w:rsidRPr="008B3557">
              <w:rPr>
                <w:b/>
                <w:bCs/>
                <w:sz w:val="15"/>
                <w:szCs w:val="15"/>
              </w:rPr>
              <w:t>(1)</w:t>
            </w:r>
          </w:p>
        </w:tc>
        <w:tc>
          <w:tcPr>
            <w:tcW w:w="876" w:type="dxa"/>
            <w:tcBorders>
              <w:top w:val="single" w:sz="4" w:space="0" w:color="A6A6A6" w:themeColor="background1" w:themeShade="A6"/>
              <w:bottom w:val="single" w:sz="8" w:space="0" w:color="A6A6A6" w:themeColor="background1" w:themeShade="A6"/>
            </w:tcBorders>
          </w:tcPr>
          <w:p w14:paraId="337A2D08" w14:textId="6613A38F" w:rsidR="00424213" w:rsidRPr="008B3557" w:rsidRDefault="008B3557" w:rsidP="00424213">
            <w:pPr>
              <w:pStyle w:val="TableFigures"/>
              <w:rPr>
                <w:b/>
                <w:sz w:val="15"/>
                <w:szCs w:val="15"/>
              </w:rPr>
            </w:pPr>
            <w:r w:rsidRPr="008B3557">
              <w:rPr>
                <w:b/>
                <w:sz w:val="15"/>
                <w:szCs w:val="15"/>
              </w:rPr>
              <w:t>20</w:t>
            </w:r>
          </w:p>
        </w:tc>
        <w:tc>
          <w:tcPr>
            <w:tcW w:w="997" w:type="dxa"/>
            <w:tcBorders>
              <w:top w:val="single" w:sz="4" w:space="0" w:color="A6A6A6" w:themeColor="background1" w:themeShade="A6"/>
              <w:bottom w:val="single" w:sz="8" w:space="0" w:color="A6A6A6" w:themeColor="background1" w:themeShade="A6"/>
            </w:tcBorders>
          </w:tcPr>
          <w:p w14:paraId="711E67B1" w14:textId="26AC562A" w:rsidR="00424213" w:rsidRPr="0068185D" w:rsidRDefault="008B3557" w:rsidP="0068185D">
            <w:pPr>
              <w:pStyle w:val="TableFiguresBrackets"/>
              <w:rPr>
                <w:b/>
                <w:bCs/>
                <w:sz w:val="15"/>
              </w:rPr>
            </w:pPr>
            <w:r w:rsidRPr="0068185D">
              <w:rPr>
                <w:b/>
                <w:bCs/>
                <w:sz w:val="15"/>
              </w:rPr>
              <w:t>(49)</w:t>
            </w:r>
          </w:p>
        </w:tc>
        <w:tc>
          <w:tcPr>
            <w:tcW w:w="817" w:type="dxa"/>
            <w:tcBorders>
              <w:top w:val="single" w:sz="4" w:space="0" w:color="A6A6A6" w:themeColor="background1" w:themeShade="A6"/>
              <w:bottom w:val="single" w:sz="8" w:space="0" w:color="A6A6A6" w:themeColor="background1" w:themeShade="A6"/>
            </w:tcBorders>
          </w:tcPr>
          <w:p w14:paraId="367CDEB2" w14:textId="6BD32EFA" w:rsidR="00424213" w:rsidRPr="008B3557" w:rsidRDefault="008B3557" w:rsidP="00424213">
            <w:pPr>
              <w:pStyle w:val="TableFigures"/>
              <w:rPr>
                <w:b/>
                <w:sz w:val="15"/>
                <w:szCs w:val="15"/>
              </w:rPr>
            </w:pPr>
            <w:r w:rsidRPr="008B3557">
              <w:rPr>
                <w:b/>
                <w:sz w:val="15"/>
                <w:szCs w:val="15"/>
              </w:rPr>
              <w:t>169</w:t>
            </w:r>
          </w:p>
        </w:tc>
        <w:tc>
          <w:tcPr>
            <w:tcW w:w="710" w:type="dxa"/>
            <w:tcBorders>
              <w:top w:val="single" w:sz="4" w:space="0" w:color="A6A6A6" w:themeColor="background1" w:themeShade="A6"/>
              <w:bottom w:val="single" w:sz="8" w:space="0" w:color="A6A6A6" w:themeColor="background1" w:themeShade="A6"/>
            </w:tcBorders>
          </w:tcPr>
          <w:p w14:paraId="6F7833FE" w14:textId="120163FB" w:rsidR="00424213" w:rsidRPr="008B3557" w:rsidRDefault="008B3557" w:rsidP="00424213">
            <w:pPr>
              <w:pStyle w:val="TableFigures"/>
              <w:rPr>
                <w:b/>
                <w:sz w:val="15"/>
                <w:szCs w:val="15"/>
              </w:rPr>
            </w:pPr>
            <w:r w:rsidRPr="008B3557">
              <w:rPr>
                <w:b/>
                <w:sz w:val="15"/>
                <w:szCs w:val="15"/>
              </w:rPr>
              <w:t>9,692</w:t>
            </w:r>
          </w:p>
        </w:tc>
        <w:tc>
          <w:tcPr>
            <w:tcW w:w="1135" w:type="dxa"/>
            <w:tcBorders>
              <w:top w:val="single" w:sz="4" w:space="0" w:color="A6A6A6" w:themeColor="background1" w:themeShade="A6"/>
              <w:bottom w:val="single" w:sz="8" w:space="0" w:color="A6A6A6" w:themeColor="background1" w:themeShade="A6"/>
            </w:tcBorders>
          </w:tcPr>
          <w:p w14:paraId="716F959A" w14:textId="22A0B063" w:rsidR="00424213" w:rsidRPr="008B3557" w:rsidRDefault="008B3557" w:rsidP="00424213">
            <w:pPr>
              <w:pStyle w:val="TableFigures"/>
              <w:rPr>
                <w:b/>
                <w:sz w:val="15"/>
                <w:szCs w:val="15"/>
              </w:rPr>
            </w:pPr>
            <w:r w:rsidRPr="008B3557">
              <w:rPr>
                <w:b/>
                <w:sz w:val="15"/>
                <w:szCs w:val="15"/>
              </w:rPr>
              <w:t>13,436</w:t>
            </w:r>
          </w:p>
        </w:tc>
        <w:tc>
          <w:tcPr>
            <w:tcW w:w="955" w:type="dxa"/>
            <w:tcBorders>
              <w:top w:val="single" w:sz="4" w:space="0" w:color="A6A6A6" w:themeColor="background1" w:themeShade="A6"/>
              <w:bottom w:val="single" w:sz="8" w:space="0" w:color="A6A6A6" w:themeColor="background1" w:themeShade="A6"/>
            </w:tcBorders>
          </w:tcPr>
          <w:p w14:paraId="60CB1860" w14:textId="0C8135EF" w:rsidR="00424213" w:rsidRPr="008B3557" w:rsidRDefault="008B3557" w:rsidP="00424213">
            <w:pPr>
              <w:pStyle w:val="TableFigures"/>
              <w:rPr>
                <w:b/>
                <w:sz w:val="15"/>
                <w:szCs w:val="15"/>
              </w:rPr>
            </w:pPr>
            <w:r w:rsidRPr="008B3557">
              <w:rPr>
                <w:b/>
                <w:sz w:val="15"/>
                <w:szCs w:val="15"/>
              </w:rPr>
              <w:t>–</w:t>
            </w:r>
          </w:p>
        </w:tc>
        <w:tc>
          <w:tcPr>
            <w:tcW w:w="683" w:type="dxa"/>
            <w:tcBorders>
              <w:top w:val="single" w:sz="4" w:space="0" w:color="A6A6A6" w:themeColor="background1" w:themeShade="A6"/>
              <w:bottom w:val="single" w:sz="8" w:space="0" w:color="A6A6A6" w:themeColor="background1" w:themeShade="A6"/>
            </w:tcBorders>
          </w:tcPr>
          <w:p w14:paraId="6A72F636" w14:textId="55475C8A" w:rsidR="00424213" w:rsidRPr="008B3557" w:rsidRDefault="008B3557" w:rsidP="00424213">
            <w:pPr>
              <w:pStyle w:val="TableFigures"/>
              <w:rPr>
                <w:b/>
                <w:sz w:val="15"/>
                <w:szCs w:val="15"/>
              </w:rPr>
            </w:pPr>
            <w:r w:rsidRPr="008B3557">
              <w:rPr>
                <w:b/>
                <w:sz w:val="15"/>
                <w:szCs w:val="15"/>
              </w:rPr>
              <w:t>13,436</w:t>
            </w:r>
          </w:p>
        </w:tc>
      </w:tr>
    </w:tbl>
    <w:p w14:paraId="5CCDA9F3" w14:textId="282373D3" w:rsidR="00D51DB7" w:rsidRPr="008B3557" w:rsidRDefault="008239CB" w:rsidP="00D51DB7">
      <w:pPr>
        <w:pStyle w:val="FootnotesNoSpace"/>
        <w:ind w:left="-284"/>
        <w:rPr>
          <w:sz w:val="14"/>
          <w:szCs w:val="14"/>
        </w:rPr>
      </w:pPr>
      <w:r>
        <w:rPr>
          <w:i w:val="0"/>
          <w:sz w:val="14"/>
          <w:szCs w:val="14"/>
        </w:rPr>
        <w:t>1</w:t>
      </w:r>
      <w:r w:rsidR="008B3557" w:rsidRPr="008B3557">
        <w:rPr>
          <w:i w:val="0"/>
          <w:sz w:val="14"/>
          <w:szCs w:val="14"/>
        </w:rPr>
        <w:t>.</w:t>
      </w:r>
      <w:r w:rsidR="00D51DB7" w:rsidRPr="008B3557">
        <w:rPr>
          <w:sz w:val="14"/>
          <w:szCs w:val="14"/>
        </w:rPr>
        <w:t xml:space="preserve">Non-controlling interests </w:t>
      </w:r>
      <w:r w:rsidR="008B3557">
        <w:rPr>
          <w:sz w:val="14"/>
          <w:szCs w:val="14"/>
        </w:rPr>
        <w:t xml:space="preserve">at 31 December 2021 </w:t>
      </w:r>
      <w:r w:rsidR="00D51DB7" w:rsidRPr="008B3557">
        <w:rPr>
          <w:sz w:val="14"/>
          <w:szCs w:val="14"/>
        </w:rPr>
        <w:t>relate to Vailog S.r.l</w:t>
      </w:r>
      <w:r w:rsidR="008B3557">
        <w:rPr>
          <w:sz w:val="14"/>
          <w:szCs w:val="14"/>
        </w:rPr>
        <w:t xml:space="preserve">. </w:t>
      </w:r>
      <w:r w:rsidR="00A07D72" w:rsidRPr="008B3557">
        <w:rPr>
          <w:iCs/>
          <w:sz w:val="14"/>
        </w:rPr>
        <w:t xml:space="preserve">During the year non-controlling interests </w:t>
      </w:r>
      <w:r w:rsidR="0058062D">
        <w:rPr>
          <w:iCs/>
          <w:sz w:val="14"/>
        </w:rPr>
        <w:t xml:space="preserve">held in </w:t>
      </w:r>
      <w:r w:rsidR="00A07D72" w:rsidRPr="008B3557">
        <w:rPr>
          <w:iCs/>
          <w:sz w:val="14"/>
        </w:rPr>
        <w:t>Sofibus Patrimoine</w:t>
      </w:r>
      <w:r w:rsidR="00B737CB" w:rsidRPr="008B3557">
        <w:rPr>
          <w:iCs/>
          <w:sz w:val="14"/>
        </w:rPr>
        <w:t xml:space="preserve"> SA</w:t>
      </w:r>
      <w:r w:rsidR="00A07D72" w:rsidRPr="008B3557">
        <w:rPr>
          <w:iCs/>
          <w:sz w:val="14"/>
        </w:rPr>
        <w:t xml:space="preserve">, </w:t>
      </w:r>
      <w:r w:rsidR="0058062D">
        <w:rPr>
          <w:iCs/>
          <w:sz w:val="14"/>
        </w:rPr>
        <w:t>were acquired by the Group.</w:t>
      </w:r>
    </w:p>
    <w:p w14:paraId="3DB372E9" w14:textId="2205A43B" w:rsidR="00C75A70" w:rsidRPr="00DB72FE" w:rsidRDefault="00C75A70" w:rsidP="00C75A70">
      <w:pPr>
        <w:pStyle w:val="Heading3"/>
        <w:spacing w:before="120"/>
        <w:ind w:left="-142"/>
        <w:rPr>
          <w:b w:val="0"/>
          <w:sz w:val="18"/>
          <w:szCs w:val="18"/>
        </w:rPr>
      </w:pPr>
      <w:r w:rsidRPr="00DB72FE">
        <w:rPr>
          <w:b w:val="0"/>
          <w:sz w:val="18"/>
          <w:szCs w:val="18"/>
        </w:rPr>
        <w:t>For the year ended 31 December 20</w:t>
      </w:r>
      <w:r w:rsidR="00DB72FE" w:rsidRPr="00DB72FE">
        <w:rPr>
          <w:b w:val="0"/>
          <w:sz w:val="18"/>
          <w:szCs w:val="18"/>
        </w:rPr>
        <w:t>20</w:t>
      </w:r>
    </w:p>
    <w:tbl>
      <w:tblPr>
        <w:tblStyle w:val="TableGrid"/>
        <w:tblW w:w="10890" w:type="dxa"/>
        <w:tblInd w:w="-284" w:type="dxa"/>
        <w:tblLook w:val="04A0" w:firstRow="1" w:lastRow="0" w:firstColumn="1" w:lastColumn="0" w:noHBand="0" w:noVBand="1"/>
      </w:tblPr>
      <w:tblGrid>
        <w:gridCol w:w="1560"/>
        <w:gridCol w:w="709"/>
        <w:gridCol w:w="743"/>
        <w:gridCol w:w="77"/>
        <w:gridCol w:w="928"/>
        <w:gridCol w:w="700"/>
        <w:gridCol w:w="876"/>
        <w:gridCol w:w="997"/>
        <w:gridCol w:w="817"/>
        <w:gridCol w:w="710"/>
        <w:gridCol w:w="1135"/>
        <w:gridCol w:w="955"/>
        <w:gridCol w:w="683"/>
      </w:tblGrid>
      <w:tr w:rsidR="00DB72FE" w:rsidRPr="00A07D72" w14:paraId="50CFB30A" w14:textId="77777777" w:rsidTr="00A65F99">
        <w:trPr>
          <w:trHeight w:hRule="exact" w:val="227"/>
        </w:trPr>
        <w:tc>
          <w:tcPr>
            <w:tcW w:w="1560" w:type="dxa"/>
          </w:tcPr>
          <w:p w14:paraId="0F5DF24F" w14:textId="77777777" w:rsidR="00DB72FE" w:rsidRPr="00A07D72" w:rsidRDefault="00DB72FE" w:rsidP="00A65F99">
            <w:pPr>
              <w:rPr>
                <w:sz w:val="15"/>
                <w:szCs w:val="15"/>
              </w:rPr>
            </w:pPr>
          </w:p>
        </w:tc>
        <w:tc>
          <w:tcPr>
            <w:tcW w:w="7692" w:type="dxa"/>
            <w:gridSpan w:val="10"/>
            <w:tcBorders>
              <w:bottom w:val="single" w:sz="4" w:space="0" w:color="808080" w:themeColor="background1" w:themeShade="80"/>
            </w:tcBorders>
          </w:tcPr>
          <w:p w14:paraId="22257DFE" w14:textId="77777777" w:rsidR="00DB72FE" w:rsidRPr="00A07D72" w:rsidRDefault="00DB72FE" w:rsidP="00A65F99">
            <w:pPr>
              <w:jc w:val="center"/>
              <w:rPr>
                <w:b/>
                <w:sz w:val="15"/>
                <w:szCs w:val="15"/>
              </w:rPr>
            </w:pPr>
            <w:r w:rsidRPr="00A07D72">
              <w:rPr>
                <w:b/>
                <w:sz w:val="15"/>
                <w:szCs w:val="15"/>
              </w:rPr>
              <w:t>Attributable  to owners of the parent</w:t>
            </w:r>
          </w:p>
        </w:tc>
        <w:tc>
          <w:tcPr>
            <w:tcW w:w="955" w:type="dxa"/>
          </w:tcPr>
          <w:p w14:paraId="135F4315" w14:textId="77777777" w:rsidR="00DB72FE" w:rsidRPr="00A07D72" w:rsidRDefault="00DB72FE" w:rsidP="00A65F99">
            <w:pPr>
              <w:jc w:val="right"/>
              <w:rPr>
                <w:b/>
                <w:sz w:val="15"/>
                <w:szCs w:val="15"/>
              </w:rPr>
            </w:pPr>
          </w:p>
        </w:tc>
        <w:tc>
          <w:tcPr>
            <w:tcW w:w="683" w:type="dxa"/>
          </w:tcPr>
          <w:p w14:paraId="489D2CE2" w14:textId="77777777" w:rsidR="00DB72FE" w:rsidRPr="00A07D72" w:rsidRDefault="00DB72FE" w:rsidP="00A65F99">
            <w:pPr>
              <w:jc w:val="right"/>
              <w:rPr>
                <w:b/>
                <w:sz w:val="15"/>
                <w:szCs w:val="15"/>
              </w:rPr>
            </w:pPr>
          </w:p>
        </w:tc>
      </w:tr>
      <w:tr w:rsidR="00DB72FE" w:rsidRPr="00A07D72" w14:paraId="65CAD860" w14:textId="77777777" w:rsidTr="00A65F99">
        <w:trPr>
          <w:trHeight w:hRule="exact" w:val="284"/>
        </w:trPr>
        <w:tc>
          <w:tcPr>
            <w:tcW w:w="1560" w:type="dxa"/>
          </w:tcPr>
          <w:p w14:paraId="4B1477C6" w14:textId="77777777" w:rsidR="00DB72FE" w:rsidRPr="00A07D72" w:rsidRDefault="00DB72FE" w:rsidP="00A65F99">
            <w:pPr>
              <w:rPr>
                <w:sz w:val="15"/>
                <w:szCs w:val="15"/>
              </w:rPr>
            </w:pPr>
          </w:p>
        </w:tc>
        <w:tc>
          <w:tcPr>
            <w:tcW w:w="709" w:type="dxa"/>
            <w:tcBorders>
              <w:top w:val="single" w:sz="4" w:space="0" w:color="808080" w:themeColor="background1" w:themeShade="80"/>
            </w:tcBorders>
          </w:tcPr>
          <w:p w14:paraId="6B43CB68" w14:textId="77777777" w:rsidR="00DB72FE" w:rsidRPr="00A07D72" w:rsidRDefault="00DB72FE" w:rsidP="00A65F99">
            <w:pPr>
              <w:jc w:val="right"/>
              <w:rPr>
                <w:b/>
                <w:sz w:val="15"/>
                <w:szCs w:val="15"/>
              </w:rPr>
            </w:pPr>
          </w:p>
        </w:tc>
        <w:tc>
          <w:tcPr>
            <w:tcW w:w="820" w:type="dxa"/>
            <w:gridSpan w:val="2"/>
            <w:tcBorders>
              <w:top w:val="single" w:sz="4" w:space="0" w:color="808080" w:themeColor="background1" w:themeShade="80"/>
            </w:tcBorders>
          </w:tcPr>
          <w:p w14:paraId="22DF44E0" w14:textId="77777777" w:rsidR="00DB72FE" w:rsidRPr="00A07D72" w:rsidRDefault="00DB72FE" w:rsidP="00A65F99">
            <w:pPr>
              <w:ind w:right="46"/>
              <w:jc w:val="right"/>
              <w:rPr>
                <w:b/>
                <w:sz w:val="15"/>
                <w:szCs w:val="15"/>
              </w:rPr>
            </w:pPr>
          </w:p>
        </w:tc>
        <w:tc>
          <w:tcPr>
            <w:tcW w:w="928" w:type="dxa"/>
            <w:tcBorders>
              <w:top w:val="single" w:sz="4" w:space="0" w:color="808080" w:themeColor="background1" w:themeShade="80"/>
            </w:tcBorders>
          </w:tcPr>
          <w:p w14:paraId="6A621506" w14:textId="77777777" w:rsidR="00DB72FE" w:rsidRPr="00A07D72" w:rsidRDefault="00DB72FE" w:rsidP="00A65F99">
            <w:pPr>
              <w:ind w:right="66"/>
              <w:jc w:val="right"/>
              <w:rPr>
                <w:b/>
                <w:sz w:val="15"/>
                <w:szCs w:val="15"/>
              </w:rPr>
            </w:pPr>
          </w:p>
        </w:tc>
        <w:tc>
          <w:tcPr>
            <w:tcW w:w="700" w:type="dxa"/>
            <w:tcBorders>
              <w:top w:val="single" w:sz="4" w:space="0" w:color="808080" w:themeColor="background1" w:themeShade="80"/>
            </w:tcBorders>
          </w:tcPr>
          <w:p w14:paraId="4FCD643D" w14:textId="77777777" w:rsidR="00DB72FE" w:rsidRPr="00A07D72" w:rsidRDefault="00DB72FE" w:rsidP="00A65F99">
            <w:pPr>
              <w:ind w:right="6"/>
              <w:jc w:val="right"/>
              <w:rPr>
                <w:b/>
                <w:sz w:val="15"/>
                <w:szCs w:val="15"/>
              </w:rPr>
            </w:pPr>
          </w:p>
        </w:tc>
        <w:tc>
          <w:tcPr>
            <w:tcW w:w="2690" w:type="dxa"/>
            <w:gridSpan w:val="3"/>
            <w:tcBorders>
              <w:top w:val="single" w:sz="4" w:space="0" w:color="808080" w:themeColor="background1" w:themeShade="80"/>
              <w:bottom w:val="single" w:sz="4" w:space="0" w:color="808080" w:themeColor="background1" w:themeShade="80"/>
            </w:tcBorders>
          </w:tcPr>
          <w:p w14:paraId="158B68EE" w14:textId="77777777" w:rsidR="00DB72FE" w:rsidRPr="00A07D72" w:rsidRDefault="00DB72FE" w:rsidP="00A65F99">
            <w:pPr>
              <w:ind w:right="1"/>
              <w:jc w:val="center"/>
              <w:rPr>
                <w:b/>
                <w:sz w:val="15"/>
                <w:szCs w:val="15"/>
              </w:rPr>
            </w:pPr>
            <w:r w:rsidRPr="00A07D72">
              <w:rPr>
                <w:b/>
                <w:sz w:val="15"/>
                <w:szCs w:val="15"/>
              </w:rPr>
              <w:t>Other reserves</w:t>
            </w:r>
          </w:p>
        </w:tc>
        <w:tc>
          <w:tcPr>
            <w:tcW w:w="710" w:type="dxa"/>
            <w:tcBorders>
              <w:top w:val="single" w:sz="4" w:space="0" w:color="808080" w:themeColor="background1" w:themeShade="80"/>
            </w:tcBorders>
          </w:tcPr>
          <w:p w14:paraId="2045341A" w14:textId="77777777" w:rsidR="00DB72FE" w:rsidRPr="00A07D72" w:rsidRDefault="00DB72FE" w:rsidP="00A65F99">
            <w:pPr>
              <w:jc w:val="right"/>
              <w:rPr>
                <w:b/>
                <w:sz w:val="15"/>
                <w:szCs w:val="15"/>
              </w:rPr>
            </w:pPr>
          </w:p>
        </w:tc>
        <w:tc>
          <w:tcPr>
            <w:tcW w:w="1135" w:type="dxa"/>
            <w:tcBorders>
              <w:top w:val="single" w:sz="4" w:space="0" w:color="808080" w:themeColor="background1" w:themeShade="80"/>
            </w:tcBorders>
          </w:tcPr>
          <w:p w14:paraId="19EC816B" w14:textId="77777777" w:rsidR="00DB72FE" w:rsidRPr="00A07D72" w:rsidRDefault="00DB72FE" w:rsidP="00A65F99">
            <w:pPr>
              <w:jc w:val="right"/>
              <w:rPr>
                <w:b/>
                <w:sz w:val="15"/>
                <w:szCs w:val="15"/>
              </w:rPr>
            </w:pPr>
          </w:p>
        </w:tc>
        <w:tc>
          <w:tcPr>
            <w:tcW w:w="955" w:type="dxa"/>
          </w:tcPr>
          <w:p w14:paraId="212DB3A6" w14:textId="77777777" w:rsidR="00DB72FE" w:rsidRPr="00A07D72" w:rsidRDefault="00DB72FE" w:rsidP="00A65F99">
            <w:pPr>
              <w:jc w:val="right"/>
              <w:rPr>
                <w:b/>
                <w:sz w:val="15"/>
                <w:szCs w:val="15"/>
              </w:rPr>
            </w:pPr>
          </w:p>
        </w:tc>
        <w:tc>
          <w:tcPr>
            <w:tcW w:w="683" w:type="dxa"/>
          </w:tcPr>
          <w:p w14:paraId="7151AF9C" w14:textId="77777777" w:rsidR="00DB72FE" w:rsidRPr="00A07D72" w:rsidRDefault="00DB72FE" w:rsidP="00A65F99">
            <w:pPr>
              <w:jc w:val="right"/>
              <w:rPr>
                <w:b/>
                <w:sz w:val="15"/>
                <w:szCs w:val="15"/>
              </w:rPr>
            </w:pPr>
          </w:p>
        </w:tc>
      </w:tr>
      <w:tr w:rsidR="00DB72FE" w:rsidRPr="00A07D72" w14:paraId="57CF410F" w14:textId="77777777" w:rsidTr="00A65F99">
        <w:trPr>
          <w:trHeight w:val="961"/>
        </w:trPr>
        <w:tc>
          <w:tcPr>
            <w:tcW w:w="1560" w:type="dxa"/>
            <w:tcBorders>
              <w:bottom w:val="single" w:sz="4" w:space="0" w:color="A6A6A6" w:themeColor="background1" w:themeShade="A6"/>
            </w:tcBorders>
          </w:tcPr>
          <w:p w14:paraId="31DBB983" w14:textId="77777777" w:rsidR="00DB72FE" w:rsidRPr="00A07D72" w:rsidRDefault="00DB72FE" w:rsidP="00A65F99"/>
        </w:tc>
        <w:tc>
          <w:tcPr>
            <w:tcW w:w="709" w:type="dxa"/>
            <w:tcBorders>
              <w:bottom w:val="single" w:sz="4" w:space="0" w:color="A6A6A6" w:themeColor="background1" w:themeShade="A6"/>
            </w:tcBorders>
          </w:tcPr>
          <w:p w14:paraId="556899E0" w14:textId="77777777" w:rsidR="00DB72FE" w:rsidRPr="00A07D72" w:rsidRDefault="00DB72FE" w:rsidP="00A65F99">
            <w:pPr>
              <w:jc w:val="right"/>
              <w:rPr>
                <w:b/>
                <w:sz w:val="15"/>
                <w:szCs w:val="15"/>
              </w:rPr>
            </w:pPr>
            <w:r w:rsidRPr="00A07D72">
              <w:rPr>
                <w:b/>
                <w:sz w:val="15"/>
                <w:szCs w:val="15"/>
              </w:rPr>
              <w:t>Ordinary share capital      £m</w:t>
            </w:r>
          </w:p>
        </w:tc>
        <w:tc>
          <w:tcPr>
            <w:tcW w:w="820" w:type="dxa"/>
            <w:gridSpan w:val="2"/>
            <w:tcBorders>
              <w:bottom w:val="single" w:sz="4" w:space="0" w:color="A6A6A6" w:themeColor="background1" w:themeShade="A6"/>
            </w:tcBorders>
          </w:tcPr>
          <w:p w14:paraId="28E40490" w14:textId="77777777" w:rsidR="00DB72FE" w:rsidRPr="00A07D72" w:rsidRDefault="00DB72FE" w:rsidP="00A65F99">
            <w:pPr>
              <w:ind w:right="46"/>
              <w:jc w:val="right"/>
              <w:rPr>
                <w:b/>
                <w:sz w:val="15"/>
                <w:szCs w:val="15"/>
              </w:rPr>
            </w:pPr>
            <w:r w:rsidRPr="00A07D72">
              <w:rPr>
                <w:b/>
                <w:sz w:val="15"/>
                <w:szCs w:val="15"/>
              </w:rPr>
              <w:t>Share premium £m</w:t>
            </w:r>
          </w:p>
        </w:tc>
        <w:tc>
          <w:tcPr>
            <w:tcW w:w="928" w:type="dxa"/>
            <w:tcBorders>
              <w:bottom w:val="single" w:sz="4" w:space="0" w:color="A6A6A6" w:themeColor="background1" w:themeShade="A6"/>
            </w:tcBorders>
          </w:tcPr>
          <w:p w14:paraId="4E8FC827" w14:textId="77777777" w:rsidR="00DB72FE" w:rsidRPr="00A07D72" w:rsidRDefault="00DB72FE" w:rsidP="00A65F99">
            <w:pPr>
              <w:ind w:right="66"/>
              <w:jc w:val="right"/>
              <w:rPr>
                <w:b/>
                <w:sz w:val="15"/>
                <w:szCs w:val="15"/>
                <w:vertAlign w:val="superscript"/>
              </w:rPr>
            </w:pPr>
            <w:r w:rsidRPr="00A07D72">
              <w:rPr>
                <w:b/>
                <w:sz w:val="15"/>
                <w:szCs w:val="15"/>
              </w:rPr>
              <w:t>Capital redemption reserve</w:t>
            </w:r>
            <w:r w:rsidRPr="00A07D72">
              <w:rPr>
                <w:b/>
                <w:sz w:val="15"/>
                <w:szCs w:val="15"/>
                <w:vertAlign w:val="superscript"/>
              </w:rPr>
              <w:t xml:space="preserve">   </w:t>
            </w:r>
            <w:r w:rsidRPr="00A07D72">
              <w:rPr>
                <w:b/>
                <w:sz w:val="15"/>
                <w:szCs w:val="15"/>
              </w:rPr>
              <w:t xml:space="preserve"> £m</w:t>
            </w:r>
          </w:p>
        </w:tc>
        <w:tc>
          <w:tcPr>
            <w:tcW w:w="700" w:type="dxa"/>
            <w:tcBorders>
              <w:bottom w:val="single" w:sz="4" w:space="0" w:color="A6A6A6" w:themeColor="background1" w:themeShade="A6"/>
            </w:tcBorders>
          </w:tcPr>
          <w:p w14:paraId="7CFE50B6" w14:textId="77777777" w:rsidR="00DB72FE" w:rsidRPr="00A07D72" w:rsidRDefault="00DB72FE" w:rsidP="00A65F99">
            <w:pPr>
              <w:ind w:right="6"/>
              <w:jc w:val="right"/>
              <w:rPr>
                <w:b/>
                <w:sz w:val="15"/>
                <w:szCs w:val="15"/>
              </w:rPr>
            </w:pPr>
            <w:r w:rsidRPr="00A07D72">
              <w:rPr>
                <w:b/>
                <w:sz w:val="15"/>
                <w:szCs w:val="15"/>
              </w:rPr>
              <w:t>Own shares held          £m</w:t>
            </w:r>
          </w:p>
        </w:tc>
        <w:tc>
          <w:tcPr>
            <w:tcW w:w="876" w:type="dxa"/>
            <w:tcBorders>
              <w:bottom w:val="single" w:sz="4" w:space="0" w:color="A6A6A6" w:themeColor="background1" w:themeShade="A6"/>
            </w:tcBorders>
          </w:tcPr>
          <w:p w14:paraId="436B606F" w14:textId="77777777" w:rsidR="00DB72FE" w:rsidRPr="00A07D72" w:rsidRDefault="00DB72FE" w:rsidP="00A65F99">
            <w:pPr>
              <w:ind w:right="35"/>
              <w:jc w:val="right"/>
              <w:rPr>
                <w:b/>
                <w:sz w:val="15"/>
                <w:szCs w:val="15"/>
              </w:rPr>
            </w:pPr>
            <w:r w:rsidRPr="00A07D72">
              <w:rPr>
                <w:b/>
                <w:sz w:val="15"/>
                <w:szCs w:val="15"/>
              </w:rPr>
              <w:t>Share based payments reserves £m</w:t>
            </w:r>
          </w:p>
        </w:tc>
        <w:tc>
          <w:tcPr>
            <w:tcW w:w="997" w:type="dxa"/>
            <w:tcBorders>
              <w:bottom w:val="single" w:sz="4" w:space="0" w:color="A6A6A6" w:themeColor="background1" w:themeShade="A6"/>
            </w:tcBorders>
          </w:tcPr>
          <w:p w14:paraId="095F6828" w14:textId="77777777" w:rsidR="00DB72FE" w:rsidRPr="00A07D72" w:rsidRDefault="00DB72FE" w:rsidP="00A65F99">
            <w:pPr>
              <w:ind w:right="102"/>
              <w:jc w:val="right"/>
              <w:rPr>
                <w:b/>
                <w:sz w:val="15"/>
                <w:szCs w:val="15"/>
              </w:rPr>
            </w:pPr>
            <w:r w:rsidRPr="00A07D72">
              <w:rPr>
                <w:b/>
                <w:sz w:val="15"/>
                <w:szCs w:val="15"/>
              </w:rPr>
              <w:t>Translation, hedging and other reserves    £m</w:t>
            </w:r>
          </w:p>
        </w:tc>
        <w:tc>
          <w:tcPr>
            <w:tcW w:w="817" w:type="dxa"/>
            <w:tcBorders>
              <w:bottom w:val="single" w:sz="4" w:space="0" w:color="A6A6A6" w:themeColor="background1" w:themeShade="A6"/>
            </w:tcBorders>
          </w:tcPr>
          <w:p w14:paraId="2C2B743D" w14:textId="77777777" w:rsidR="00DB72FE" w:rsidRPr="00A07D72" w:rsidRDefault="00DB72FE" w:rsidP="00A65F99">
            <w:pPr>
              <w:ind w:right="1"/>
              <w:jc w:val="right"/>
              <w:rPr>
                <w:b/>
                <w:sz w:val="15"/>
                <w:szCs w:val="15"/>
              </w:rPr>
            </w:pPr>
            <w:r w:rsidRPr="00A07D72">
              <w:rPr>
                <w:b/>
                <w:sz w:val="15"/>
                <w:szCs w:val="15"/>
              </w:rPr>
              <w:t>Merger reserve  £m</w:t>
            </w:r>
          </w:p>
        </w:tc>
        <w:tc>
          <w:tcPr>
            <w:tcW w:w="710" w:type="dxa"/>
            <w:tcBorders>
              <w:bottom w:val="single" w:sz="4" w:space="0" w:color="A6A6A6" w:themeColor="background1" w:themeShade="A6"/>
            </w:tcBorders>
          </w:tcPr>
          <w:p w14:paraId="1A171A5C" w14:textId="77777777" w:rsidR="00DB72FE" w:rsidRPr="00A07D72" w:rsidRDefault="00DB72FE" w:rsidP="00A65F99">
            <w:pPr>
              <w:jc w:val="right"/>
              <w:rPr>
                <w:b/>
                <w:sz w:val="15"/>
                <w:szCs w:val="15"/>
              </w:rPr>
            </w:pPr>
            <w:r w:rsidRPr="00A07D72">
              <w:rPr>
                <w:b/>
                <w:sz w:val="15"/>
                <w:szCs w:val="15"/>
              </w:rPr>
              <w:t xml:space="preserve">  Retained  earnings                        £m</w:t>
            </w:r>
          </w:p>
        </w:tc>
        <w:tc>
          <w:tcPr>
            <w:tcW w:w="1135" w:type="dxa"/>
            <w:tcBorders>
              <w:bottom w:val="single" w:sz="4" w:space="0" w:color="A6A6A6" w:themeColor="background1" w:themeShade="A6"/>
            </w:tcBorders>
          </w:tcPr>
          <w:p w14:paraId="035AF8DE" w14:textId="77777777" w:rsidR="00DB72FE" w:rsidRPr="00A07D72" w:rsidRDefault="00DB72FE" w:rsidP="00A65F99">
            <w:pPr>
              <w:jc w:val="right"/>
              <w:rPr>
                <w:b/>
                <w:sz w:val="15"/>
                <w:szCs w:val="15"/>
              </w:rPr>
            </w:pPr>
            <w:r w:rsidRPr="00A07D72">
              <w:rPr>
                <w:b/>
                <w:sz w:val="15"/>
                <w:szCs w:val="15"/>
              </w:rPr>
              <w:t>Total equity attributable to equity shareholders £m</w:t>
            </w:r>
          </w:p>
        </w:tc>
        <w:tc>
          <w:tcPr>
            <w:tcW w:w="955" w:type="dxa"/>
            <w:tcBorders>
              <w:bottom w:val="single" w:sz="4" w:space="0" w:color="A6A6A6" w:themeColor="background1" w:themeShade="A6"/>
            </w:tcBorders>
          </w:tcPr>
          <w:p w14:paraId="540A0E06" w14:textId="77777777" w:rsidR="00DB72FE" w:rsidRPr="00A07D72" w:rsidRDefault="00DB72FE" w:rsidP="00A65F99">
            <w:pPr>
              <w:jc w:val="right"/>
              <w:rPr>
                <w:b/>
                <w:sz w:val="15"/>
                <w:szCs w:val="15"/>
              </w:rPr>
            </w:pPr>
            <w:r w:rsidRPr="00A07D72">
              <w:rPr>
                <w:b/>
                <w:sz w:val="15"/>
                <w:szCs w:val="15"/>
              </w:rPr>
              <w:t>Non-controlling interests</w:t>
            </w:r>
            <w:r>
              <w:rPr>
                <w:b/>
                <w:sz w:val="15"/>
                <w:szCs w:val="15"/>
                <w:vertAlign w:val="superscript"/>
              </w:rPr>
              <w:t>1</w:t>
            </w:r>
            <w:r w:rsidRPr="00A07D72">
              <w:rPr>
                <w:b/>
                <w:sz w:val="15"/>
                <w:szCs w:val="15"/>
                <w:vertAlign w:val="superscript"/>
              </w:rPr>
              <w:t xml:space="preserve">   </w:t>
            </w:r>
            <w:r w:rsidRPr="00A07D72">
              <w:rPr>
                <w:b/>
                <w:sz w:val="15"/>
                <w:szCs w:val="15"/>
              </w:rPr>
              <w:t>£m</w:t>
            </w:r>
          </w:p>
        </w:tc>
        <w:tc>
          <w:tcPr>
            <w:tcW w:w="683" w:type="dxa"/>
            <w:tcBorders>
              <w:bottom w:val="single" w:sz="4" w:space="0" w:color="A6A6A6" w:themeColor="background1" w:themeShade="A6"/>
            </w:tcBorders>
          </w:tcPr>
          <w:p w14:paraId="20C8F0EC" w14:textId="77777777" w:rsidR="00DB72FE" w:rsidRPr="00A07D72" w:rsidRDefault="00DB72FE" w:rsidP="00A65F99">
            <w:pPr>
              <w:jc w:val="right"/>
              <w:rPr>
                <w:b/>
                <w:sz w:val="15"/>
                <w:szCs w:val="15"/>
              </w:rPr>
            </w:pPr>
            <w:r w:rsidRPr="00A07D72">
              <w:rPr>
                <w:b/>
                <w:sz w:val="15"/>
                <w:szCs w:val="15"/>
              </w:rPr>
              <w:t>Total equity   £m</w:t>
            </w:r>
          </w:p>
        </w:tc>
      </w:tr>
      <w:tr w:rsidR="00DB72FE" w:rsidRPr="00A07D72" w14:paraId="5D881937" w14:textId="77777777" w:rsidTr="00A65F99">
        <w:tc>
          <w:tcPr>
            <w:tcW w:w="1560" w:type="dxa"/>
            <w:tcBorders>
              <w:top w:val="single" w:sz="4" w:space="0" w:color="A6A6A6" w:themeColor="background1" w:themeShade="A6"/>
            </w:tcBorders>
          </w:tcPr>
          <w:p w14:paraId="44FFC68C" w14:textId="77777777" w:rsidR="00DB72FE" w:rsidRPr="00A07D72" w:rsidRDefault="00DB72FE" w:rsidP="00A65F99">
            <w:pPr>
              <w:pStyle w:val="Tabletext"/>
              <w:rPr>
                <w:b/>
                <w:sz w:val="15"/>
                <w:szCs w:val="15"/>
              </w:rPr>
            </w:pPr>
            <w:r w:rsidRPr="00A07D72">
              <w:rPr>
                <w:b/>
                <w:sz w:val="15"/>
                <w:szCs w:val="15"/>
              </w:rPr>
              <w:t>Balance at 1 January 2020</w:t>
            </w:r>
          </w:p>
        </w:tc>
        <w:tc>
          <w:tcPr>
            <w:tcW w:w="709" w:type="dxa"/>
            <w:tcBorders>
              <w:top w:val="single" w:sz="4" w:space="0" w:color="A6A6A6" w:themeColor="background1" w:themeShade="A6"/>
            </w:tcBorders>
          </w:tcPr>
          <w:p w14:paraId="2370CA7E" w14:textId="40CFFBAE" w:rsidR="00DB72FE" w:rsidRPr="0068185D" w:rsidRDefault="00DB72FE" w:rsidP="00A65F99">
            <w:pPr>
              <w:pStyle w:val="TableFiguresBold0"/>
              <w:rPr>
                <w:b w:val="0"/>
                <w:bCs w:val="0"/>
                <w:sz w:val="15"/>
                <w:szCs w:val="15"/>
              </w:rPr>
            </w:pPr>
            <w:r w:rsidRPr="0068185D">
              <w:rPr>
                <w:b w:val="0"/>
                <w:bCs w:val="0"/>
                <w:sz w:val="15"/>
                <w:szCs w:val="15"/>
              </w:rPr>
              <w:t>109</w:t>
            </w:r>
          </w:p>
        </w:tc>
        <w:tc>
          <w:tcPr>
            <w:tcW w:w="820" w:type="dxa"/>
            <w:gridSpan w:val="2"/>
            <w:tcBorders>
              <w:top w:val="single" w:sz="4" w:space="0" w:color="A6A6A6" w:themeColor="background1" w:themeShade="A6"/>
            </w:tcBorders>
          </w:tcPr>
          <w:p w14:paraId="39151140" w14:textId="7194CC11" w:rsidR="00DB72FE" w:rsidRPr="0068185D" w:rsidRDefault="00DB72FE" w:rsidP="00A65F99">
            <w:pPr>
              <w:pStyle w:val="TableFiguresBold0"/>
              <w:rPr>
                <w:b w:val="0"/>
                <w:bCs w:val="0"/>
                <w:sz w:val="15"/>
                <w:szCs w:val="15"/>
              </w:rPr>
            </w:pPr>
            <w:r w:rsidRPr="0068185D">
              <w:rPr>
                <w:b w:val="0"/>
                <w:bCs w:val="0"/>
                <w:sz w:val="15"/>
                <w:szCs w:val="15"/>
              </w:rPr>
              <w:t>2,554</w:t>
            </w:r>
          </w:p>
        </w:tc>
        <w:tc>
          <w:tcPr>
            <w:tcW w:w="928" w:type="dxa"/>
            <w:tcBorders>
              <w:top w:val="single" w:sz="4" w:space="0" w:color="A6A6A6" w:themeColor="background1" w:themeShade="A6"/>
            </w:tcBorders>
          </w:tcPr>
          <w:p w14:paraId="7843970B" w14:textId="225DD4E6" w:rsidR="00DB72FE" w:rsidRPr="0068185D" w:rsidRDefault="00DB72FE" w:rsidP="00A65F99">
            <w:pPr>
              <w:pStyle w:val="TableFiguresBold0"/>
              <w:rPr>
                <w:b w:val="0"/>
                <w:bCs w:val="0"/>
                <w:sz w:val="15"/>
                <w:szCs w:val="15"/>
              </w:rPr>
            </w:pPr>
            <w:r w:rsidRPr="0068185D">
              <w:rPr>
                <w:b w:val="0"/>
                <w:bCs w:val="0"/>
                <w:sz w:val="15"/>
                <w:szCs w:val="15"/>
              </w:rPr>
              <w:t>114</w:t>
            </w:r>
          </w:p>
        </w:tc>
        <w:tc>
          <w:tcPr>
            <w:tcW w:w="700" w:type="dxa"/>
            <w:tcBorders>
              <w:top w:val="single" w:sz="4" w:space="0" w:color="A6A6A6" w:themeColor="background1" w:themeShade="A6"/>
            </w:tcBorders>
          </w:tcPr>
          <w:p w14:paraId="5406762F" w14:textId="731F3CF1" w:rsidR="00DB72FE" w:rsidRPr="0068185D" w:rsidRDefault="00DB72FE" w:rsidP="00A65F99">
            <w:pPr>
              <w:pStyle w:val="TableFiguresBrackets"/>
              <w:rPr>
                <w:sz w:val="15"/>
              </w:rPr>
            </w:pPr>
            <w:r w:rsidRPr="0068185D">
              <w:rPr>
                <w:sz w:val="15"/>
              </w:rPr>
              <w:t>(3)</w:t>
            </w:r>
          </w:p>
        </w:tc>
        <w:tc>
          <w:tcPr>
            <w:tcW w:w="876" w:type="dxa"/>
            <w:tcBorders>
              <w:top w:val="single" w:sz="4" w:space="0" w:color="A6A6A6" w:themeColor="background1" w:themeShade="A6"/>
            </w:tcBorders>
          </w:tcPr>
          <w:p w14:paraId="16F0C637" w14:textId="2DDCC115" w:rsidR="00DB72FE" w:rsidRPr="0068185D" w:rsidRDefault="00DB72FE" w:rsidP="00A65F99">
            <w:pPr>
              <w:pStyle w:val="TableFigures"/>
              <w:rPr>
                <w:sz w:val="15"/>
              </w:rPr>
            </w:pPr>
            <w:r w:rsidRPr="0068185D">
              <w:rPr>
                <w:sz w:val="15"/>
              </w:rPr>
              <w:t>29</w:t>
            </w:r>
          </w:p>
        </w:tc>
        <w:tc>
          <w:tcPr>
            <w:tcW w:w="997" w:type="dxa"/>
            <w:tcBorders>
              <w:top w:val="single" w:sz="4" w:space="0" w:color="A6A6A6" w:themeColor="background1" w:themeShade="A6"/>
            </w:tcBorders>
          </w:tcPr>
          <w:p w14:paraId="2DF0D6FE" w14:textId="48ECD80C" w:rsidR="00DB72FE" w:rsidRPr="0068185D" w:rsidRDefault="00DB72FE" w:rsidP="00A65F99">
            <w:pPr>
              <w:pStyle w:val="TableFigures"/>
              <w:rPr>
                <w:sz w:val="15"/>
              </w:rPr>
            </w:pPr>
            <w:r w:rsidRPr="0068185D">
              <w:rPr>
                <w:sz w:val="15"/>
              </w:rPr>
              <w:t>2</w:t>
            </w:r>
          </w:p>
        </w:tc>
        <w:tc>
          <w:tcPr>
            <w:tcW w:w="817" w:type="dxa"/>
            <w:tcBorders>
              <w:top w:val="single" w:sz="4" w:space="0" w:color="A6A6A6" w:themeColor="background1" w:themeShade="A6"/>
            </w:tcBorders>
          </w:tcPr>
          <w:p w14:paraId="0B748BCB" w14:textId="13A43C5E" w:rsidR="00DB72FE" w:rsidRPr="0068185D" w:rsidRDefault="00DB72FE" w:rsidP="00A65F99">
            <w:pPr>
              <w:pStyle w:val="TableFigures"/>
              <w:rPr>
                <w:sz w:val="15"/>
              </w:rPr>
            </w:pPr>
            <w:r w:rsidRPr="0068185D">
              <w:rPr>
                <w:sz w:val="15"/>
              </w:rPr>
              <w:t>169</w:t>
            </w:r>
          </w:p>
        </w:tc>
        <w:tc>
          <w:tcPr>
            <w:tcW w:w="710" w:type="dxa"/>
            <w:tcBorders>
              <w:top w:val="single" w:sz="4" w:space="0" w:color="A6A6A6" w:themeColor="background1" w:themeShade="A6"/>
            </w:tcBorders>
          </w:tcPr>
          <w:p w14:paraId="1123A318" w14:textId="46CF3F2F" w:rsidR="00DB72FE" w:rsidRPr="0068185D" w:rsidRDefault="00DB72FE" w:rsidP="00A65F99">
            <w:pPr>
              <w:pStyle w:val="TableFigures"/>
              <w:rPr>
                <w:sz w:val="15"/>
              </w:rPr>
            </w:pPr>
            <w:r w:rsidRPr="0068185D">
              <w:rPr>
                <w:sz w:val="15"/>
              </w:rPr>
              <w:t>4,703</w:t>
            </w:r>
          </w:p>
        </w:tc>
        <w:tc>
          <w:tcPr>
            <w:tcW w:w="1135" w:type="dxa"/>
            <w:tcBorders>
              <w:top w:val="single" w:sz="4" w:space="0" w:color="A6A6A6" w:themeColor="background1" w:themeShade="A6"/>
            </w:tcBorders>
          </w:tcPr>
          <w:p w14:paraId="1F3499FA" w14:textId="3A234726" w:rsidR="00DB72FE" w:rsidRPr="0068185D" w:rsidRDefault="00DB72FE" w:rsidP="00A65F99">
            <w:pPr>
              <w:pStyle w:val="TableFigures"/>
              <w:rPr>
                <w:sz w:val="15"/>
              </w:rPr>
            </w:pPr>
            <w:r w:rsidRPr="0068185D">
              <w:rPr>
                <w:sz w:val="15"/>
              </w:rPr>
              <w:t>7,677</w:t>
            </w:r>
          </w:p>
        </w:tc>
        <w:tc>
          <w:tcPr>
            <w:tcW w:w="955" w:type="dxa"/>
            <w:tcBorders>
              <w:top w:val="single" w:sz="4" w:space="0" w:color="A6A6A6" w:themeColor="background1" w:themeShade="A6"/>
            </w:tcBorders>
          </w:tcPr>
          <w:p w14:paraId="4003BF85" w14:textId="77777777" w:rsidR="00DB72FE" w:rsidRPr="0068185D" w:rsidRDefault="00DB72FE" w:rsidP="00A65F99">
            <w:pPr>
              <w:pStyle w:val="TableFigures"/>
              <w:rPr>
                <w:sz w:val="15"/>
              </w:rPr>
            </w:pPr>
            <w:r w:rsidRPr="0068185D">
              <w:rPr>
                <w:sz w:val="15"/>
              </w:rPr>
              <w:t>–</w:t>
            </w:r>
          </w:p>
        </w:tc>
        <w:tc>
          <w:tcPr>
            <w:tcW w:w="683" w:type="dxa"/>
            <w:tcBorders>
              <w:top w:val="single" w:sz="4" w:space="0" w:color="A6A6A6" w:themeColor="background1" w:themeShade="A6"/>
            </w:tcBorders>
          </w:tcPr>
          <w:p w14:paraId="6AD737E4" w14:textId="0D3CABD2" w:rsidR="00DB72FE" w:rsidRPr="0068185D" w:rsidRDefault="00DB72FE" w:rsidP="00A65F99">
            <w:pPr>
              <w:pStyle w:val="TableFigures"/>
              <w:rPr>
                <w:sz w:val="15"/>
              </w:rPr>
            </w:pPr>
            <w:r w:rsidRPr="0068185D">
              <w:rPr>
                <w:sz w:val="15"/>
              </w:rPr>
              <w:t>7,677</w:t>
            </w:r>
          </w:p>
        </w:tc>
      </w:tr>
      <w:tr w:rsidR="00DB72FE" w:rsidRPr="00A07D72" w14:paraId="750C4DEC" w14:textId="77777777" w:rsidTr="00A65F99">
        <w:tc>
          <w:tcPr>
            <w:tcW w:w="1560" w:type="dxa"/>
          </w:tcPr>
          <w:p w14:paraId="493C48B1" w14:textId="77777777" w:rsidR="00DB72FE" w:rsidRPr="00A07D72" w:rsidRDefault="00DB72FE" w:rsidP="00A65F99">
            <w:pPr>
              <w:pStyle w:val="Tabletext"/>
              <w:rPr>
                <w:sz w:val="15"/>
                <w:szCs w:val="15"/>
              </w:rPr>
            </w:pPr>
            <w:r w:rsidRPr="00A07D72">
              <w:rPr>
                <w:sz w:val="15"/>
                <w:szCs w:val="15"/>
              </w:rPr>
              <w:t>Profit for the year</w:t>
            </w:r>
          </w:p>
        </w:tc>
        <w:tc>
          <w:tcPr>
            <w:tcW w:w="709" w:type="dxa"/>
          </w:tcPr>
          <w:p w14:paraId="28BD95DA"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820" w:type="dxa"/>
            <w:gridSpan w:val="2"/>
          </w:tcPr>
          <w:p w14:paraId="0C2AA716"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928" w:type="dxa"/>
          </w:tcPr>
          <w:p w14:paraId="5B58B721"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Pr>
          <w:p w14:paraId="75765968" w14:textId="77777777" w:rsidR="00DB72FE" w:rsidRPr="0068185D" w:rsidRDefault="00DB72FE" w:rsidP="00A65F99">
            <w:pPr>
              <w:pStyle w:val="TableFiguresBold0"/>
              <w:rPr>
                <w:b w:val="0"/>
                <w:bCs w:val="0"/>
                <w:sz w:val="15"/>
              </w:rPr>
            </w:pPr>
            <w:r w:rsidRPr="0068185D">
              <w:rPr>
                <w:b w:val="0"/>
                <w:bCs w:val="0"/>
                <w:sz w:val="15"/>
              </w:rPr>
              <w:t>–</w:t>
            </w:r>
          </w:p>
        </w:tc>
        <w:tc>
          <w:tcPr>
            <w:tcW w:w="876" w:type="dxa"/>
          </w:tcPr>
          <w:p w14:paraId="5850E49D" w14:textId="77777777" w:rsidR="00DB72FE" w:rsidRPr="0068185D" w:rsidRDefault="00DB72FE" w:rsidP="00A65F99">
            <w:pPr>
              <w:pStyle w:val="TableFigures"/>
              <w:rPr>
                <w:sz w:val="15"/>
              </w:rPr>
            </w:pPr>
            <w:r w:rsidRPr="0068185D">
              <w:rPr>
                <w:sz w:val="15"/>
              </w:rPr>
              <w:t>–</w:t>
            </w:r>
          </w:p>
        </w:tc>
        <w:tc>
          <w:tcPr>
            <w:tcW w:w="997" w:type="dxa"/>
          </w:tcPr>
          <w:p w14:paraId="325F425D" w14:textId="77777777" w:rsidR="00DB72FE" w:rsidRPr="0068185D" w:rsidRDefault="00DB72FE" w:rsidP="00A65F99">
            <w:pPr>
              <w:pStyle w:val="TableFigures"/>
              <w:rPr>
                <w:sz w:val="15"/>
              </w:rPr>
            </w:pPr>
            <w:r w:rsidRPr="0068185D">
              <w:rPr>
                <w:sz w:val="15"/>
              </w:rPr>
              <w:t>–</w:t>
            </w:r>
          </w:p>
        </w:tc>
        <w:tc>
          <w:tcPr>
            <w:tcW w:w="817" w:type="dxa"/>
          </w:tcPr>
          <w:p w14:paraId="0B81AFC6" w14:textId="77777777" w:rsidR="00DB72FE" w:rsidRPr="0068185D" w:rsidRDefault="00DB72FE" w:rsidP="00A65F99">
            <w:pPr>
              <w:pStyle w:val="TableFigures"/>
              <w:rPr>
                <w:sz w:val="15"/>
              </w:rPr>
            </w:pPr>
            <w:r w:rsidRPr="0068185D">
              <w:rPr>
                <w:sz w:val="15"/>
              </w:rPr>
              <w:t>–</w:t>
            </w:r>
          </w:p>
        </w:tc>
        <w:tc>
          <w:tcPr>
            <w:tcW w:w="710" w:type="dxa"/>
          </w:tcPr>
          <w:p w14:paraId="0940E512" w14:textId="1B0436FF" w:rsidR="00DB72FE" w:rsidRPr="0068185D" w:rsidRDefault="00DB72FE" w:rsidP="00A65F99">
            <w:pPr>
              <w:pStyle w:val="TableFigures"/>
              <w:rPr>
                <w:sz w:val="15"/>
              </w:rPr>
            </w:pPr>
            <w:r w:rsidRPr="0068185D">
              <w:rPr>
                <w:sz w:val="15"/>
              </w:rPr>
              <w:t>1,427</w:t>
            </w:r>
          </w:p>
        </w:tc>
        <w:tc>
          <w:tcPr>
            <w:tcW w:w="1135" w:type="dxa"/>
          </w:tcPr>
          <w:p w14:paraId="19A0A87A" w14:textId="1A74552A" w:rsidR="00DB72FE" w:rsidRPr="0068185D" w:rsidRDefault="00DB72FE" w:rsidP="00A65F99">
            <w:pPr>
              <w:pStyle w:val="TableFigures"/>
              <w:rPr>
                <w:sz w:val="15"/>
              </w:rPr>
            </w:pPr>
            <w:r w:rsidRPr="0068185D">
              <w:rPr>
                <w:sz w:val="15"/>
              </w:rPr>
              <w:t>1,427</w:t>
            </w:r>
          </w:p>
        </w:tc>
        <w:tc>
          <w:tcPr>
            <w:tcW w:w="955" w:type="dxa"/>
          </w:tcPr>
          <w:p w14:paraId="436C07FE" w14:textId="59395A2B" w:rsidR="00DB72FE" w:rsidRPr="0068185D" w:rsidRDefault="00DB72FE" w:rsidP="00A65F99">
            <w:pPr>
              <w:pStyle w:val="TableFigures"/>
              <w:rPr>
                <w:sz w:val="15"/>
              </w:rPr>
            </w:pPr>
            <w:r w:rsidRPr="0068185D">
              <w:rPr>
                <w:sz w:val="15"/>
              </w:rPr>
              <w:t>2</w:t>
            </w:r>
          </w:p>
        </w:tc>
        <w:tc>
          <w:tcPr>
            <w:tcW w:w="683" w:type="dxa"/>
          </w:tcPr>
          <w:p w14:paraId="227B738B" w14:textId="5E2336D7" w:rsidR="00DB72FE" w:rsidRPr="0068185D" w:rsidRDefault="00DB72FE" w:rsidP="00A65F99">
            <w:pPr>
              <w:pStyle w:val="TableFigures"/>
              <w:rPr>
                <w:sz w:val="15"/>
              </w:rPr>
            </w:pPr>
            <w:r w:rsidRPr="0068185D">
              <w:rPr>
                <w:sz w:val="15"/>
              </w:rPr>
              <w:t>1,429</w:t>
            </w:r>
          </w:p>
        </w:tc>
      </w:tr>
      <w:tr w:rsidR="00DB72FE" w:rsidRPr="00A07D72" w14:paraId="5D195951" w14:textId="77777777" w:rsidTr="00A65F99">
        <w:tc>
          <w:tcPr>
            <w:tcW w:w="1560" w:type="dxa"/>
            <w:tcBorders>
              <w:bottom w:val="single" w:sz="4" w:space="0" w:color="A6A6A6" w:themeColor="background1" w:themeShade="A6"/>
            </w:tcBorders>
          </w:tcPr>
          <w:p w14:paraId="741639F0" w14:textId="77777777" w:rsidR="00DB72FE" w:rsidRPr="00A07D72" w:rsidRDefault="00DB72FE" w:rsidP="00A65F99">
            <w:pPr>
              <w:pStyle w:val="Tabletext"/>
              <w:rPr>
                <w:sz w:val="15"/>
                <w:szCs w:val="15"/>
              </w:rPr>
            </w:pPr>
            <w:r w:rsidRPr="00A07D72">
              <w:rPr>
                <w:sz w:val="15"/>
                <w:szCs w:val="15"/>
              </w:rPr>
              <w:t>Other comprehensive income</w:t>
            </w:r>
          </w:p>
        </w:tc>
        <w:tc>
          <w:tcPr>
            <w:tcW w:w="709" w:type="dxa"/>
            <w:tcBorders>
              <w:bottom w:val="single" w:sz="4" w:space="0" w:color="A6A6A6" w:themeColor="background1" w:themeShade="A6"/>
            </w:tcBorders>
          </w:tcPr>
          <w:p w14:paraId="13B998E9"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820" w:type="dxa"/>
            <w:gridSpan w:val="2"/>
            <w:tcBorders>
              <w:bottom w:val="single" w:sz="4" w:space="0" w:color="A6A6A6" w:themeColor="background1" w:themeShade="A6"/>
            </w:tcBorders>
          </w:tcPr>
          <w:p w14:paraId="522BEBB3"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928" w:type="dxa"/>
            <w:tcBorders>
              <w:bottom w:val="single" w:sz="4" w:space="0" w:color="A6A6A6" w:themeColor="background1" w:themeShade="A6"/>
            </w:tcBorders>
          </w:tcPr>
          <w:p w14:paraId="79FE0FAF"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Borders>
              <w:bottom w:val="single" w:sz="4" w:space="0" w:color="A6A6A6" w:themeColor="background1" w:themeShade="A6"/>
            </w:tcBorders>
          </w:tcPr>
          <w:p w14:paraId="22ACAEBA" w14:textId="77777777" w:rsidR="00DB72FE" w:rsidRPr="0068185D" w:rsidRDefault="00DB72FE" w:rsidP="00A65F99">
            <w:pPr>
              <w:pStyle w:val="TableFigures"/>
              <w:rPr>
                <w:sz w:val="15"/>
              </w:rPr>
            </w:pPr>
            <w:r w:rsidRPr="0068185D">
              <w:rPr>
                <w:sz w:val="15"/>
              </w:rPr>
              <w:t>–</w:t>
            </w:r>
          </w:p>
        </w:tc>
        <w:tc>
          <w:tcPr>
            <w:tcW w:w="876" w:type="dxa"/>
            <w:tcBorders>
              <w:bottom w:val="single" w:sz="4" w:space="0" w:color="A6A6A6" w:themeColor="background1" w:themeShade="A6"/>
            </w:tcBorders>
          </w:tcPr>
          <w:p w14:paraId="55B7DCAD" w14:textId="77777777" w:rsidR="00DB72FE" w:rsidRPr="0068185D" w:rsidRDefault="00DB72FE" w:rsidP="00A65F99">
            <w:pPr>
              <w:pStyle w:val="TableFigures"/>
              <w:rPr>
                <w:sz w:val="15"/>
              </w:rPr>
            </w:pPr>
            <w:r w:rsidRPr="0068185D">
              <w:rPr>
                <w:sz w:val="15"/>
              </w:rPr>
              <w:t>–</w:t>
            </w:r>
          </w:p>
        </w:tc>
        <w:tc>
          <w:tcPr>
            <w:tcW w:w="997" w:type="dxa"/>
            <w:tcBorders>
              <w:bottom w:val="single" w:sz="4" w:space="0" w:color="A6A6A6" w:themeColor="background1" w:themeShade="A6"/>
            </w:tcBorders>
          </w:tcPr>
          <w:p w14:paraId="0999C127" w14:textId="42AB7EAE" w:rsidR="00DB72FE" w:rsidRPr="0068185D" w:rsidRDefault="00DB72FE" w:rsidP="00A65F99">
            <w:pPr>
              <w:pStyle w:val="TableFigures"/>
              <w:rPr>
                <w:sz w:val="15"/>
              </w:rPr>
            </w:pPr>
            <w:r w:rsidRPr="0068185D">
              <w:rPr>
                <w:sz w:val="15"/>
              </w:rPr>
              <w:t>60</w:t>
            </w:r>
          </w:p>
        </w:tc>
        <w:tc>
          <w:tcPr>
            <w:tcW w:w="817" w:type="dxa"/>
            <w:tcBorders>
              <w:bottom w:val="single" w:sz="4" w:space="0" w:color="A6A6A6" w:themeColor="background1" w:themeShade="A6"/>
            </w:tcBorders>
          </w:tcPr>
          <w:p w14:paraId="6A93A2A6" w14:textId="77777777" w:rsidR="00DB72FE" w:rsidRPr="0068185D" w:rsidRDefault="00DB72FE" w:rsidP="00A65F99">
            <w:pPr>
              <w:pStyle w:val="TableFigures"/>
              <w:rPr>
                <w:sz w:val="15"/>
              </w:rPr>
            </w:pPr>
            <w:r w:rsidRPr="0068185D">
              <w:rPr>
                <w:sz w:val="15"/>
              </w:rPr>
              <w:t>–</w:t>
            </w:r>
          </w:p>
        </w:tc>
        <w:tc>
          <w:tcPr>
            <w:tcW w:w="710" w:type="dxa"/>
            <w:tcBorders>
              <w:bottom w:val="single" w:sz="4" w:space="0" w:color="A6A6A6" w:themeColor="background1" w:themeShade="A6"/>
            </w:tcBorders>
          </w:tcPr>
          <w:p w14:paraId="3CD39DF6" w14:textId="77777777" w:rsidR="00DB72FE" w:rsidRPr="0068185D" w:rsidRDefault="00DB72FE" w:rsidP="00A65F99">
            <w:pPr>
              <w:pStyle w:val="TableFigures"/>
              <w:rPr>
                <w:sz w:val="15"/>
              </w:rPr>
            </w:pPr>
            <w:r w:rsidRPr="0068185D">
              <w:rPr>
                <w:sz w:val="15"/>
              </w:rPr>
              <w:t>–</w:t>
            </w:r>
          </w:p>
        </w:tc>
        <w:tc>
          <w:tcPr>
            <w:tcW w:w="1135" w:type="dxa"/>
            <w:tcBorders>
              <w:bottom w:val="single" w:sz="4" w:space="0" w:color="A6A6A6" w:themeColor="background1" w:themeShade="A6"/>
            </w:tcBorders>
          </w:tcPr>
          <w:p w14:paraId="1D5FB02D" w14:textId="62D12BF1" w:rsidR="00DB72FE" w:rsidRPr="0068185D" w:rsidRDefault="00DB72FE" w:rsidP="00A65F99">
            <w:pPr>
              <w:pStyle w:val="TableFiguresBold0"/>
              <w:rPr>
                <w:b w:val="0"/>
                <w:bCs w:val="0"/>
                <w:sz w:val="15"/>
              </w:rPr>
            </w:pPr>
            <w:r w:rsidRPr="0068185D">
              <w:rPr>
                <w:b w:val="0"/>
                <w:bCs w:val="0"/>
                <w:sz w:val="15"/>
              </w:rPr>
              <w:t>60</w:t>
            </w:r>
          </w:p>
        </w:tc>
        <w:tc>
          <w:tcPr>
            <w:tcW w:w="955" w:type="dxa"/>
            <w:tcBorders>
              <w:bottom w:val="single" w:sz="4" w:space="0" w:color="A6A6A6" w:themeColor="background1" w:themeShade="A6"/>
            </w:tcBorders>
          </w:tcPr>
          <w:p w14:paraId="7AF65E99" w14:textId="596F41A7" w:rsidR="00DB72FE" w:rsidRPr="0068185D" w:rsidRDefault="00DB72FE" w:rsidP="00A65F99">
            <w:pPr>
              <w:pStyle w:val="TableFiguresBrackets"/>
              <w:rPr>
                <w:sz w:val="15"/>
              </w:rPr>
            </w:pPr>
            <w:r w:rsidRPr="0068185D">
              <w:rPr>
                <w:sz w:val="15"/>
              </w:rPr>
              <w:t>–</w:t>
            </w:r>
          </w:p>
        </w:tc>
        <w:tc>
          <w:tcPr>
            <w:tcW w:w="683" w:type="dxa"/>
            <w:tcBorders>
              <w:bottom w:val="single" w:sz="4" w:space="0" w:color="A6A6A6" w:themeColor="background1" w:themeShade="A6"/>
            </w:tcBorders>
          </w:tcPr>
          <w:p w14:paraId="589812E2" w14:textId="68D39FDB" w:rsidR="00DB72FE" w:rsidRPr="0068185D" w:rsidRDefault="00DB72FE" w:rsidP="00A65F99">
            <w:pPr>
              <w:pStyle w:val="TableFiguresBold0"/>
              <w:rPr>
                <w:b w:val="0"/>
                <w:bCs w:val="0"/>
                <w:sz w:val="15"/>
              </w:rPr>
            </w:pPr>
            <w:r w:rsidRPr="0068185D">
              <w:rPr>
                <w:b w:val="0"/>
                <w:bCs w:val="0"/>
                <w:sz w:val="15"/>
              </w:rPr>
              <w:t>60</w:t>
            </w:r>
          </w:p>
        </w:tc>
      </w:tr>
      <w:tr w:rsidR="00DB72FE" w:rsidRPr="00A07D72" w14:paraId="541666A3" w14:textId="77777777" w:rsidTr="00A65F99">
        <w:tc>
          <w:tcPr>
            <w:tcW w:w="1560" w:type="dxa"/>
            <w:tcBorders>
              <w:top w:val="single" w:sz="4" w:space="0" w:color="A6A6A6" w:themeColor="background1" w:themeShade="A6"/>
              <w:bottom w:val="single" w:sz="4" w:space="0" w:color="A6A6A6" w:themeColor="background1" w:themeShade="A6"/>
            </w:tcBorders>
          </w:tcPr>
          <w:p w14:paraId="308463E0" w14:textId="77777777" w:rsidR="00DB72FE" w:rsidRPr="00A07D72" w:rsidRDefault="00DB72FE" w:rsidP="00A65F99">
            <w:pPr>
              <w:pStyle w:val="Tabletext"/>
              <w:rPr>
                <w:b/>
                <w:sz w:val="15"/>
                <w:szCs w:val="15"/>
              </w:rPr>
            </w:pPr>
            <w:r w:rsidRPr="00A07D72">
              <w:rPr>
                <w:b/>
                <w:sz w:val="15"/>
                <w:szCs w:val="15"/>
              </w:rPr>
              <w:t>Total comprehensive income for the year</w:t>
            </w:r>
          </w:p>
        </w:tc>
        <w:tc>
          <w:tcPr>
            <w:tcW w:w="709" w:type="dxa"/>
            <w:tcBorders>
              <w:top w:val="single" w:sz="4" w:space="0" w:color="A6A6A6" w:themeColor="background1" w:themeShade="A6"/>
              <w:bottom w:val="single" w:sz="4" w:space="0" w:color="A6A6A6" w:themeColor="background1" w:themeShade="A6"/>
            </w:tcBorders>
          </w:tcPr>
          <w:p w14:paraId="61F84DFB"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820" w:type="dxa"/>
            <w:gridSpan w:val="2"/>
            <w:tcBorders>
              <w:top w:val="single" w:sz="4" w:space="0" w:color="A6A6A6" w:themeColor="background1" w:themeShade="A6"/>
              <w:bottom w:val="single" w:sz="4" w:space="0" w:color="A6A6A6" w:themeColor="background1" w:themeShade="A6"/>
            </w:tcBorders>
          </w:tcPr>
          <w:p w14:paraId="0DD48C93"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928" w:type="dxa"/>
            <w:tcBorders>
              <w:top w:val="single" w:sz="4" w:space="0" w:color="A6A6A6" w:themeColor="background1" w:themeShade="A6"/>
              <w:bottom w:val="single" w:sz="4" w:space="0" w:color="A6A6A6" w:themeColor="background1" w:themeShade="A6"/>
            </w:tcBorders>
          </w:tcPr>
          <w:p w14:paraId="2E219694"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Borders>
              <w:top w:val="single" w:sz="4" w:space="0" w:color="A6A6A6" w:themeColor="background1" w:themeShade="A6"/>
              <w:bottom w:val="single" w:sz="4" w:space="0" w:color="A6A6A6" w:themeColor="background1" w:themeShade="A6"/>
            </w:tcBorders>
          </w:tcPr>
          <w:p w14:paraId="599A87ED" w14:textId="77777777" w:rsidR="00DB72FE" w:rsidRPr="0068185D" w:rsidRDefault="00DB72FE" w:rsidP="00A65F99">
            <w:pPr>
              <w:pStyle w:val="TableFigures"/>
              <w:rPr>
                <w:sz w:val="15"/>
                <w:szCs w:val="15"/>
              </w:rPr>
            </w:pPr>
            <w:r w:rsidRPr="0068185D">
              <w:rPr>
                <w:sz w:val="15"/>
                <w:szCs w:val="15"/>
              </w:rPr>
              <w:t>–</w:t>
            </w:r>
          </w:p>
        </w:tc>
        <w:tc>
          <w:tcPr>
            <w:tcW w:w="876" w:type="dxa"/>
            <w:tcBorders>
              <w:top w:val="single" w:sz="4" w:space="0" w:color="A6A6A6" w:themeColor="background1" w:themeShade="A6"/>
              <w:bottom w:val="single" w:sz="4" w:space="0" w:color="A6A6A6" w:themeColor="background1" w:themeShade="A6"/>
            </w:tcBorders>
          </w:tcPr>
          <w:p w14:paraId="185D78F9" w14:textId="77777777" w:rsidR="00DB72FE" w:rsidRPr="0068185D" w:rsidRDefault="00DB72FE" w:rsidP="00A65F99">
            <w:pPr>
              <w:pStyle w:val="TableFigures"/>
              <w:rPr>
                <w:sz w:val="15"/>
                <w:szCs w:val="15"/>
              </w:rPr>
            </w:pPr>
            <w:r w:rsidRPr="0068185D">
              <w:rPr>
                <w:sz w:val="15"/>
                <w:szCs w:val="15"/>
              </w:rPr>
              <w:t>–</w:t>
            </w:r>
          </w:p>
        </w:tc>
        <w:tc>
          <w:tcPr>
            <w:tcW w:w="997" w:type="dxa"/>
            <w:tcBorders>
              <w:top w:val="single" w:sz="4" w:space="0" w:color="A6A6A6" w:themeColor="background1" w:themeShade="A6"/>
              <w:bottom w:val="single" w:sz="4" w:space="0" w:color="A6A6A6" w:themeColor="background1" w:themeShade="A6"/>
            </w:tcBorders>
          </w:tcPr>
          <w:p w14:paraId="54F6B52F" w14:textId="5F4CD359" w:rsidR="00DB72FE" w:rsidRPr="0068185D" w:rsidRDefault="00DB72FE" w:rsidP="00A65F99">
            <w:pPr>
              <w:pStyle w:val="TableFigures"/>
              <w:rPr>
                <w:sz w:val="15"/>
              </w:rPr>
            </w:pPr>
            <w:r w:rsidRPr="0068185D">
              <w:rPr>
                <w:sz w:val="15"/>
              </w:rPr>
              <w:t>60</w:t>
            </w:r>
          </w:p>
        </w:tc>
        <w:tc>
          <w:tcPr>
            <w:tcW w:w="817" w:type="dxa"/>
            <w:tcBorders>
              <w:top w:val="single" w:sz="4" w:space="0" w:color="A6A6A6" w:themeColor="background1" w:themeShade="A6"/>
              <w:bottom w:val="single" w:sz="4" w:space="0" w:color="A6A6A6" w:themeColor="background1" w:themeShade="A6"/>
            </w:tcBorders>
          </w:tcPr>
          <w:p w14:paraId="1791A5EB" w14:textId="77777777" w:rsidR="00DB72FE" w:rsidRPr="0068185D" w:rsidRDefault="00DB72FE" w:rsidP="00A65F99">
            <w:pPr>
              <w:pStyle w:val="TableFigures"/>
              <w:rPr>
                <w:sz w:val="15"/>
                <w:szCs w:val="15"/>
              </w:rPr>
            </w:pPr>
            <w:r w:rsidRPr="0068185D">
              <w:rPr>
                <w:sz w:val="15"/>
                <w:szCs w:val="15"/>
              </w:rPr>
              <w:t>–</w:t>
            </w:r>
          </w:p>
        </w:tc>
        <w:tc>
          <w:tcPr>
            <w:tcW w:w="710" w:type="dxa"/>
            <w:tcBorders>
              <w:top w:val="single" w:sz="4" w:space="0" w:color="A6A6A6" w:themeColor="background1" w:themeShade="A6"/>
              <w:bottom w:val="single" w:sz="4" w:space="0" w:color="A6A6A6" w:themeColor="background1" w:themeShade="A6"/>
            </w:tcBorders>
          </w:tcPr>
          <w:p w14:paraId="4996D3AE" w14:textId="6ED50FAC" w:rsidR="00DB72FE" w:rsidRPr="0068185D" w:rsidRDefault="00DB72FE" w:rsidP="00A65F99">
            <w:pPr>
              <w:pStyle w:val="TableFigures"/>
              <w:rPr>
                <w:sz w:val="15"/>
                <w:szCs w:val="15"/>
              </w:rPr>
            </w:pPr>
            <w:r w:rsidRPr="0068185D">
              <w:rPr>
                <w:sz w:val="15"/>
                <w:szCs w:val="15"/>
              </w:rPr>
              <w:t>1,427</w:t>
            </w:r>
          </w:p>
        </w:tc>
        <w:tc>
          <w:tcPr>
            <w:tcW w:w="1135" w:type="dxa"/>
            <w:tcBorders>
              <w:top w:val="single" w:sz="4" w:space="0" w:color="A6A6A6" w:themeColor="background1" w:themeShade="A6"/>
              <w:bottom w:val="single" w:sz="4" w:space="0" w:color="A6A6A6" w:themeColor="background1" w:themeShade="A6"/>
            </w:tcBorders>
          </w:tcPr>
          <w:p w14:paraId="3A43939A" w14:textId="75DEF9B8" w:rsidR="00DB72FE" w:rsidRPr="0068185D" w:rsidRDefault="00DB72FE" w:rsidP="00A65F99">
            <w:pPr>
              <w:pStyle w:val="TableFigures"/>
              <w:rPr>
                <w:sz w:val="15"/>
                <w:szCs w:val="15"/>
              </w:rPr>
            </w:pPr>
            <w:r w:rsidRPr="0068185D">
              <w:rPr>
                <w:sz w:val="15"/>
                <w:szCs w:val="15"/>
              </w:rPr>
              <w:t>1,487</w:t>
            </w:r>
          </w:p>
        </w:tc>
        <w:tc>
          <w:tcPr>
            <w:tcW w:w="955" w:type="dxa"/>
            <w:tcBorders>
              <w:top w:val="single" w:sz="4" w:space="0" w:color="A6A6A6" w:themeColor="background1" w:themeShade="A6"/>
              <w:bottom w:val="single" w:sz="4" w:space="0" w:color="A6A6A6" w:themeColor="background1" w:themeShade="A6"/>
            </w:tcBorders>
          </w:tcPr>
          <w:p w14:paraId="4D82492C" w14:textId="6D14C23E" w:rsidR="00DB72FE" w:rsidRPr="0068185D" w:rsidRDefault="00DB72FE" w:rsidP="00A65F99">
            <w:pPr>
              <w:pStyle w:val="TableFigures"/>
              <w:rPr>
                <w:sz w:val="15"/>
                <w:szCs w:val="15"/>
              </w:rPr>
            </w:pPr>
            <w:r w:rsidRPr="0068185D">
              <w:rPr>
                <w:sz w:val="15"/>
                <w:szCs w:val="15"/>
              </w:rPr>
              <w:t>2</w:t>
            </w:r>
          </w:p>
        </w:tc>
        <w:tc>
          <w:tcPr>
            <w:tcW w:w="683" w:type="dxa"/>
            <w:tcBorders>
              <w:top w:val="single" w:sz="4" w:space="0" w:color="A6A6A6" w:themeColor="background1" w:themeShade="A6"/>
              <w:bottom w:val="single" w:sz="4" w:space="0" w:color="A6A6A6" w:themeColor="background1" w:themeShade="A6"/>
            </w:tcBorders>
          </w:tcPr>
          <w:p w14:paraId="1A3DE8BD" w14:textId="1FA5F8E8" w:rsidR="00DB72FE" w:rsidRPr="0068185D" w:rsidRDefault="00DB72FE" w:rsidP="00A65F99">
            <w:pPr>
              <w:pStyle w:val="TableFigures"/>
              <w:rPr>
                <w:sz w:val="15"/>
                <w:szCs w:val="15"/>
              </w:rPr>
            </w:pPr>
            <w:r w:rsidRPr="0068185D">
              <w:rPr>
                <w:sz w:val="15"/>
                <w:szCs w:val="15"/>
              </w:rPr>
              <w:t>1,489</w:t>
            </w:r>
          </w:p>
        </w:tc>
      </w:tr>
      <w:tr w:rsidR="00DB72FE" w:rsidRPr="00A07D72" w14:paraId="095D16F1" w14:textId="77777777" w:rsidTr="00A65F99">
        <w:tc>
          <w:tcPr>
            <w:tcW w:w="1560" w:type="dxa"/>
            <w:tcBorders>
              <w:top w:val="single" w:sz="4" w:space="0" w:color="A6A6A6" w:themeColor="background1" w:themeShade="A6"/>
            </w:tcBorders>
          </w:tcPr>
          <w:p w14:paraId="7A6C5C18" w14:textId="77777777" w:rsidR="00DB72FE" w:rsidRPr="00A07D72" w:rsidRDefault="00DB72FE" w:rsidP="00A65F99">
            <w:pPr>
              <w:pStyle w:val="TableFigures"/>
              <w:jc w:val="left"/>
              <w:rPr>
                <w:sz w:val="15"/>
                <w:szCs w:val="15"/>
              </w:rPr>
            </w:pPr>
            <w:r w:rsidRPr="00A07D72">
              <w:rPr>
                <w:b/>
                <w:sz w:val="15"/>
                <w:szCs w:val="15"/>
              </w:rPr>
              <w:t xml:space="preserve">Transactions with owners of the Company </w:t>
            </w:r>
          </w:p>
        </w:tc>
        <w:tc>
          <w:tcPr>
            <w:tcW w:w="709" w:type="dxa"/>
            <w:tcBorders>
              <w:top w:val="single" w:sz="4" w:space="0" w:color="A6A6A6" w:themeColor="background1" w:themeShade="A6"/>
            </w:tcBorders>
          </w:tcPr>
          <w:p w14:paraId="2A15FF9A" w14:textId="77777777" w:rsidR="00DB72FE" w:rsidRPr="0068185D" w:rsidRDefault="00DB72FE" w:rsidP="00A65F99">
            <w:pPr>
              <w:pStyle w:val="TableFiguresBold0"/>
              <w:rPr>
                <w:b w:val="0"/>
                <w:bCs w:val="0"/>
                <w:sz w:val="15"/>
                <w:szCs w:val="15"/>
              </w:rPr>
            </w:pPr>
          </w:p>
        </w:tc>
        <w:tc>
          <w:tcPr>
            <w:tcW w:w="743" w:type="dxa"/>
            <w:tcBorders>
              <w:top w:val="single" w:sz="4" w:space="0" w:color="A6A6A6" w:themeColor="background1" w:themeShade="A6"/>
            </w:tcBorders>
          </w:tcPr>
          <w:p w14:paraId="28FB8C97" w14:textId="77777777" w:rsidR="00DB72FE" w:rsidRPr="0068185D" w:rsidRDefault="00DB72FE" w:rsidP="00A65F99">
            <w:pPr>
              <w:pStyle w:val="TableFiguresBold0"/>
              <w:rPr>
                <w:b w:val="0"/>
                <w:bCs w:val="0"/>
                <w:sz w:val="15"/>
                <w:szCs w:val="15"/>
              </w:rPr>
            </w:pPr>
          </w:p>
        </w:tc>
        <w:tc>
          <w:tcPr>
            <w:tcW w:w="1005" w:type="dxa"/>
            <w:gridSpan w:val="2"/>
            <w:tcBorders>
              <w:top w:val="single" w:sz="4" w:space="0" w:color="A6A6A6" w:themeColor="background1" w:themeShade="A6"/>
            </w:tcBorders>
          </w:tcPr>
          <w:p w14:paraId="554D47EF" w14:textId="77777777" w:rsidR="00DB72FE" w:rsidRPr="0068185D" w:rsidRDefault="00DB72FE" w:rsidP="00A65F99">
            <w:pPr>
              <w:pStyle w:val="TableFiguresBold0"/>
              <w:rPr>
                <w:b w:val="0"/>
                <w:bCs w:val="0"/>
                <w:sz w:val="15"/>
                <w:szCs w:val="15"/>
              </w:rPr>
            </w:pPr>
          </w:p>
        </w:tc>
        <w:tc>
          <w:tcPr>
            <w:tcW w:w="700" w:type="dxa"/>
            <w:tcBorders>
              <w:top w:val="single" w:sz="4" w:space="0" w:color="A6A6A6" w:themeColor="background1" w:themeShade="A6"/>
            </w:tcBorders>
          </w:tcPr>
          <w:p w14:paraId="10CD75D1" w14:textId="77777777" w:rsidR="00DB72FE" w:rsidRPr="00FD1A13" w:rsidRDefault="00DB72FE" w:rsidP="00A65F99">
            <w:pPr>
              <w:pStyle w:val="TableFigures"/>
              <w:rPr>
                <w:sz w:val="15"/>
                <w:szCs w:val="15"/>
              </w:rPr>
            </w:pPr>
          </w:p>
        </w:tc>
        <w:tc>
          <w:tcPr>
            <w:tcW w:w="876" w:type="dxa"/>
            <w:tcBorders>
              <w:top w:val="single" w:sz="4" w:space="0" w:color="A6A6A6" w:themeColor="background1" w:themeShade="A6"/>
            </w:tcBorders>
          </w:tcPr>
          <w:p w14:paraId="352D8C2C" w14:textId="77777777" w:rsidR="00DB72FE" w:rsidRPr="00E33182" w:rsidRDefault="00DB72FE" w:rsidP="00A65F99">
            <w:pPr>
              <w:pStyle w:val="TableFigures"/>
              <w:rPr>
                <w:sz w:val="15"/>
                <w:szCs w:val="15"/>
              </w:rPr>
            </w:pPr>
          </w:p>
        </w:tc>
        <w:tc>
          <w:tcPr>
            <w:tcW w:w="997" w:type="dxa"/>
            <w:tcBorders>
              <w:top w:val="single" w:sz="4" w:space="0" w:color="A6A6A6" w:themeColor="background1" w:themeShade="A6"/>
            </w:tcBorders>
          </w:tcPr>
          <w:p w14:paraId="2F674522" w14:textId="77777777" w:rsidR="00DB72FE" w:rsidRPr="00E33182" w:rsidRDefault="00DB72FE" w:rsidP="00A65F99">
            <w:pPr>
              <w:pStyle w:val="TableFigures"/>
              <w:rPr>
                <w:sz w:val="15"/>
                <w:szCs w:val="15"/>
              </w:rPr>
            </w:pPr>
          </w:p>
        </w:tc>
        <w:tc>
          <w:tcPr>
            <w:tcW w:w="817" w:type="dxa"/>
            <w:tcBorders>
              <w:top w:val="single" w:sz="4" w:space="0" w:color="A6A6A6" w:themeColor="background1" w:themeShade="A6"/>
            </w:tcBorders>
          </w:tcPr>
          <w:p w14:paraId="27D3F854" w14:textId="77777777" w:rsidR="00DB72FE" w:rsidRPr="00E33182" w:rsidRDefault="00DB72FE" w:rsidP="00A65F99">
            <w:pPr>
              <w:pStyle w:val="TableFigures"/>
              <w:rPr>
                <w:sz w:val="15"/>
                <w:szCs w:val="15"/>
              </w:rPr>
            </w:pPr>
          </w:p>
        </w:tc>
        <w:tc>
          <w:tcPr>
            <w:tcW w:w="710" w:type="dxa"/>
            <w:tcBorders>
              <w:top w:val="single" w:sz="4" w:space="0" w:color="A6A6A6" w:themeColor="background1" w:themeShade="A6"/>
            </w:tcBorders>
          </w:tcPr>
          <w:p w14:paraId="09EA733A" w14:textId="77777777" w:rsidR="00DB72FE" w:rsidRPr="00E33182" w:rsidRDefault="00DB72FE" w:rsidP="00A65F99">
            <w:pPr>
              <w:pStyle w:val="TableFigures"/>
              <w:rPr>
                <w:sz w:val="15"/>
                <w:szCs w:val="15"/>
              </w:rPr>
            </w:pPr>
          </w:p>
        </w:tc>
        <w:tc>
          <w:tcPr>
            <w:tcW w:w="1135" w:type="dxa"/>
            <w:tcBorders>
              <w:top w:val="single" w:sz="4" w:space="0" w:color="A6A6A6" w:themeColor="background1" w:themeShade="A6"/>
            </w:tcBorders>
          </w:tcPr>
          <w:p w14:paraId="02534134" w14:textId="77777777" w:rsidR="00DB72FE" w:rsidRPr="00E33182" w:rsidRDefault="00DB72FE" w:rsidP="00A65F99">
            <w:pPr>
              <w:pStyle w:val="TableFigures"/>
              <w:rPr>
                <w:sz w:val="15"/>
                <w:szCs w:val="15"/>
              </w:rPr>
            </w:pPr>
          </w:p>
        </w:tc>
        <w:tc>
          <w:tcPr>
            <w:tcW w:w="955" w:type="dxa"/>
            <w:tcBorders>
              <w:top w:val="single" w:sz="4" w:space="0" w:color="A6A6A6" w:themeColor="background1" w:themeShade="A6"/>
            </w:tcBorders>
          </w:tcPr>
          <w:p w14:paraId="4EF92628" w14:textId="77777777" w:rsidR="00DB72FE" w:rsidRPr="00E33182" w:rsidRDefault="00DB72FE" w:rsidP="00A65F99">
            <w:pPr>
              <w:pStyle w:val="TableFigures"/>
              <w:rPr>
                <w:sz w:val="15"/>
                <w:szCs w:val="15"/>
              </w:rPr>
            </w:pPr>
          </w:p>
        </w:tc>
        <w:tc>
          <w:tcPr>
            <w:tcW w:w="683" w:type="dxa"/>
            <w:tcBorders>
              <w:top w:val="single" w:sz="4" w:space="0" w:color="A6A6A6" w:themeColor="background1" w:themeShade="A6"/>
            </w:tcBorders>
          </w:tcPr>
          <w:p w14:paraId="4739A433" w14:textId="77777777" w:rsidR="00DB72FE" w:rsidRPr="00E33182" w:rsidRDefault="00DB72FE" w:rsidP="00A65F99">
            <w:pPr>
              <w:pStyle w:val="TableFigures"/>
              <w:rPr>
                <w:sz w:val="15"/>
                <w:szCs w:val="15"/>
              </w:rPr>
            </w:pPr>
          </w:p>
        </w:tc>
      </w:tr>
      <w:tr w:rsidR="00DB72FE" w:rsidRPr="00A07D72" w14:paraId="7518D2C2" w14:textId="77777777" w:rsidTr="00A65F99">
        <w:tc>
          <w:tcPr>
            <w:tcW w:w="1560" w:type="dxa"/>
          </w:tcPr>
          <w:p w14:paraId="5345C9EE" w14:textId="77777777" w:rsidR="00DB72FE" w:rsidRPr="00A07D72" w:rsidRDefault="00DB72FE" w:rsidP="00A65F99">
            <w:pPr>
              <w:pStyle w:val="Tabletext"/>
              <w:rPr>
                <w:sz w:val="15"/>
                <w:szCs w:val="15"/>
              </w:rPr>
            </w:pPr>
            <w:r w:rsidRPr="00A07D72">
              <w:rPr>
                <w:sz w:val="15"/>
                <w:szCs w:val="15"/>
              </w:rPr>
              <w:t>Issue of shares</w:t>
            </w:r>
          </w:p>
        </w:tc>
        <w:tc>
          <w:tcPr>
            <w:tcW w:w="709" w:type="dxa"/>
          </w:tcPr>
          <w:p w14:paraId="37609A03" w14:textId="7467E9E2" w:rsidR="00DB72FE" w:rsidRPr="0068185D" w:rsidRDefault="00DB72FE" w:rsidP="00A65F99">
            <w:pPr>
              <w:pStyle w:val="TableFiguresBold0"/>
              <w:rPr>
                <w:b w:val="0"/>
                <w:bCs w:val="0"/>
                <w:sz w:val="15"/>
                <w:szCs w:val="15"/>
              </w:rPr>
            </w:pPr>
            <w:r w:rsidRPr="0068185D">
              <w:rPr>
                <w:b w:val="0"/>
                <w:bCs w:val="0"/>
                <w:sz w:val="15"/>
                <w:szCs w:val="15"/>
              </w:rPr>
              <w:t>9</w:t>
            </w:r>
          </w:p>
        </w:tc>
        <w:tc>
          <w:tcPr>
            <w:tcW w:w="820" w:type="dxa"/>
            <w:gridSpan w:val="2"/>
          </w:tcPr>
          <w:p w14:paraId="100123CF" w14:textId="3EE766C0" w:rsidR="00DB72FE" w:rsidRPr="0068185D" w:rsidRDefault="00DB72FE" w:rsidP="00A65F99">
            <w:pPr>
              <w:pStyle w:val="TableFiguresBold0"/>
              <w:rPr>
                <w:b w:val="0"/>
                <w:bCs w:val="0"/>
                <w:sz w:val="15"/>
                <w:szCs w:val="15"/>
              </w:rPr>
            </w:pPr>
            <w:r w:rsidRPr="0068185D">
              <w:rPr>
                <w:b w:val="0"/>
                <w:bCs w:val="0"/>
                <w:sz w:val="15"/>
                <w:szCs w:val="15"/>
              </w:rPr>
              <w:t>663</w:t>
            </w:r>
          </w:p>
        </w:tc>
        <w:tc>
          <w:tcPr>
            <w:tcW w:w="928" w:type="dxa"/>
          </w:tcPr>
          <w:p w14:paraId="16C770F4"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Pr>
          <w:p w14:paraId="7C44EF51" w14:textId="77777777" w:rsidR="00DB72FE" w:rsidRPr="0068185D" w:rsidRDefault="00DB72FE" w:rsidP="00A65F99">
            <w:pPr>
              <w:pStyle w:val="TableFigures"/>
              <w:rPr>
                <w:sz w:val="15"/>
              </w:rPr>
            </w:pPr>
            <w:r w:rsidRPr="0068185D">
              <w:rPr>
                <w:sz w:val="15"/>
              </w:rPr>
              <w:t>–</w:t>
            </w:r>
          </w:p>
        </w:tc>
        <w:tc>
          <w:tcPr>
            <w:tcW w:w="876" w:type="dxa"/>
          </w:tcPr>
          <w:p w14:paraId="7B9DFCD8" w14:textId="77777777" w:rsidR="00DB72FE" w:rsidRPr="0068185D" w:rsidRDefault="00DB72FE" w:rsidP="00A65F99">
            <w:pPr>
              <w:pStyle w:val="TableFigures"/>
              <w:rPr>
                <w:sz w:val="15"/>
              </w:rPr>
            </w:pPr>
            <w:r w:rsidRPr="0068185D">
              <w:rPr>
                <w:sz w:val="15"/>
              </w:rPr>
              <w:t>–</w:t>
            </w:r>
          </w:p>
        </w:tc>
        <w:tc>
          <w:tcPr>
            <w:tcW w:w="997" w:type="dxa"/>
          </w:tcPr>
          <w:p w14:paraId="76F9E593" w14:textId="77777777" w:rsidR="00DB72FE" w:rsidRPr="0068185D" w:rsidRDefault="00DB72FE" w:rsidP="00A65F99">
            <w:pPr>
              <w:pStyle w:val="TableFigures"/>
              <w:rPr>
                <w:sz w:val="15"/>
              </w:rPr>
            </w:pPr>
            <w:r w:rsidRPr="0068185D">
              <w:rPr>
                <w:sz w:val="15"/>
              </w:rPr>
              <w:t>–</w:t>
            </w:r>
          </w:p>
        </w:tc>
        <w:tc>
          <w:tcPr>
            <w:tcW w:w="817" w:type="dxa"/>
          </w:tcPr>
          <w:p w14:paraId="6BE92306" w14:textId="77777777" w:rsidR="00DB72FE" w:rsidRPr="0068185D" w:rsidRDefault="00DB72FE" w:rsidP="00A65F99">
            <w:pPr>
              <w:pStyle w:val="TableFigures"/>
              <w:rPr>
                <w:sz w:val="15"/>
              </w:rPr>
            </w:pPr>
            <w:r w:rsidRPr="0068185D">
              <w:rPr>
                <w:sz w:val="15"/>
              </w:rPr>
              <w:t>–</w:t>
            </w:r>
          </w:p>
        </w:tc>
        <w:tc>
          <w:tcPr>
            <w:tcW w:w="710" w:type="dxa"/>
          </w:tcPr>
          <w:p w14:paraId="69F1894D" w14:textId="77777777" w:rsidR="00DB72FE" w:rsidRPr="0068185D" w:rsidRDefault="00DB72FE" w:rsidP="00A65F99">
            <w:pPr>
              <w:pStyle w:val="TableFigures"/>
              <w:rPr>
                <w:sz w:val="15"/>
              </w:rPr>
            </w:pPr>
            <w:r w:rsidRPr="0068185D">
              <w:rPr>
                <w:sz w:val="15"/>
              </w:rPr>
              <w:t>–</w:t>
            </w:r>
          </w:p>
        </w:tc>
        <w:tc>
          <w:tcPr>
            <w:tcW w:w="1135" w:type="dxa"/>
          </w:tcPr>
          <w:p w14:paraId="722D2D01" w14:textId="134E051A" w:rsidR="00DB72FE" w:rsidRPr="0068185D" w:rsidRDefault="00DB72FE" w:rsidP="00A65F99">
            <w:pPr>
              <w:pStyle w:val="TableFigures"/>
              <w:rPr>
                <w:sz w:val="15"/>
              </w:rPr>
            </w:pPr>
            <w:r w:rsidRPr="0068185D">
              <w:rPr>
                <w:sz w:val="15"/>
              </w:rPr>
              <w:t>672</w:t>
            </w:r>
          </w:p>
        </w:tc>
        <w:tc>
          <w:tcPr>
            <w:tcW w:w="955" w:type="dxa"/>
          </w:tcPr>
          <w:p w14:paraId="4A247DFE" w14:textId="77777777" w:rsidR="00DB72FE" w:rsidRPr="0068185D" w:rsidRDefault="00DB72FE" w:rsidP="00A65F99">
            <w:pPr>
              <w:pStyle w:val="TableFigures"/>
              <w:rPr>
                <w:sz w:val="15"/>
              </w:rPr>
            </w:pPr>
            <w:r w:rsidRPr="0068185D">
              <w:rPr>
                <w:sz w:val="15"/>
              </w:rPr>
              <w:t>–</w:t>
            </w:r>
          </w:p>
        </w:tc>
        <w:tc>
          <w:tcPr>
            <w:tcW w:w="683" w:type="dxa"/>
          </w:tcPr>
          <w:p w14:paraId="75025236" w14:textId="3F1FF495" w:rsidR="00DB72FE" w:rsidRPr="0068185D" w:rsidRDefault="00DB72FE" w:rsidP="00A65F99">
            <w:pPr>
              <w:pStyle w:val="TableFigures"/>
              <w:rPr>
                <w:sz w:val="15"/>
              </w:rPr>
            </w:pPr>
            <w:r w:rsidRPr="0068185D">
              <w:rPr>
                <w:sz w:val="15"/>
              </w:rPr>
              <w:t>672</w:t>
            </w:r>
          </w:p>
        </w:tc>
      </w:tr>
      <w:tr w:rsidR="00DB72FE" w:rsidRPr="00A07D72" w14:paraId="5A7F6FD8" w14:textId="77777777" w:rsidTr="00A65F99">
        <w:tc>
          <w:tcPr>
            <w:tcW w:w="1560" w:type="dxa"/>
          </w:tcPr>
          <w:p w14:paraId="545A411B" w14:textId="77777777" w:rsidR="00DB72FE" w:rsidRPr="00A07D72" w:rsidRDefault="00DB72FE" w:rsidP="00A65F99">
            <w:pPr>
              <w:pStyle w:val="Tabletext"/>
              <w:rPr>
                <w:sz w:val="15"/>
                <w:szCs w:val="15"/>
              </w:rPr>
            </w:pPr>
            <w:r w:rsidRPr="00A07D72">
              <w:rPr>
                <w:sz w:val="15"/>
                <w:szCs w:val="15"/>
              </w:rPr>
              <w:t>Own shares acquired</w:t>
            </w:r>
          </w:p>
        </w:tc>
        <w:tc>
          <w:tcPr>
            <w:tcW w:w="709" w:type="dxa"/>
          </w:tcPr>
          <w:p w14:paraId="2580808D"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820" w:type="dxa"/>
            <w:gridSpan w:val="2"/>
          </w:tcPr>
          <w:p w14:paraId="4DD06F99"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928" w:type="dxa"/>
          </w:tcPr>
          <w:p w14:paraId="50561A45"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Pr>
          <w:p w14:paraId="123AB32B" w14:textId="64B9538E" w:rsidR="00DB72FE" w:rsidRPr="0068185D" w:rsidRDefault="00DB72FE" w:rsidP="00A65F99">
            <w:pPr>
              <w:pStyle w:val="TableFiguresBrackets"/>
              <w:rPr>
                <w:sz w:val="15"/>
              </w:rPr>
            </w:pPr>
            <w:r w:rsidRPr="0068185D">
              <w:rPr>
                <w:sz w:val="15"/>
              </w:rPr>
              <w:t>(2)</w:t>
            </w:r>
          </w:p>
        </w:tc>
        <w:tc>
          <w:tcPr>
            <w:tcW w:w="876" w:type="dxa"/>
          </w:tcPr>
          <w:p w14:paraId="70F833E3" w14:textId="77777777" w:rsidR="00DB72FE" w:rsidRPr="0068185D" w:rsidRDefault="00DB72FE" w:rsidP="00A65F99">
            <w:pPr>
              <w:pStyle w:val="TableFigures"/>
              <w:rPr>
                <w:sz w:val="15"/>
              </w:rPr>
            </w:pPr>
            <w:r w:rsidRPr="0068185D">
              <w:rPr>
                <w:sz w:val="15"/>
              </w:rPr>
              <w:t>–</w:t>
            </w:r>
          </w:p>
        </w:tc>
        <w:tc>
          <w:tcPr>
            <w:tcW w:w="997" w:type="dxa"/>
          </w:tcPr>
          <w:p w14:paraId="7CEB7F4D" w14:textId="77777777" w:rsidR="00DB72FE" w:rsidRPr="0068185D" w:rsidRDefault="00DB72FE" w:rsidP="00A65F99">
            <w:pPr>
              <w:pStyle w:val="TableFigures"/>
              <w:rPr>
                <w:sz w:val="15"/>
              </w:rPr>
            </w:pPr>
            <w:r w:rsidRPr="0068185D">
              <w:rPr>
                <w:sz w:val="15"/>
              </w:rPr>
              <w:t>–</w:t>
            </w:r>
          </w:p>
        </w:tc>
        <w:tc>
          <w:tcPr>
            <w:tcW w:w="817" w:type="dxa"/>
          </w:tcPr>
          <w:p w14:paraId="717FA647" w14:textId="77777777" w:rsidR="00DB72FE" w:rsidRPr="0068185D" w:rsidRDefault="00DB72FE" w:rsidP="00A65F99">
            <w:pPr>
              <w:pStyle w:val="TableFigures"/>
              <w:rPr>
                <w:sz w:val="15"/>
              </w:rPr>
            </w:pPr>
            <w:r w:rsidRPr="0068185D">
              <w:rPr>
                <w:sz w:val="15"/>
              </w:rPr>
              <w:t>–</w:t>
            </w:r>
          </w:p>
        </w:tc>
        <w:tc>
          <w:tcPr>
            <w:tcW w:w="710" w:type="dxa"/>
          </w:tcPr>
          <w:p w14:paraId="491AF4FE" w14:textId="77777777" w:rsidR="00DB72FE" w:rsidRPr="0068185D" w:rsidRDefault="00DB72FE" w:rsidP="00A65F99">
            <w:pPr>
              <w:pStyle w:val="TableFigures"/>
              <w:rPr>
                <w:sz w:val="15"/>
              </w:rPr>
            </w:pPr>
            <w:r w:rsidRPr="0068185D">
              <w:rPr>
                <w:sz w:val="15"/>
              </w:rPr>
              <w:t>–</w:t>
            </w:r>
          </w:p>
        </w:tc>
        <w:tc>
          <w:tcPr>
            <w:tcW w:w="1135" w:type="dxa"/>
          </w:tcPr>
          <w:p w14:paraId="2A359036" w14:textId="5E5476B2" w:rsidR="00DB72FE" w:rsidRPr="0068185D" w:rsidRDefault="00DB72FE" w:rsidP="00A65F99">
            <w:pPr>
              <w:pStyle w:val="TableFiguresBrackets"/>
              <w:rPr>
                <w:sz w:val="15"/>
              </w:rPr>
            </w:pPr>
            <w:r w:rsidRPr="0068185D">
              <w:rPr>
                <w:sz w:val="15"/>
              </w:rPr>
              <w:t>(2)</w:t>
            </w:r>
          </w:p>
        </w:tc>
        <w:tc>
          <w:tcPr>
            <w:tcW w:w="955" w:type="dxa"/>
          </w:tcPr>
          <w:p w14:paraId="63EA3C96" w14:textId="77777777" w:rsidR="00DB72FE" w:rsidRPr="0068185D" w:rsidRDefault="00DB72FE" w:rsidP="00A65F99">
            <w:pPr>
              <w:pStyle w:val="TableFigures"/>
              <w:rPr>
                <w:sz w:val="15"/>
              </w:rPr>
            </w:pPr>
            <w:r w:rsidRPr="0068185D">
              <w:rPr>
                <w:sz w:val="15"/>
              </w:rPr>
              <w:t>–</w:t>
            </w:r>
          </w:p>
        </w:tc>
        <w:tc>
          <w:tcPr>
            <w:tcW w:w="683" w:type="dxa"/>
          </w:tcPr>
          <w:p w14:paraId="2C231F95" w14:textId="4F215441" w:rsidR="00DB72FE" w:rsidRPr="0068185D" w:rsidRDefault="00DB72FE" w:rsidP="00A65F99">
            <w:pPr>
              <w:pStyle w:val="TableFiguresBrackets"/>
              <w:rPr>
                <w:sz w:val="15"/>
              </w:rPr>
            </w:pPr>
            <w:r w:rsidRPr="0068185D">
              <w:rPr>
                <w:sz w:val="15"/>
              </w:rPr>
              <w:t>(2)</w:t>
            </w:r>
          </w:p>
        </w:tc>
      </w:tr>
      <w:tr w:rsidR="00DB72FE" w:rsidRPr="00A07D72" w14:paraId="59BBA45B" w14:textId="77777777" w:rsidTr="00A65F99">
        <w:tc>
          <w:tcPr>
            <w:tcW w:w="1560" w:type="dxa"/>
          </w:tcPr>
          <w:p w14:paraId="65F28DB4" w14:textId="77777777" w:rsidR="00DB72FE" w:rsidRPr="00A07D72" w:rsidRDefault="00DB72FE" w:rsidP="00A65F99">
            <w:pPr>
              <w:pStyle w:val="Tabletext"/>
              <w:rPr>
                <w:sz w:val="15"/>
                <w:szCs w:val="15"/>
              </w:rPr>
            </w:pPr>
            <w:r w:rsidRPr="00A07D72">
              <w:rPr>
                <w:sz w:val="15"/>
                <w:szCs w:val="15"/>
              </w:rPr>
              <w:t>Equity-settled share-based transactions</w:t>
            </w:r>
          </w:p>
        </w:tc>
        <w:tc>
          <w:tcPr>
            <w:tcW w:w="709" w:type="dxa"/>
          </w:tcPr>
          <w:p w14:paraId="2533233C"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820" w:type="dxa"/>
            <w:gridSpan w:val="2"/>
          </w:tcPr>
          <w:p w14:paraId="35DB7D67"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928" w:type="dxa"/>
          </w:tcPr>
          <w:p w14:paraId="4066B2A2"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Pr>
          <w:p w14:paraId="3EDFBF01" w14:textId="3605B624" w:rsidR="00DB72FE" w:rsidRPr="0068185D" w:rsidRDefault="00DB72FE" w:rsidP="00A65F99">
            <w:pPr>
              <w:pStyle w:val="TableFigures"/>
              <w:rPr>
                <w:sz w:val="15"/>
              </w:rPr>
            </w:pPr>
            <w:r w:rsidRPr="0068185D">
              <w:rPr>
                <w:sz w:val="15"/>
              </w:rPr>
              <w:t>4</w:t>
            </w:r>
          </w:p>
        </w:tc>
        <w:tc>
          <w:tcPr>
            <w:tcW w:w="876" w:type="dxa"/>
          </w:tcPr>
          <w:p w14:paraId="28AF4E26" w14:textId="2C5D6C63" w:rsidR="00DB72FE" w:rsidRPr="0068185D" w:rsidRDefault="00DB72FE" w:rsidP="00A65F99">
            <w:pPr>
              <w:pStyle w:val="TableFiguresBrackets"/>
              <w:rPr>
                <w:sz w:val="15"/>
              </w:rPr>
            </w:pPr>
            <w:r w:rsidRPr="0068185D">
              <w:rPr>
                <w:sz w:val="15"/>
              </w:rPr>
              <w:t>(7)</w:t>
            </w:r>
          </w:p>
        </w:tc>
        <w:tc>
          <w:tcPr>
            <w:tcW w:w="997" w:type="dxa"/>
          </w:tcPr>
          <w:p w14:paraId="6855D7E7" w14:textId="77777777" w:rsidR="00DB72FE" w:rsidRPr="0068185D" w:rsidRDefault="00DB72FE" w:rsidP="00A65F99">
            <w:pPr>
              <w:pStyle w:val="TableFigures"/>
              <w:rPr>
                <w:sz w:val="15"/>
              </w:rPr>
            </w:pPr>
            <w:r w:rsidRPr="0068185D">
              <w:rPr>
                <w:sz w:val="15"/>
              </w:rPr>
              <w:t>–</w:t>
            </w:r>
          </w:p>
        </w:tc>
        <w:tc>
          <w:tcPr>
            <w:tcW w:w="817" w:type="dxa"/>
          </w:tcPr>
          <w:p w14:paraId="4048996D" w14:textId="77777777" w:rsidR="00DB72FE" w:rsidRPr="0068185D" w:rsidRDefault="00DB72FE" w:rsidP="00A65F99">
            <w:pPr>
              <w:pStyle w:val="TableFigures"/>
              <w:rPr>
                <w:sz w:val="15"/>
              </w:rPr>
            </w:pPr>
            <w:r w:rsidRPr="0068185D">
              <w:rPr>
                <w:sz w:val="15"/>
              </w:rPr>
              <w:t>–</w:t>
            </w:r>
          </w:p>
        </w:tc>
        <w:tc>
          <w:tcPr>
            <w:tcW w:w="710" w:type="dxa"/>
          </w:tcPr>
          <w:p w14:paraId="3C32C2A4" w14:textId="709AE2E7" w:rsidR="00DB72FE" w:rsidRPr="0068185D" w:rsidRDefault="00DB72FE" w:rsidP="00A65F99">
            <w:pPr>
              <w:pStyle w:val="TableFigures"/>
              <w:rPr>
                <w:sz w:val="15"/>
              </w:rPr>
            </w:pPr>
            <w:r w:rsidRPr="0068185D">
              <w:rPr>
                <w:sz w:val="15"/>
              </w:rPr>
              <w:t>9</w:t>
            </w:r>
          </w:p>
        </w:tc>
        <w:tc>
          <w:tcPr>
            <w:tcW w:w="1135" w:type="dxa"/>
          </w:tcPr>
          <w:p w14:paraId="0261D178" w14:textId="6DDCC848" w:rsidR="00DB72FE" w:rsidRPr="0068185D" w:rsidRDefault="00DB72FE" w:rsidP="00A65F99">
            <w:pPr>
              <w:pStyle w:val="TableFigures"/>
              <w:rPr>
                <w:sz w:val="15"/>
              </w:rPr>
            </w:pPr>
            <w:r w:rsidRPr="0068185D">
              <w:rPr>
                <w:sz w:val="15"/>
              </w:rPr>
              <w:t>6</w:t>
            </w:r>
          </w:p>
        </w:tc>
        <w:tc>
          <w:tcPr>
            <w:tcW w:w="955" w:type="dxa"/>
          </w:tcPr>
          <w:p w14:paraId="7DAD8B6F" w14:textId="77777777" w:rsidR="00DB72FE" w:rsidRPr="0068185D" w:rsidRDefault="00DB72FE" w:rsidP="00A65F99">
            <w:pPr>
              <w:pStyle w:val="TableFigures"/>
              <w:rPr>
                <w:sz w:val="15"/>
              </w:rPr>
            </w:pPr>
            <w:r w:rsidRPr="0068185D">
              <w:rPr>
                <w:sz w:val="15"/>
              </w:rPr>
              <w:t>–</w:t>
            </w:r>
          </w:p>
        </w:tc>
        <w:tc>
          <w:tcPr>
            <w:tcW w:w="683" w:type="dxa"/>
          </w:tcPr>
          <w:p w14:paraId="05CB0CED" w14:textId="7257CC2D" w:rsidR="00DB72FE" w:rsidRPr="0068185D" w:rsidRDefault="00DB72FE" w:rsidP="00A65F99">
            <w:pPr>
              <w:pStyle w:val="TableFigures"/>
              <w:rPr>
                <w:sz w:val="15"/>
              </w:rPr>
            </w:pPr>
            <w:r w:rsidRPr="0068185D">
              <w:rPr>
                <w:sz w:val="15"/>
              </w:rPr>
              <w:t>6</w:t>
            </w:r>
          </w:p>
        </w:tc>
      </w:tr>
      <w:tr w:rsidR="00DB72FE" w:rsidRPr="00A07D72" w14:paraId="1BEE412E" w14:textId="77777777" w:rsidTr="00A65F99">
        <w:tc>
          <w:tcPr>
            <w:tcW w:w="1560" w:type="dxa"/>
          </w:tcPr>
          <w:p w14:paraId="0E9D231C" w14:textId="77777777" w:rsidR="00DB72FE" w:rsidRPr="00A07D72" w:rsidRDefault="00DB72FE" w:rsidP="00A65F99">
            <w:pPr>
              <w:pStyle w:val="Tabletext"/>
              <w:rPr>
                <w:sz w:val="15"/>
                <w:szCs w:val="15"/>
              </w:rPr>
            </w:pPr>
            <w:r w:rsidRPr="00A07D72">
              <w:rPr>
                <w:sz w:val="15"/>
                <w:szCs w:val="15"/>
              </w:rPr>
              <w:t>Dividends</w:t>
            </w:r>
          </w:p>
        </w:tc>
        <w:tc>
          <w:tcPr>
            <w:tcW w:w="709" w:type="dxa"/>
          </w:tcPr>
          <w:p w14:paraId="3D5899CD" w14:textId="72CE1BB5" w:rsidR="00DB72FE" w:rsidRPr="0068185D" w:rsidRDefault="00DB72FE" w:rsidP="00A65F99">
            <w:pPr>
              <w:pStyle w:val="TableFiguresBold0"/>
              <w:rPr>
                <w:b w:val="0"/>
                <w:bCs w:val="0"/>
                <w:sz w:val="15"/>
                <w:szCs w:val="15"/>
              </w:rPr>
            </w:pPr>
            <w:r w:rsidRPr="0068185D">
              <w:rPr>
                <w:b w:val="0"/>
                <w:bCs w:val="0"/>
                <w:sz w:val="15"/>
                <w:szCs w:val="15"/>
              </w:rPr>
              <w:t>1</w:t>
            </w:r>
          </w:p>
        </w:tc>
        <w:tc>
          <w:tcPr>
            <w:tcW w:w="820" w:type="dxa"/>
            <w:gridSpan w:val="2"/>
          </w:tcPr>
          <w:p w14:paraId="0B1122E5" w14:textId="4F37A951" w:rsidR="00DB72FE" w:rsidRPr="0068185D" w:rsidRDefault="00DB72FE" w:rsidP="00A65F99">
            <w:pPr>
              <w:pStyle w:val="TableFiguresBold0"/>
              <w:rPr>
                <w:b w:val="0"/>
                <w:bCs w:val="0"/>
                <w:sz w:val="15"/>
                <w:szCs w:val="15"/>
              </w:rPr>
            </w:pPr>
            <w:r w:rsidRPr="0068185D">
              <w:rPr>
                <w:b w:val="0"/>
                <w:bCs w:val="0"/>
                <w:sz w:val="15"/>
                <w:szCs w:val="15"/>
              </w:rPr>
              <w:t>60</w:t>
            </w:r>
          </w:p>
        </w:tc>
        <w:tc>
          <w:tcPr>
            <w:tcW w:w="928" w:type="dxa"/>
          </w:tcPr>
          <w:p w14:paraId="2B74615E"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Pr>
          <w:p w14:paraId="2AC81324" w14:textId="77777777" w:rsidR="00DB72FE" w:rsidRPr="0068185D" w:rsidRDefault="00DB72FE" w:rsidP="00A65F99">
            <w:pPr>
              <w:pStyle w:val="TableFigures"/>
              <w:rPr>
                <w:sz w:val="15"/>
              </w:rPr>
            </w:pPr>
            <w:r w:rsidRPr="0068185D">
              <w:rPr>
                <w:sz w:val="15"/>
              </w:rPr>
              <w:t>–</w:t>
            </w:r>
          </w:p>
        </w:tc>
        <w:tc>
          <w:tcPr>
            <w:tcW w:w="876" w:type="dxa"/>
          </w:tcPr>
          <w:p w14:paraId="58930433" w14:textId="77777777" w:rsidR="00DB72FE" w:rsidRPr="0068185D" w:rsidRDefault="00DB72FE" w:rsidP="00A65F99">
            <w:pPr>
              <w:pStyle w:val="TableFigures"/>
              <w:rPr>
                <w:sz w:val="15"/>
              </w:rPr>
            </w:pPr>
            <w:r w:rsidRPr="0068185D">
              <w:rPr>
                <w:sz w:val="15"/>
              </w:rPr>
              <w:t>–</w:t>
            </w:r>
          </w:p>
        </w:tc>
        <w:tc>
          <w:tcPr>
            <w:tcW w:w="997" w:type="dxa"/>
          </w:tcPr>
          <w:p w14:paraId="1B14F43E" w14:textId="77777777" w:rsidR="00DB72FE" w:rsidRPr="0068185D" w:rsidRDefault="00DB72FE" w:rsidP="00A65F99">
            <w:pPr>
              <w:pStyle w:val="TableFigures"/>
              <w:rPr>
                <w:sz w:val="15"/>
              </w:rPr>
            </w:pPr>
            <w:r w:rsidRPr="0068185D">
              <w:rPr>
                <w:sz w:val="15"/>
              </w:rPr>
              <w:t>–</w:t>
            </w:r>
          </w:p>
        </w:tc>
        <w:tc>
          <w:tcPr>
            <w:tcW w:w="817" w:type="dxa"/>
          </w:tcPr>
          <w:p w14:paraId="0DEAAE97" w14:textId="77777777" w:rsidR="00DB72FE" w:rsidRPr="0068185D" w:rsidRDefault="00DB72FE" w:rsidP="00A65F99">
            <w:pPr>
              <w:pStyle w:val="TableFigures"/>
              <w:rPr>
                <w:sz w:val="15"/>
              </w:rPr>
            </w:pPr>
            <w:r w:rsidRPr="0068185D">
              <w:rPr>
                <w:sz w:val="15"/>
              </w:rPr>
              <w:t>–</w:t>
            </w:r>
          </w:p>
        </w:tc>
        <w:tc>
          <w:tcPr>
            <w:tcW w:w="710" w:type="dxa"/>
          </w:tcPr>
          <w:p w14:paraId="7F3895F1" w14:textId="0AFAD353" w:rsidR="00DB72FE" w:rsidRPr="0068185D" w:rsidRDefault="00DB72FE" w:rsidP="00A65F99">
            <w:pPr>
              <w:pStyle w:val="TableFiguresBrackets"/>
              <w:rPr>
                <w:sz w:val="15"/>
              </w:rPr>
            </w:pPr>
            <w:r w:rsidRPr="0068185D">
              <w:rPr>
                <w:sz w:val="15"/>
              </w:rPr>
              <w:t>(240)</w:t>
            </w:r>
          </w:p>
        </w:tc>
        <w:tc>
          <w:tcPr>
            <w:tcW w:w="1135" w:type="dxa"/>
          </w:tcPr>
          <w:p w14:paraId="38DD3C82" w14:textId="6AE1351F" w:rsidR="00DB72FE" w:rsidRPr="0068185D" w:rsidRDefault="00DB72FE" w:rsidP="00A65F99">
            <w:pPr>
              <w:pStyle w:val="TableFiguresBrackets"/>
              <w:rPr>
                <w:sz w:val="15"/>
              </w:rPr>
            </w:pPr>
            <w:r w:rsidRPr="0068185D">
              <w:rPr>
                <w:sz w:val="15"/>
              </w:rPr>
              <w:t>(179)</w:t>
            </w:r>
          </w:p>
        </w:tc>
        <w:tc>
          <w:tcPr>
            <w:tcW w:w="955" w:type="dxa"/>
          </w:tcPr>
          <w:p w14:paraId="1A6707BE" w14:textId="77777777" w:rsidR="00DB72FE" w:rsidRPr="0068185D" w:rsidRDefault="00DB72FE" w:rsidP="00A65F99">
            <w:pPr>
              <w:pStyle w:val="TableFigures"/>
              <w:rPr>
                <w:sz w:val="15"/>
              </w:rPr>
            </w:pPr>
            <w:r w:rsidRPr="0068185D">
              <w:rPr>
                <w:sz w:val="15"/>
              </w:rPr>
              <w:t>–</w:t>
            </w:r>
          </w:p>
        </w:tc>
        <w:tc>
          <w:tcPr>
            <w:tcW w:w="683" w:type="dxa"/>
          </w:tcPr>
          <w:p w14:paraId="7DA0C68E" w14:textId="446A297C" w:rsidR="00DB72FE" w:rsidRPr="0068185D" w:rsidRDefault="00DB72FE" w:rsidP="00A65F99">
            <w:pPr>
              <w:pStyle w:val="TableFiguresBrackets"/>
              <w:rPr>
                <w:sz w:val="15"/>
              </w:rPr>
            </w:pPr>
            <w:r w:rsidRPr="0068185D">
              <w:rPr>
                <w:sz w:val="15"/>
              </w:rPr>
              <w:t>(179)</w:t>
            </w:r>
          </w:p>
        </w:tc>
      </w:tr>
      <w:tr w:rsidR="00DB72FE" w:rsidRPr="00A07D72" w14:paraId="4022A523" w14:textId="77777777" w:rsidTr="00A65F99">
        <w:tc>
          <w:tcPr>
            <w:tcW w:w="1560" w:type="dxa"/>
            <w:tcBorders>
              <w:bottom w:val="single" w:sz="4" w:space="0" w:color="A6A6A6" w:themeColor="background1" w:themeShade="A6"/>
            </w:tcBorders>
          </w:tcPr>
          <w:p w14:paraId="1E474479" w14:textId="77777777" w:rsidR="00DB72FE" w:rsidRPr="00A07D72" w:rsidRDefault="00DB72FE" w:rsidP="00A65F99">
            <w:pPr>
              <w:pStyle w:val="Tabletext"/>
              <w:rPr>
                <w:sz w:val="15"/>
                <w:szCs w:val="15"/>
              </w:rPr>
            </w:pPr>
            <w:r w:rsidRPr="00A07D72">
              <w:rPr>
                <w:sz w:val="15"/>
                <w:szCs w:val="15"/>
              </w:rPr>
              <w:t>Movement in non-controlling interest</w:t>
            </w:r>
            <w:r w:rsidRPr="002A206B">
              <w:rPr>
                <w:sz w:val="15"/>
                <w:szCs w:val="15"/>
                <w:vertAlign w:val="superscript"/>
              </w:rPr>
              <w:t>1</w:t>
            </w:r>
          </w:p>
        </w:tc>
        <w:tc>
          <w:tcPr>
            <w:tcW w:w="709" w:type="dxa"/>
            <w:tcBorders>
              <w:bottom w:val="single" w:sz="4" w:space="0" w:color="A6A6A6" w:themeColor="background1" w:themeShade="A6"/>
            </w:tcBorders>
          </w:tcPr>
          <w:p w14:paraId="2F1AA9BA"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820" w:type="dxa"/>
            <w:gridSpan w:val="2"/>
            <w:tcBorders>
              <w:bottom w:val="single" w:sz="4" w:space="0" w:color="A6A6A6" w:themeColor="background1" w:themeShade="A6"/>
            </w:tcBorders>
          </w:tcPr>
          <w:p w14:paraId="2CEE2142"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928" w:type="dxa"/>
            <w:tcBorders>
              <w:bottom w:val="single" w:sz="4" w:space="0" w:color="A6A6A6" w:themeColor="background1" w:themeShade="A6"/>
            </w:tcBorders>
          </w:tcPr>
          <w:p w14:paraId="467EAEE7"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Borders>
              <w:bottom w:val="single" w:sz="4" w:space="0" w:color="A6A6A6" w:themeColor="background1" w:themeShade="A6"/>
            </w:tcBorders>
          </w:tcPr>
          <w:p w14:paraId="0508AA2A" w14:textId="77777777" w:rsidR="00DB72FE" w:rsidRPr="0068185D" w:rsidRDefault="00DB72FE" w:rsidP="00A65F99">
            <w:pPr>
              <w:pStyle w:val="TableFigures"/>
              <w:rPr>
                <w:sz w:val="15"/>
              </w:rPr>
            </w:pPr>
            <w:r w:rsidRPr="0068185D">
              <w:rPr>
                <w:sz w:val="15"/>
              </w:rPr>
              <w:t>–</w:t>
            </w:r>
          </w:p>
        </w:tc>
        <w:tc>
          <w:tcPr>
            <w:tcW w:w="876" w:type="dxa"/>
            <w:tcBorders>
              <w:bottom w:val="single" w:sz="4" w:space="0" w:color="A6A6A6" w:themeColor="background1" w:themeShade="A6"/>
            </w:tcBorders>
          </w:tcPr>
          <w:p w14:paraId="3874C35B" w14:textId="77777777" w:rsidR="00DB72FE" w:rsidRPr="0068185D" w:rsidRDefault="00DB72FE" w:rsidP="00A65F99">
            <w:pPr>
              <w:pStyle w:val="TableFigures"/>
              <w:rPr>
                <w:sz w:val="15"/>
              </w:rPr>
            </w:pPr>
            <w:r w:rsidRPr="0068185D">
              <w:rPr>
                <w:sz w:val="15"/>
              </w:rPr>
              <w:t>–</w:t>
            </w:r>
          </w:p>
        </w:tc>
        <w:tc>
          <w:tcPr>
            <w:tcW w:w="997" w:type="dxa"/>
            <w:tcBorders>
              <w:bottom w:val="single" w:sz="4" w:space="0" w:color="A6A6A6" w:themeColor="background1" w:themeShade="A6"/>
            </w:tcBorders>
          </w:tcPr>
          <w:p w14:paraId="72775971" w14:textId="77777777" w:rsidR="00DB72FE" w:rsidRPr="0068185D" w:rsidRDefault="00DB72FE" w:rsidP="00A65F99">
            <w:pPr>
              <w:pStyle w:val="TableFigures"/>
              <w:rPr>
                <w:sz w:val="15"/>
              </w:rPr>
            </w:pPr>
            <w:r w:rsidRPr="0068185D">
              <w:rPr>
                <w:sz w:val="15"/>
              </w:rPr>
              <w:t>–</w:t>
            </w:r>
          </w:p>
        </w:tc>
        <w:tc>
          <w:tcPr>
            <w:tcW w:w="817" w:type="dxa"/>
            <w:tcBorders>
              <w:bottom w:val="single" w:sz="4" w:space="0" w:color="A6A6A6" w:themeColor="background1" w:themeShade="A6"/>
            </w:tcBorders>
          </w:tcPr>
          <w:p w14:paraId="67AF26A8" w14:textId="77777777" w:rsidR="00DB72FE" w:rsidRPr="0068185D" w:rsidRDefault="00DB72FE" w:rsidP="00A65F99">
            <w:pPr>
              <w:pStyle w:val="TableFigures"/>
              <w:rPr>
                <w:sz w:val="15"/>
              </w:rPr>
            </w:pPr>
            <w:r w:rsidRPr="0068185D">
              <w:rPr>
                <w:sz w:val="15"/>
              </w:rPr>
              <w:t>–</w:t>
            </w:r>
          </w:p>
        </w:tc>
        <w:tc>
          <w:tcPr>
            <w:tcW w:w="710" w:type="dxa"/>
            <w:tcBorders>
              <w:bottom w:val="single" w:sz="4" w:space="0" w:color="A6A6A6" w:themeColor="background1" w:themeShade="A6"/>
            </w:tcBorders>
          </w:tcPr>
          <w:p w14:paraId="456AD65E" w14:textId="38987087" w:rsidR="00DB72FE" w:rsidRPr="0068185D" w:rsidRDefault="00DB72FE" w:rsidP="00A65F99">
            <w:pPr>
              <w:pStyle w:val="TableFiguresBrackets"/>
              <w:rPr>
                <w:sz w:val="15"/>
              </w:rPr>
            </w:pPr>
            <w:r w:rsidRPr="0068185D">
              <w:rPr>
                <w:sz w:val="15"/>
              </w:rPr>
              <w:t>(2)</w:t>
            </w:r>
          </w:p>
        </w:tc>
        <w:tc>
          <w:tcPr>
            <w:tcW w:w="1135" w:type="dxa"/>
            <w:tcBorders>
              <w:bottom w:val="single" w:sz="4" w:space="0" w:color="A6A6A6" w:themeColor="background1" w:themeShade="A6"/>
            </w:tcBorders>
          </w:tcPr>
          <w:p w14:paraId="2EAEBE19" w14:textId="61CC2190" w:rsidR="00DB72FE" w:rsidRPr="0068185D" w:rsidRDefault="00DB72FE" w:rsidP="00A65F99">
            <w:pPr>
              <w:pStyle w:val="TableFiguresBrackets"/>
              <w:rPr>
                <w:sz w:val="15"/>
              </w:rPr>
            </w:pPr>
            <w:r w:rsidRPr="0068185D">
              <w:rPr>
                <w:sz w:val="15"/>
              </w:rPr>
              <w:t>(2)</w:t>
            </w:r>
          </w:p>
        </w:tc>
        <w:tc>
          <w:tcPr>
            <w:tcW w:w="955" w:type="dxa"/>
            <w:tcBorders>
              <w:bottom w:val="single" w:sz="4" w:space="0" w:color="A6A6A6" w:themeColor="background1" w:themeShade="A6"/>
            </w:tcBorders>
          </w:tcPr>
          <w:p w14:paraId="00BF98C8" w14:textId="2F7769BF" w:rsidR="00DB72FE" w:rsidRPr="0068185D" w:rsidRDefault="00DB72FE" w:rsidP="00A65F99">
            <w:pPr>
              <w:pStyle w:val="TableFiguresBold0"/>
              <w:rPr>
                <w:b w:val="0"/>
                <w:bCs w:val="0"/>
                <w:sz w:val="15"/>
              </w:rPr>
            </w:pPr>
            <w:r w:rsidRPr="0068185D">
              <w:rPr>
                <w:b w:val="0"/>
                <w:bCs w:val="0"/>
                <w:sz w:val="15"/>
              </w:rPr>
              <w:t>10</w:t>
            </w:r>
          </w:p>
        </w:tc>
        <w:tc>
          <w:tcPr>
            <w:tcW w:w="683" w:type="dxa"/>
            <w:tcBorders>
              <w:bottom w:val="single" w:sz="4" w:space="0" w:color="A6A6A6" w:themeColor="background1" w:themeShade="A6"/>
            </w:tcBorders>
          </w:tcPr>
          <w:p w14:paraId="5154E003" w14:textId="63E779D0" w:rsidR="00DB72FE" w:rsidRPr="0068185D" w:rsidRDefault="00DB72FE" w:rsidP="00A65F99">
            <w:pPr>
              <w:pStyle w:val="TableFiguresBold0"/>
              <w:rPr>
                <w:b w:val="0"/>
                <w:bCs w:val="0"/>
                <w:sz w:val="15"/>
              </w:rPr>
            </w:pPr>
            <w:r w:rsidRPr="0068185D">
              <w:rPr>
                <w:b w:val="0"/>
                <w:bCs w:val="0"/>
                <w:sz w:val="15"/>
              </w:rPr>
              <w:t>8</w:t>
            </w:r>
          </w:p>
        </w:tc>
      </w:tr>
      <w:tr w:rsidR="00DB72FE" w:rsidRPr="00A07D72" w14:paraId="1D3A1212" w14:textId="77777777" w:rsidTr="00A65F99">
        <w:tc>
          <w:tcPr>
            <w:tcW w:w="1560" w:type="dxa"/>
            <w:tcBorders>
              <w:top w:val="single" w:sz="4" w:space="0" w:color="A6A6A6" w:themeColor="background1" w:themeShade="A6"/>
              <w:bottom w:val="single" w:sz="4" w:space="0" w:color="A6A6A6" w:themeColor="background1" w:themeShade="A6"/>
            </w:tcBorders>
          </w:tcPr>
          <w:p w14:paraId="0C26110D" w14:textId="77777777" w:rsidR="00DB72FE" w:rsidRPr="00A07D72" w:rsidRDefault="00DB72FE" w:rsidP="00A65F99">
            <w:pPr>
              <w:pStyle w:val="Tabletext"/>
              <w:rPr>
                <w:b/>
                <w:sz w:val="15"/>
                <w:szCs w:val="15"/>
              </w:rPr>
            </w:pPr>
            <w:r w:rsidRPr="00A07D72">
              <w:rPr>
                <w:b/>
                <w:sz w:val="15"/>
                <w:szCs w:val="15"/>
              </w:rPr>
              <w:t>Total transaction with owners of the Company</w:t>
            </w:r>
          </w:p>
        </w:tc>
        <w:tc>
          <w:tcPr>
            <w:tcW w:w="709" w:type="dxa"/>
            <w:tcBorders>
              <w:top w:val="single" w:sz="4" w:space="0" w:color="A6A6A6" w:themeColor="background1" w:themeShade="A6"/>
              <w:bottom w:val="single" w:sz="4" w:space="0" w:color="A6A6A6" w:themeColor="background1" w:themeShade="A6"/>
            </w:tcBorders>
          </w:tcPr>
          <w:p w14:paraId="2B68D154" w14:textId="46EFC558" w:rsidR="00DB72FE" w:rsidRPr="0068185D" w:rsidRDefault="00DB72FE" w:rsidP="00A65F99">
            <w:pPr>
              <w:pStyle w:val="TableFiguresBold0"/>
              <w:rPr>
                <w:b w:val="0"/>
                <w:bCs w:val="0"/>
                <w:sz w:val="15"/>
                <w:szCs w:val="15"/>
              </w:rPr>
            </w:pPr>
            <w:r w:rsidRPr="0068185D">
              <w:rPr>
                <w:b w:val="0"/>
                <w:bCs w:val="0"/>
                <w:sz w:val="15"/>
                <w:szCs w:val="15"/>
              </w:rPr>
              <w:t>10</w:t>
            </w:r>
          </w:p>
        </w:tc>
        <w:tc>
          <w:tcPr>
            <w:tcW w:w="820" w:type="dxa"/>
            <w:gridSpan w:val="2"/>
            <w:tcBorders>
              <w:top w:val="single" w:sz="4" w:space="0" w:color="A6A6A6" w:themeColor="background1" w:themeShade="A6"/>
              <w:bottom w:val="single" w:sz="4" w:space="0" w:color="A6A6A6" w:themeColor="background1" w:themeShade="A6"/>
            </w:tcBorders>
          </w:tcPr>
          <w:p w14:paraId="6F33406E" w14:textId="73559975" w:rsidR="00DB72FE" w:rsidRPr="0068185D" w:rsidRDefault="00DB72FE" w:rsidP="00A65F99">
            <w:pPr>
              <w:pStyle w:val="TableFiguresBold0"/>
              <w:rPr>
                <w:b w:val="0"/>
                <w:bCs w:val="0"/>
                <w:sz w:val="15"/>
                <w:szCs w:val="15"/>
              </w:rPr>
            </w:pPr>
            <w:r w:rsidRPr="0068185D">
              <w:rPr>
                <w:b w:val="0"/>
                <w:bCs w:val="0"/>
                <w:sz w:val="15"/>
                <w:szCs w:val="15"/>
              </w:rPr>
              <w:t>723</w:t>
            </w:r>
          </w:p>
        </w:tc>
        <w:tc>
          <w:tcPr>
            <w:tcW w:w="928" w:type="dxa"/>
            <w:tcBorders>
              <w:top w:val="single" w:sz="4" w:space="0" w:color="A6A6A6" w:themeColor="background1" w:themeShade="A6"/>
              <w:bottom w:val="single" w:sz="4" w:space="0" w:color="A6A6A6" w:themeColor="background1" w:themeShade="A6"/>
            </w:tcBorders>
          </w:tcPr>
          <w:p w14:paraId="1C3BAFA7" w14:textId="77777777" w:rsidR="00DB72FE" w:rsidRPr="0068185D" w:rsidRDefault="00DB72FE" w:rsidP="00A65F99">
            <w:pPr>
              <w:pStyle w:val="TableFiguresBold0"/>
              <w:rPr>
                <w:b w:val="0"/>
                <w:bCs w:val="0"/>
                <w:sz w:val="15"/>
                <w:szCs w:val="15"/>
              </w:rPr>
            </w:pPr>
            <w:r w:rsidRPr="0068185D">
              <w:rPr>
                <w:b w:val="0"/>
                <w:bCs w:val="0"/>
                <w:sz w:val="15"/>
                <w:szCs w:val="15"/>
              </w:rPr>
              <w:t>–</w:t>
            </w:r>
          </w:p>
        </w:tc>
        <w:tc>
          <w:tcPr>
            <w:tcW w:w="700" w:type="dxa"/>
            <w:tcBorders>
              <w:top w:val="single" w:sz="4" w:space="0" w:color="A6A6A6" w:themeColor="background1" w:themeShade="A6"/>
              <w:bottom w:val="single" w:sz="4" w:space="0" w:color="A6A6A6" w:themeColor="background1" w:themeShade="A6"/>
            </w:tcBorders>
          </w:tcPr>
          <w:p w14:paraId="38CE5E87" w14:textId="6288924B" w:rsidR="00DB72FE" w:rsidRPr="0068185D" w:rsidRDefault="00DB72FE" w:rsidP="00A65F99">
            <w:pPr>
              <w:pStyle w:val="TableFiguresBold0"/>
              <w:rPr>
                <w:b w:val="0"/>
                <w:bCs w:val="0"/>
                <w:sz w:val="15"/>
              </w:rPr>
            </w:pPr>
            <w:r w:rsidRPr="0068185D">
              <w:rPr>
                <w:b w:val="0"/>
                <w:bCs w:val="0"/>
                <w:sz w:val="15"/>
              </w:rPr>
              <w:t>2</w:t>
            </w:r>
          </w:p>
        </w:tc>
        <w:tc>
          <w:tcPr>
            <w:tcW w:w="876" w:type="dxa"/>
            <w:tcBorders>
              <w:top w:val="single" w:sz="4" w:space="0" w:color="A6A6A6" w:themeColor="background1" w:themeShade="A6"/>
              <w:bottom w:val="single" w:sz="4" w:space="0" w:color="A6A6A6" w:themeColor="background1" w:themeShade="A6"/>
            </w:tcBorders>
          </w:tcPr>
          <w:p w14:paraId="600D381C" w14:textId="51DEEE8E" w:rsidR="00DB72FE" w:rsidRPr="0068185D" w:rsidRDefault="00DB72FE" w:rsidP="00A65F99">
            <w:pPr>
              <w:pStyle w:val="TableFiguresBrackets"/>
              <w:rPr>
                <w:sz w:val="15"/>
              </w:rPr>
            </w:pPr>
            <w:r w:rsidRPr="0068185D">
              <w:rPr>
                <w:sz w:val="15"/>
              </w:rPr>
              <w:t>(7)</w:t>
            </w:r>
          </w:p>
        </w:tc>
        <w:tc>
          <w:tcPr>
            <w:tcW w:w="997" w:type="dxa"/>
            <w:tcBorders>
              <w:top w:val="single" w:sz="4" w:space="0" w:color="A6A6A6" w:themeColor="background1" w:themeShade="A6"/>
              <w:bottom w:val="single" w:sz="4" w:space="0" w:color="A6A6A6" w:themeColor="background1" w:themeShade="A6"/>
            </w:tcBorders>
          </w:tcPr>
          <w:p w14:paraId="762E668E" w14:textId="77777777" w:rsidR="00DB72FE" w:rsidRPr="0068185D" w:rsidRDefault="00DB72FE" w:rsidP="00A65F99">
            <w:pPr>
              <w:pStyle w:val="TableFigures"/>
              <w:rPr>
                <w:sz w:val="15"/>
                <w:szCs w:val="15"/>
              </w:rPr>
            </w:pPr>
            <w:r w:rsidRPr="0068185D">
              <w:rPr>
                <w:sz w:val="15"/>
                <w:szCs w:val="15"/>
              </w:rPr>
              <w:t>–</w:t>
            </w:r>
          </w:p>
        </w:tc>
        <w:tc>
          <w:tcPr>
            <w:tcW w:w="817" w:type="dxa"/>
            <w:tcBorders>
              <w:top w:val="single" w:sz="4" w:space="0" w:color="A6A6A6" w:themeColor="background1" w:themeShade="A6"/>
              <w:bottom w:val="single" w:sz="4" w:space="0" w:color="A6A6A6" w:themeColor="background1" w:themeShade="A6"/>
            </w:tcBorders>
          </w:tcPr>
          <w:p w14:paraId="6D21545D" w14:textId="77777777" w:rsidR="00DB72FE" w:rsidRPr="0068185D" w:rsidRDefault="00DB72FE" w:rsidP="00A65F99">
            <w:pPr>
              <w:pStyle w:val="TableFigures"/>
              <w:rPr>
                <w:sz w:val="15"/>
                <w:szCs w:val="15"/>
              </w:rPr>
            </w:pPr>
            <w:r w:rsidRPr="0068185D">
              <w:rPr>
                <w:sz w:val="15"/>
                <w:szCs w:val="15"/>
              </w:rPr>
              <w:t>–</w:t>
            </w:r>
          </w:p>
        </w:tc>
        <w:tc>
          <w:tcPr>
            <w:tcW w:w="710" w:type="dxa"/>
            <w:tcBorders>
              <w:top w:val="single" w:sz="4" w:space="0" w:color="A6A6A6" w:themeColor="background1" w:themeShade="A6"/>
              <w:bottom w:val="single" w:sz="4" w:space="0" w:color="A6A6A6" w:themeColor="background1" w:themeShade="A6"/>
            </w:tcBorders>
          </w:tcPr>
          <w:p w14:paraId="32AE5A83" w14:textId="3FE90416" w:rsidR="00DB72FE" w:rsidRPr="0068185D" w:rsidRDefault="00DB72FE" w:rsidP="00A65F99">
            <w:pPr>
              <w:pStyle w:val="TableFiguresBrackets"/>
              <w:rPr>
                <w:sz w:val="15"/>
              </w:rPr>
            </w:pPr>
            <w:r w:rsidRPr="0068185D">
              <w:rPr>
                <w:sz w:val="15"/>
              </w:rPr>
              <w:t>(233)</w:t>
            </w:r>
          </w:p>
        </w:tc>
        <w:tc>
          <w:tcPr>
            <w:tcW w:w="1135" w:type="dxa"/>
            <w:tcBorders>
              <w:top w:val="single" w:sz="4" w:space="0" w:color="A6A6A6" w:themeColor="background1" w:themeShade="A6"/>
              <w:bottom w:val="single" w:sz="4" w:space="0" w:color="A6A6A6" w:themeColor="background1" w:themeShade="A6"/>
            </w:tcBorders>
          </w:tcPr>
          <w:p w14:paraId="65D32EA0" w14:textId="53894117" w:rsidR="00DB72FE" w:rsidRPr="0068185D" w:rsidRDefault="00DB72FE" w:rsidP="00A65F99">
            <w:pPr>
              <w:pStyle w:val="TableFigures"/>
              <w:rPr>
                <w:sz w:val="15"/>
                <w:szCs w:val="15"/>
              </w:rPr>
            </w:pPr>
            <w:r w:rsidRPr="0068185D">
              <w:rPr>
                <w:sz w:val="15"/>
                <w:szCs w:val="15"/>
              </w:rPr>
              <w:t>495</w:t>
            </w:r>
          </w:p>
        </w:tc>
        <w:tc>
          <w:tcPr>
            <w:tcW w:w="955" w:type="dxa"/>
            <w:tcBorders>
              <w:top w:val="single" w:sz="4" w:space="0" w:color="A6A6A6" w:themeColor="background1" w:themeShade="A6"/>
              <w:bottom w:val="single" w:sz="4" w:space="0" w:color="A6A6A6" w:themeColor="background1" w:themeShade="A6"/>
            </w:tcBorders>
          </w:tcPr>
          <w:p w14:paraId="71B0A490" w14:textId="56494F10" w:rsidR="00DB72FE" w:rsidRPr="0068185D" w:rsidRDefault="00DB72FE" w:rsidP="00A65F99">
            <w:pPr>
              <w:pStyle w:val="TableFiguresBold0"/>
              <w:rPr>
                <w:b w:val="0"/>
                <w:bCs w:val="0"/>
                <w:sz w:val="15"/>
              </w:rPr>
            </w:pPr>
            <w:r w:rsidRPr="0068185D">
              <w:rPr>
                <w:b w:val="0"/>
                <w:bCs w:val="0"/>
                <w:sz w:val="15"/>
              </w:rPr>
              <w:t>10</w:t>
            </w:r>
          </w:p>
        </w:tc>
        <w:tc>
          <w:tcPr>
            <w:tcW w:w="683" w:type="dxa"/>
            <w:tcBorders>
              <w:top w:val="single" w:sz="4" w:space="0" w:color="A6A6A6" w:themeColor="background1" w:themeShade="A6"/>
              <w:bottom w:val="single" w:sz="4" w:space="0" w:color="A6A6A6" w:themeColor="background1" w:themeShade="A6"/>
            </w:tcBorders>
          </w:tcPr>
          <w:p w14:paraId="20A60C7E" w14:textId="68E8D89A" w:rsidR="00DB72FE" w:rsidRPr="0068185D" w:rsidRDefault="00DB72FE" w:rsidP="00A65F99">
            <w:pPr>
              <w:pStyle w:val="TableFigures"/>
              <w:rPr>
                <w:sz w:val="15"/>
                <w:szCs w:val="15"/>
              </w:rPr>
            </w:pPr>
            <w:r w:rsidRPr="0068185D">
              <w:rPr>
                <w:sz w:val="15"/>
                <w:szCs w:val="15"/>
              </w:rPr>
              <w:t>505</w:t>
            </w:r>
          </w:p>
        </w:tc>
      </w:tr>
      <w:tr w:rsidR="00DB72FE" w:rsidRPr="00A07D72" w14:paraId="67BB7EFB" w14:textId="77777777" w:rsidTr="00A65F99">
        <w:tc>
          <w:tcPr>
            <w:tcW w:w="1560" w:type="dxa"/>
            <w:tcBorders>
              <w:top w:val="single" w:sz="4" w:space="0" w:color="A6A6A6" w:themeColor="background1" w:themeShade="A6"/>
              <w:bottom w:val="single" w:sz="8" w:space="0" w:color="A6A6A6" w:themeColor="background1" w:themeShade="A6"/>
            </w:tcBorders>
          </w:tcPr>
          <w:p w14:paraId="57D3FD47" w14:textId="77777777" w:rsidR="00DB72FE" w:rsidRPr="00A07D72" w:rsidRDefault="00DB72FE" w:rsidP="00A65F99">
            <w:pPr>
              <w:pStyle w:val="Tabletext"/>
              <w:rPr>
                <w:b/>
                <w:sz w:val="15"/>
                <w:szCs w:val="15"/>
              </w:rPr>
            </w:pPr>
            <w:r w:rsidRPr="00A07D72">
              <w:rPr>
                <w:b/>
                <w:sz w:val="15"/>
                <w:szCs w:val="15"/>
              </w:rPr>
              <w:t>Balance at 31 December 2020</w:t>
            </w:r>
          </w:p>
        </w:tc>
        <w:tc>
          <w:tcPr>
            <w:tcW w:w="709" w:type="dxa"/>
            <w:tcBorders>
              <w:top w:val="single" w:sz="4" w:space="0" w:color="A6A6A6" w:themeColor="background1" w:themeShade="A6"/>
              <w:bottom w:val="single" w:sz="8" w:space="0" w:color="A6A6A6" w:themeColor="background1" w:themeShade="A6"/>
            </w:tcBorders>
          </w:tcPr>
          <w:p w14:paraId="7AA8643B" w14:textId="1071DAD8" w:rsidR="00DB72FE" w:rsidRPr="0068185D" w:rsidRDefault="00DB72FE" w:rsidP="00A65F99">
            <w:pPr>
              <w:pStyle w:val="TableFiguresBold0"/>
              <w:rPr>
                <w:b w:val="0"/>
                <w:bCs w:val="0"/>
                <w:sz w:val="15"/>
                <w:szCs w:val="15"/>
              </w:rPr>
            </w:pPr>
            <w:r w:rsidRPr="0068185D">
              <w:rPr>
                <w:b w:val="0"/>
                <w:bCs w:val="0"/>
                <w:sz w:val="15"/>
                <w:szCs w:val="15"/>
              </w:rPr>
              <w:t>119</w:t>
            </w:r>
          </w:p>
        </w:tc>
        <w:tc>
          <w:tcPr>
            <w:tcW w:w="820" w:type="dxa"/>
            <w:gridSpan w:val="2"/>
            <w:tcBorders>
              <w:top w:val="single" w:sz="4" w:space="0" w:color="A6A6A6" w:themeColor="background1" w:themeShade="A6"/>
              <w:bottom w:val="single" w:sz="8" w:space="0" w:color="A6A6A6" w:themeColor="background1" w:themeShade="A6"/>
            </w:tcBorders>
          </w:tcPr>
          <w:p w14:paraId="291A2AAA" w14:textId="3E5E7746" w:rsidR="00DB72FE" w:rsidRPr="0068185D" w:rsidRDefault="00DB72FE" w:rsidP="00A65F99">
            <w:pPr>
              <w:pStyle w:val="TableFiguresBold0"/>
              <w:rPr>
                <w:b w:val="0"/>
                <w:bCs w:val="0"/>
                <w:sz w:val="15"/>
                <w:szCs w:val="15"/>
              </w:rPr>
            </w:pPr>
            <w:r w:rsidRPr="0068185D">
              <w:rPr>
                <w:b w:val="0"/>
                <w:bCs w:val="0"/>
                <w:sz w:val="15"/>
                <w:szCs w:val="15"/>
              </w:rPr>
              <w:t>3,277</w:t>
            </w:r>
          </w:p>
        </w:tc>
        <w:tc>
          <w:tcPr>
            <w:tcW w:w="928" w:type="dxa"/>
            <w:tcBorders>
              <w:top w:val="single" w:sz="4" w:space="0" w:color="A6A6A6" w:themeColor="background1" w:themeShade="A6"/>
              <w:bottom w:val="single" w:sz="8" w:space="0" w:color="A6A6A6" w:themeColor="background1" w:themeShade="A6"/>
            </w:tcBorders>
          </w:tcPr>
          <w:p w14:paraId="6BE37FB7" w14:textId="711F8566" w:rsidR="00DB72FE" w:rsidRPr="0068185D" w:rsidRDefault="00DB72FE" w:rsidP="00A65F99">
            <w:pPr>
              <w:pStyle w:val="TableFiguresBold0"/>
              <w:rPr>
                <w:b w:val="0"/>
                <w:bCs w:val="0"/>
                <w:sz w:val="15"/>
                <w:szCs w:val="15"/>
              </w:rPr>
            </w:pPr>
            <w:r w:rsidRPr="0068185D">
              <w:rPr>
                <w:b w:val="0"/>
                <w:bCs w:val="0"/>
                <w:sz w:val="15"/>
                <w:szCs w:val="15"/>
              </w:rPr>
              <w:t>114</w:t>
            </w:r>
          </w:p>
        </w:tc>
        <w:tc>
          <w:tcPr>
            <w:tcW w:w="700" w:type="dxa"/>
            <w:tcBorders>
              <w:top w:val="single" w:sz="4" w:space="0" w:color="A6A6A6" w:themeColor="background1" w:themeShade="A6"/>
              <w:bottom w:val="single" w:sz="8" w:space="0" w:color="A6A6A6" w:themeColor="background1" w:themeShade="A6"/>
            </w:tcBorders>
          </w:tcPr>
          <w:p w14:paraId="11A78605" w14:textId="74891CBE" w:rsidR="00DB72FE" w:rsidRPr="0068185D" w:rsidRDefault="00DB72FE" w:rsidP="00A65F99">
            <w:pPr>
              <w:pStyle w:val="TableFiguresBrackets"/>
              <w:rPr>
                <w:sz w:val="15"/>
                <w:szCs w:val="15"/>
              </w:rPr>
            </w:pPr>
            <w:r w:rsidRPr="0068185D">
              <w:rPr>
                <w:sz w:val="15"/>
                <w:szCs w:val="15"/>
              </w:rPr>
              <w:t>(1)</w:t>
            </w:r>
          </w:p>
        </w:tc>
        <w:tc>
          <w:tcPr>
            <w:tcW w:w="876" w:type="dxa"/>
            <w:tcBorders>
              <w:top w:val="single" w:sz="4" w:space="0" w:color="A6A6A6" w:themeColor="background1" w:themeShade="A6"/>
              <w:bottom w:val="single" w:sz="8" w:space="0" w:color="A6A6A6" w:themeColor="background1" w:themeShade="A6"/>
            </w:tcBorders>
          </w:tcPr>
          <w:p w14:paraId="62CD2F14" w14:textId="48B32F7F" w:rsidR="00DB72FE" w:rsidRPr="0068185D" w:rsidRDefault="00DB72FE" w:rsidP="00A65F99">
            <w:pPr>
              <w:pStyle w:val="TableFigures"/>
              <w:rPr>
                <w:sz w:val="15"/>
                <w:szCs w:val="15"/>
              </w:rPr>
            </w:pPr>
            <w:r w:rsidRPr="0068185D">
              <w:rPr>
                <w:sz w:val="15"/>
                <w:szCs w:val="15"/>
              </w:rPr>
              <w:t>22</w:t>
            </w:r>
          </w:p>
        </w:tc>
        <w:tc>
          <w:tcPr>
            <w:tcW w:w="997" w:type="dxa"/>
            <w:tcBorders>
              <w:top w:val="single" w:sz="4" w:space="0" w:color="A6A6A6" w:themeColor="background1" w:themeShade="A6"/>
              <w:bottom w:val="single" w:sz="8" w:space="0" w:color="A6A6A6" w:themeColor="background1" w:themeShade="A6"/>
            </w:tcBorders>
          </w:tcPr>
          <w:p w14:paraId="7493F41E" w14:textId="3EE20081" w:rsidR="00DB72FE" w:rsidRPr="0068185D" w:rsidRDefault="00DB72FE" w:rsidP="00A65F99">
            <w:pPr>
              <w:pStyle w:val="TableFigures"/>
              <w:rPr>
                <w:sz w:val="15"/>
                <w:szCs w:val="15"/>
              </w:rPr>
            </w:pPr>
            <w:r w:rsidRPr="0068185D">
              <w:rPr>
                <w:sz w:val="15"/>
                <w:szCs w:val="15"/>
              </w:rPr>
              <w:t>62</w:t>
            </w:r>
          </w:p>
        </w:tc>
        <w:tc>
          <w:tcPr>
            <w:tcW w:w="817" w:type="dxa"/>
            <w:tcBorders>
              <w:top w:val="single" w:sz="4" w:space="0" w:color="A6A6A6" w:themeColor="background1" w:themeShade="A6"/>
              <w:bottom w:val="single" w:sz="8" w:space="0" w:color="A6A6A6" w:themeColor="background1" w:themeShade="A6"/>
            </w:tcBorders>
          </w:tcPr>
          <w:p w14:paraId="6B092BA4" w14:textId="72C061C2" w:rsidR="00DB72FE" w:rsidRPr="0068185D" w:rsidRDefault="00DB72FE" w:rsidP="00A65F99">
            <w:pPr>
              <w:pStyle w:val="TableFigures"/>
              <w:rPr>
                <w:sz w:val="15"/>
                <w:szCs w:val="15"/>
              </w:rPr>
            </w:pPr>
            <w:r w:rsidRPr="0068185D">
              <w:rPr>
                <w:sz w:val="15"/>
                <w:szCs w:val="15"/>
              </w:rPr>
              <w:t>169</w:t>
            </w:r>
          </w:p>
        </w:tc>
        <w:tc>
          <w:tcPr>
            <w:tcW w:w="710" w:type="dxa"/>
            <w:tcBorders>
              <w:top w:val="single" w:sz="4" w:space="0" w:color="A6A6A6" w:themeColor="background1" w:themeShade="A6"/>
              <w:bottom w:val="single" w:sz="8" w:space="0" w:color="A6A6A6" w:themeColor="background1" w:themeShade="A6"/>
            </w:tcBorders>
          </w:tcPr>
          <w:p w14:paraId="59DC1F73" w14:textId="375FFC69" w:rsidR="00DB72FE" w:rsidRPr="0068185D" w:rsidRDefault="00DB72FE" w:rsidP="00A65F99">
            <w:pPr>
              <w:pStyle w:val="TableFigures"/>
              <w:rPr>
                <w:sz w:val="15"/>
                <w:szCs w:val="15"/>
              </w:rPr>
            </w:pPr>
            <w:r w:rsidRPr="0068185D">
              <w:rPr>
                <w:sz w:val="15"/>
                <w:szCs w:val="15"/>
              </w:rPr>
              <w:t>5,897</w:t>
            </w:r>
          </w:p>
        </w:tc>
        <w:tc>
          <w:tcPr>
            <w:tcW w:w="1135" w:type="dxa"/>
            <w:tcBorders>
              <w:top w:val="single" w:sz="4" w:space="0" w:color="A6A6A6" w:themeColor="background1" w:themeShade="A6"/>
              <w:bottom w:val="single" w:sz="8" w:space="0" w:color="A6A6A6" w:themeColor="background1" w:themeShade="A6"/>
            </w:tcBorders>
          </w:tcPr>
          <w:p w14:paraId="6CAF55C4" w14:textId="0CA8C2E8" w:rsidR="00DB72FE" w:rsidRPr="0068185D" w:rsidRDefault="00DB72FE" w:rsidP="00A65F99">
            <w:pPr>
              <w:pStyle w:val="TableFigures"/>
              <w:rPr>
                <w:sz w:val="15"/>
                <w:szCs w:val="15"/>
              </w:rPr>
            </w:pPr>
            <w:r w:rsidRPr="0068185D">
              <w:rPr>
                <w:sz w:val="15"/>
                <w:szCs w:val="15"/>
              </w:rPr>
              <w:t>9,659</w:t>
            </w:r>
          </w:p>
        </w:tc>
        <w:tc>
          <w:tcPr>
            <w:tcW w:w="955" w:type="dxa"/>
            <w:tcBorders>
              <w:top w:val="single" w:sz="4" w:space="0" w:color="A6A6A6" w:themeColor="background1" w:themeShade="A6"/>
              <w:bottom w:val="single" w:sz="8" w:space="0" w:color="A6A6A6" w:themeColor="background1" w:themeShade="A6"/>
            </w:tcBorders>
          </w:tcPr>
          <w:p w14:paraId="1D7A3BFD" w14:textId="40A954B9" w:rsidR="00DB72FE" w:rsidRPr="0068185D" w:rsidRDefault="00DB72FE" w:rsidP="00A65F99">
            <w:pPr>
              <w:pStyle w:val="TableFigures"/>
              <w:rPr>
                <w:sz w:val="15"/>
                <w:szCs w:val="15"/>
              </w:rPr>
            </w:pPr>
            <w:r w:rsidRPr="0068185D">
              <w:rPr>
                <w:sz w:val="15"/>
                <w:szCs w:val="15"/>
              </w:rPr>
              <w:t>12</w:t>
            </w:r>
          </w:p>
        </w:tc>
        <w:tc>
          <w:tcPr>
            <w:tcW w:w="683" w:type="dxa"/>
            <w:tcBorders>
              <w:top w:val="single" w:sz="4" w:space="0" w:color="A6A6A6" w:themeColor="background1" w:themeShade="A6"/>
              <w:bottom w:val="single" w:sz="8" w:space="0" w:color="A6A6A6" w:themeColor="background1" w:themeShade="A6"/>
            </w:tcBorders>
          </w:tcPr>
          <w:p w14:paraId="755C0F15" w14:textId="72361D4C" w:rsidR="00DB72FE" w:rsidRPr="0068185D" w:rsidRDefault="00DB72FE" w:rsidP="00A65F99">
            <w:pPr>
              <w:pStyle w:val="TableFigures"/>
              <w:rPr>
                <w:sz w:val="15"/>
                <w:szCs w:val="15"/>
              </w:rPr>
            </w:pPr>
            <w:r w:rsidRPr="0068185D">
              <w:rPr>
                <w:sz w:val="15"/>
                <w:szCs w:val="15"/>
              </w:rPr>
              <w:t>9,671</w:t>
            </w:r>
          </w:p>
        </w:tc>
      </w:tr>
    </w:tbl>
    <w:p w14:paraId="5B00D893" w14:textId="4CC63C2B" w:rsidR="00DB72FE" w:rsidRPr="00A07D72" w:rsidRDefault="00DB72FE" w:rsidP="00DB72FE">
      <w:pPr>
        <w:pStyle w:val="FootnotesNoSpace"/>
        <w:ind w:left="-284"/>
        <w:rPr>
          <w:sz w:val="14"/>
          <w:szCs w:val="14"/>
        </w:rPr>
      </w:pPr>
      <w:r>
        <w:rPr>
          <w:i w:val="0"/>
          <w:sz w:val="14"/>
          <w:szCs w:val="14"/>
        </w:rPr>
        <w:t>1</w:t>
      </w:r>
      <w:r w:rsidRPr="00A07D72">
        <w:rPr>
          <w:i w:val="0"/>
          <w:sz w:val="14"/>
          <w:szCs w:val="14"/>
        </w:rPr>
        <w:t xml:space="preserve"> </w:t>
      </w:r>
      <w:r w:rsidRPr="00A07D72">
        <w:rPr>
          <w:sz w:val="14"/>
          <w:szCs w:val="14"/>
        </w:rPr>
        <w:t>Non-controlling interests relate to Vailog S.r.l.</w:t>
      </w:r>
      <w:r w:rsidRPr="00A07D72">
        <w:t xml:space="preserve"> </w:t>
      </w:r>
      <w:r w:rsidRPr="00BE37F4">
        <w:rPr>
          <w:sz w:val="14"/>
          <w:szCs w:val="14"/>
        </w:rPr>
        <w:t xml:space="preserve">and </w:t>
      </w:r>
      <w:r w:rsidRPr="00A07D72">
        <w:rPr>
          <w:iCs/>
          <w:sz w:val="14"/>
        </w:rPr>
        <w:t>Sofibus Patrimoine</w:t>
      </w:r>
      <w:r>
        <w:rPr>
          <w:iCs/>
          <w:sz w:val="14"/>
        </w:rPr>
        <w:t xml:space="preserve"> SA</w:t>
      </w:r>
      <w:r w:rsidRPr="00A07D72">
        <w:rPr>
          <w:iCs/>
          <w:sz w:val="14"/>
        </w:rPr>
        <w:t>. During the year non-controlling interests of £1</w:t>
      </w:r>
      <w:r w:rsidR="00E7751B">
        <w:rPr>
          <w:iCs/>
          <w:sz w:val="14"/>
        </w:rPr>
        <w:t>2</w:t>
      </w:r>
      <w:r w:rsidRPr="00A07D72">
        <w:rPr>
          <w:iCs/>
          <w:sz w:val="14"/>
        </w:rPr>
        <w:t xml:space="preserve"> million were recognised upon the acquisition of Sofibus </w:t>
      </w:r>
      <w:r w:rsidRPr="00ED02FF">
        <w:rPr>
          <w:iCs/>
          <w:sz w:val="14"/>
        </w:rPr>
        <w:t>Patrimoine</w:t>
      </w:r>
      <w:r>
        <w:rPr>
          <w:iCs/>
          <w:sz w:val="14"/>
        </w:rPr>
        <w:t xml:space="preserve"> SA</w:t>
      </w:r>
      <w:r w:rsidRPr="00ED02FF">
        <w:t>.</w:t>
      </w:r>
    </w:p>
    <w:p w14:paraId="1059F881" w14:textId="7AC6B2FF" w:rsidR="005E793C" w:rsidRPr="00604F9D" w:rsidRDefault="005E793C" w:rsidP="005E793C">
      <w:pPr>
        <w:pStyle w:val="Heading2"/>
        <w:rPr>
          <w:bCs/>
          <w:spacing w:val="-1"/>
        </w:rPr>
      </w:pPr>
      <w:r w:rsidRPr="00604F9D">
        <w:rPr>
          <w:bCs/>
          <w:spacing w:val="-1"/>
        </w:rPr>
        <w:lastRenderedPageBreak/>
        <w:t xml:space="preserve">CONDENSED GROUP CASH FLOW STATEMENT </w:t>
      </w:r>
    </w:p>
    <w:p w14:paraId="669F1D0B" w14:textId="2A06ECCC" w:rsidR="005E793C" w:rsidRPr="00604F9D" w:rsidRDefault="005E793C" w:rsidP="005E793C">
      <w:pPr>
        <w:pStyle w:val="Heading3"/>
      </w:pPr>
      <w:r w:rsidRPr="00604F9D">
        <w:t>For the year ended 31 December 20</w:t>
      </w:r>
      <w:r w:rsidR="00671D77" w:rsidRPr="00604F9D">
        <w:t>2</w:t>
      </w:r>
      <w:r w:rsidR="00604F9D" w:rsidRPr="00604F9D">
        <w:t>1</w:t>
      </w:r>
    </w:p>
    <w:tbl>
      <w:tblPr>
        <w:tblW w:w="10837" w:type="dxa"/>
        <w:tblInd w:w="-284" w:type="dxa"/>
        <w:tblLayout w:type="fixed"/>
        <w:tblCellMar>
          <w:left w:w="0" w:type="dxa"/>
          <w:right w:w="0" w:type="dxa"/>
        </w:tblCellMar>
        <w:tblLook w:val="01E0" w:firstRow="1" w:lastRow="1" w:firstColumn="1" w:lastColumn="1" w:noHBand="0" w:noVBand="0"/>
      </w:tblPr>
      <w:tblGrid>
        <w:gridCol w:w="5876"/>
        <w:gridCol w:w="1172"/>
        <w:gridCol w:w="1263"/>
        <w:gridCol w:w="1263"/>
        <w:gridCol w:w="1263"/>
      </w:tblGrid>
      <w:tr w:rsidR="005F6D8A" w:rsidRPr="005F6D8A" w14:paraId="212569CD" w14:textId="77777777" w:rsidTr="00735AFD">
        <w:tc>
          <w:tcPr>
            <w:tcW w:w="5876" w:type="dxa"/>
            <w:tcBorders>
              <w:bottom w:val="single" w:sz="8" w:space="0" w:color="A6A6A6" w:themeColor="background1" w:themeShade="A6"/>
            </w:tcBorders>
            <w:shd w:val="clear" w:color="auto" w:fill="auto"/>
            <w:noWrap/>
            <w:vAlign w:val="bottom"/>
          </w:tcPr>
          <w:p w14:paraId="012A0C79" w14:textId="77777777" w:rsidR="005E793C" w:rsidRPr="00DB7701" w:rsidRDefault="005E793C" w:rsidP="00E30618">
            <w:pPr>
              <w:pStyle w:val="TableColHeads"/>
              <w:spacing w:line="180" w:lineRule="exact"/>
              <w:ind w:right="0"/>
            </w:pPr>
          </w:p>
          <w:p w14:paraId="452D351B" w14:textId="77777777" w:rsidR="005E793C" w:rsidRPr="00DB7701" w:rsidRDefault="005E793C" w:rsidP="00E30618">
            <w:pPr>
              <w:pStyle w:val="TableColHeads"/>
              <w:spacing w:line="180" w:lineRule="exact"/>
              <w:ind w:right="0"/>
            </w:pPr>
          </w:p>
        </w:tc>
        <w:tc>
          <w:tcPr>
            <w:tcW w:w="1172" w:type="dxa"/>
            <w:tcBorders>
              <w:bottom w:val="single" w:sz="8" w:space="0" w:color="A6A6A6" w:themeColor="background1" w:themeShade="A6"/>
            </w:tcBorders>
            <w:shd w:val="clear" w:color="auto" w:fill="auto"/>
            <w:noWrap/>
            <w:vAlign w:val="bottom"/>
          </w:tcPr>
          <w:p w14:paraId="725B1AA8" w14:textId="77777777" w:rsidR="005E793C" w:rsidRPr="00DB7701" w:rsidRDefault="005E793C" w:rsidP="00E30618">
            <w:pPr>
              <w:pStyle w:val="TableColHeads"/>
              <w:spacing w:line="180" w:lineRule="exact"/>
            </w:pPr>
          </w:p>
        </w:tc>
        <w:tc>
          <w:tcPr>
            <w:tcW w:w="1263" w:type="dxa"/>
            <w:tcBorders>
              <w:bottom w:val="single" w:sz="8" w:space="0" w:color="A6A6A6" w:themeColor="background1" w:themeShade="A6"/>
            </w:tcBorders>
            <w:shd w:val="clear" w:color="auto" w:fill="auto"/>
            <w:noWrap/>
            <w:vAlign w:val="bottom"/>
          </w:tcPr>
          <w:p w14:paraId="2C1AA022" w14:textId="77777777" w:rsidR="005E793C" w:rsidRPr="0068185D" w:rsidRDefault="005E793C" w:rsidP="00E30618">
            <w:pPr>
              <w:pStyle w:val="TableColHeadsBold0"/>
              <w:rPr>
                <w:b w:val="0"/>
                <w:bCs w:val="0"/>
              </w:rPr>
            </w:pPr>
            <w:r w:rsidRPr="0068185D">
              <w:rPr>
                <w:b w:val="0"/>
                <w:bCs w:val="0"/>
              </w:rPr>
              <w:t>Notes</w:t>
            </w:r>
          </w:p>
        </w:tc>
        <w:tc>
          <w:tcPr>
            <w:tcW w:w="1263" w:type="dxa"/>
            <w:tcBorders>
              <w:bottom w:val="single" w:sz="8" w:space="0" w:color="A6A6A6" w:themeColor="background1" w:themeShade="A6"/>
            </w:tcBorders>
            <w:shd w:val="clear" w:color="auto" w:fill="auto"/>
            <w:noWrap/>
            <w:vAlign w:val="bottom"/>
          </w:tcPr>
          <w:p w14:paraId="147E10FF" w14:textId="78699F19" w:rsidR="005E793C" w:rsidRPr="00DB7701" w:rsidRDefault="005E793C" w:rsidP="00671D77">
            <w:pPr>
              <w:pStyle w:val="TableColHeads"/>
              <w:spacing w:line="180" w:lineRule="exact"/>
              <w:ind w:right="71"/>
              <w:rPr>
                <w:b/>
                <w:szCs w:val="18"/>
              </w:rPr>
            </w:pPr>
            <w:r w:rsidRPr="00DB7701">
              <w:rPr>
                <w:b/>
                <w:szCs w:val="18"/>
              </w:rPr>
              <w:t>20</w:t>
            </w:r>
            <w:r w:rsidR="00671D77" w:rsidRPr="00DB7701">
              <w:rPr>
                <w:b/>
                <w:szCs w:val="18"/>
              </w:rPr>
              <w:t>2</w:t>
            </w:r>
            <w:r w:rsidR="00604F9D" w:rsidRPr="00DB7701">
              <w:rPr>
                <w:b/>
                <w:szCs w:val="18"/>
              </w:rPr>
              <w:t>1</w:t>
            </w:r>
          </w:p>
          <w:p w14:paraId="435EB58B" w14:textId="77777777" w:rsidR="005E793C" w:rsidRPr="00DB7701" w:rsidRDefault="005E793C" w:rsidP="00671D77">
            <w:pPr>
              <w:pStyle w:val="TableColHeads"/>
              <w:spacing w:line="180" w:lineRule="exact"/>
              <w:ind w:right="71"/>
              <w:rPr>
                <w:sz w:val="16"/>
                <w:szCs w:val="16"/>
              </w:rPr>
            </w:pPr>
            <w:r w:rsidRPr="00DB7701">
              <w:rPr>
                <w:b/>
                <w:szCs w:val="18"/>
              </w:rPr>
              <w:t>£m</w:t>
            </w:r>
          </w:p>
        </w:tc>
        <w:tc>
          <w:tcPr>
            <w:tcW w:w="1263" w:type="dxa"/>
            <w:tcBorders>
              <w:bottom w:val="single" w:sz="8" w:space="0" w:color="A6A6A6" w:themeColor="background1" w:themeShade="A6"/>
            </w:tcBorders>
            <w:shd w:val="clear" w:color="auto" w:fill="auto"/>
            <w:noWrap/>
            <w:vAlign w:val="bottom"/>
          </w:tcPr>
          <w:p w14:paraId="23676419" w14:textId="1139002F" w:rsidR="005E793C" w:rsidRPr="00DB7701" w:rsidRDefault="005E793C" w:rsidP="00671D77">
            <w:pPr>
              <w:pStyle w:val="TableColHeads"/>
              <w:spacing w:line="180" w:lineRule="exact"/>
              <w:ind w:right="62"/>
              <w:rPr>
                <w:szCs w:val="18"/>
              </w:rPr>
            </w:pPr>
            <w:r w:rsidRPr="00DB7701">
              <w:rPr>
                <w:szCs w:val="18"/>
              </w:rPr>
              <w:t>20</w:t>
            </w:r>
            <w:r w:rsidR="00604F9D" w:rsidRPr="00DB7701">
              <w:rPr>
                <w:szCs w:val="18"/>
              </w:rPr>
              <w:t>20</w:t>
            </w:r>
          </w:p>
          <w:p w14:paraId="5077DB50" w14:textId="77777777" w:rsidR="005E793C" w:rsidRPr="00DB7701" w:rsidRDefault="005E793C" w:rsidP="00671D77">
            <w:pPr>
              <w:pStyle w:val="TableColHeads"/>
              <w:spacing w:line="180" w:lineRule="exact"/>
              <w:ind w:right="62"/>
              <w:rPr>
                <w:sz w:val="16"/>
                <w:szCs w:val="16"/>
              </w:rPr>
            </w:pPr>
            <w:r w:rsidRPr="00DB7701">
              <w:rPr>
                <w:szCs w:val="18"/>
              </w:rPr>
              <w:t>£m</w:t>
            </w:r>
            <w:r w:rsidRPr="00DB7701">
              <w:rPr>
                <w:sz w:val="16"/>
                <w:szCs w:val="16"/>
              </w:rPr>
              <w:t xml:space="preserve"> </w:t>
            </w:r>
          </w:p>
        </w:tc>
      </w:tr>
      <w:tr w:rsidR="005F6D8A" w:rsidRPr="005F6D8A" w14:paraId="507FB3FC" w14:textId="77777777" w:rsidTr="00735AFD">
        <w:tc>
          <w:tcPr>
            <w:tcW w:w="5876" w:type="dxa"/>
            <w:tcBorders>
              <w:top w:val="single" w:sz="8" w:space="0" w:color="A6A6A6" w:themeColor="background1" w:themeShade="A6"/>
            </w:tcBorders>
            <w:shd w:val="clear" w:color="auto" w:fill="auto"/>
            <w:noWrap/>
            <w:vAlign w:val="bottom"/>
          </w:tcPr>
          <w:p w14:paraId="335899DE" w14:textId="77777777" w:rsidR="00671D77" w:rsidRPr="00DB7701" w:rsidRDefault="00671D77" w:rsidP="00671D77">
            <w:pPr>
              <w:pStyle w:val="TabletextBold"/>
            </w:pPr>
            <w:r w:rsidRPr="00DB7701">
              <w:t>Cash flows from operating activities</w:t>
            </w:r>
          </w:p>
        </w:tc>
        <w:tc>
          <w:tcPr>
            <w:tcW w:w="1172" w:type="dxa"/>
            <w:tcBorders>
              <w:top w:val="single" w:sz="8" w:space="0" w:color="A6A6A6" w:themeColor="background1" w:themeShade="A6"/>
            </w:tcBorders>
            <w:shd w:val="clear" w:color="auto" w:fill="auto"/>
            <w:noWrap/>
            <w:vAlign w:val="bottom"/>
          </w:tcPr>
          <w:p w14:paraId="69139C8F" w14:textId="77777777" w:rsidR="00671D77" w:rsidRPr="00DB7701" w:rsidRDefault="00671D77" w:rsidP="00671D77">
            <w:pPr>
              <w:pStyle w:val="TableFigures"/>
            </w:pPr>
          </w:p>
        </w:tc>
        <w:tc>
          <w:tcPr>
            <w:tcW w:w="1263" w:type="dxa"/>
            <w:tcBorders>
              <w:top w:val="single" w:sz="8" w:space="0" w:color="A6A6A6" w:themeColor="background1" w:themeShade="A6"/>
            </w:tcBorders>
            <w:shd w:val="clear" w:color="auto" w:fill="auto"/>
            <w:noWrap/>
            <w:vAlign w:val="bottom"/>
          </w:tcPr>
          <w:p w14:paraId="3069FBA8" w14:textId="6BFF2193" w:rsidR="00671D77" w:rsidRPr="0068185D" w:rsidRDefault="00671D77" w:rsidP="00671D77">
            <w:pPr>
              <w:pStyle w:val="TableColHeadsBold0"/>
              <w:rPr>
                <w:b w:val="0"/>
                <w:bCs w:val="0"/>
              </w:rPr>
            </w:pPr>
            <w:r w:rsidRPr="0068185D">
              <w:rPr>
                <w:b w:val="0"/>
                <w:bCs w:val="0"/>
              </w:rPr>
              <w:t>1</w:t>
            </w:r>
            <w:r w:rsidR="008239CB" w:rsidRPr="0068185D">
              <w:rPr>
                <w:b w:val="0"/>
                <w:bCs w:val="0"/>
              </w:rPr>
              <w:t>4</w:t>
            </w:r>
            <w:r w:rsidRPr="0068185D">
              <w:rPr>
                <w:b w:val="0"/>
                <w:bCs w:val="0"/>
              </w:rPr>
              <w:t>(i)</w:t>
            </w:r>
          </w:p>
        </w:tc>
        <w:tc>
          <w:tcPr>
            <w:tcW w:w="1263" w:type="dxa"/>
            <w:tcBorders>
              <w:top w:val="single" w:sz="8" w:space="0" w:color="A6A6A6" w:themeColor="background1" w:themeShade="A6"/>
            </w:tcBorders>
            <w:shd w:val="clear" w:color="auto" w:fill="auto"/>
            <w:noWrap/>
          </w:tcPr>
          <w:p w14:paraId="6CE83079" w14:textId="6B550C35" w:rsidR="00671D77" w:rsidRPr="00DB7701" w:rsidRDefault="00604F9D" w:rsidP="001E0CE9">
            <w:pPr>
              <w:pStyle w:val="TableFiguresBold0"/>
            </w:pPr>
            <w:r w:rsidRPr="00DB7701">
              <w:t>347</w:t>
            </w:r>
          </w:p>
        </w:tc>
        <w:tc>
          <w:tcPr>
            <w:tcW w:w="1263" w:type="dxa"/>
            <w:tcBorders>
              <w:top w:val="single" w:sz="8" w:space="0" w:color="A6A6A6" w:themeColor="background1" w:themeShade="A6"/>
            </w:tcBorders>
            <w:noWrap/>
            <w:vAlign w:val="bottom"/>
          </w:tcPr>
          <w:p w14:paraId="229886FF" w14:textId="393F8A80" w:rsidR="00671D77" w:rsidRPr="00DB7701" w:rsidRDefault="00604F9D" w:rsidP="00671D77">
            <w:pPr>
              <w:pStyle w:val="TableFigures"/>
            </w:pPr>
            <w:r w:rsidRPr="00DB7701">
              <w:t>233</w:t>
            </w:r>
          </w:p>
        </w:tc>
      </w:tr>
      <w:tr w:rsidR="005F6D8A" w:rsidRPr="005F6D8A" w14:paraId="3118AC89" w14:textId="77777777" w:rsidTr="00735AFD">
        <w:tc>
          <w:tcPr>
            <w:tcW w:w="5876" w:type="dxa"/>
            <w:shd w:val="clear" w:color="auto" w:fill="auto"/>
            <w:noWrap/>
            <w:vAlign w:val="bottom"/>
          </w:tcPr>
          <w:p w14:paraId="4E28B219" w14:textId="77777777" w:rsidR="00671D77" w:rsidRPr="00DB7701" w:rsidRDefault="00671D77" w:rsidP="00671D77">
            <w:pPr>
              <w:pStyle w:val="Tabletext"/>
              <w:rPr>
                <w:szCs w:val="20"/>
              </w:rPr>
            </w:pPr>
            <w:r w:rsidRPr="00DB7701">
              <w:rPr>
                <w:szCs w:val="20"/>
              </w:rPr>
              <w:t xml:space="preserve">Interest received </w:t>
            </w:r>
          </w:p>
        </w:tc>
        <w:tc>
          <w:tcPr>
            <w:tcW w:w="1172" w:type="dxa"/>
            <w:shd w:val="clear" w:color="auto" w:fill="auto"/>
            <w:noWrap/>
            <w:vAlign w:val="bottom"/>
          </w:tcPr>
          <w:p w14:paraId="0A4543F9" w14:textId="77777777" w:rsidR="00671D77" w:rsidRPr="00DB7701" w:rsidRDefault="00671D77" w:rsidP="00671D77">
            <w:pPr>
              <w:pStyle w:val="TableFigures"/>
              <w:ind w:right="0"/>
              <w:rPr>
                <w:szCs w:val="20"/>
              </w:rPr>
            </w:pPr>
          </w:p>
        </w:tc>
        <w:tc>
          <w:tcPr>
            <w:tcW w:w="1263" w:type="dxa"/>
            <w:shd w:val="clear" w:color="auto" w:fill="auto"/>
            <w:noWrap/>
            <w:vAlign w:val="bottom"/>
          </w:tcPr>
          <w:p w14:paraId="1E4D6799" w14:textId="77777777" w:rsidR="00671D77" w:rsidRPr="0068185D" w:rsidRDefault="00671D77" w:rsidP="00671D77">
            <w:pPr>
              <w:pStyle w:val="TableFiguresBold0"/>
            </w:pPr>
          </w:p>
        </w:tc>
        <w:tc>
          <w:tcPr>
            <w:tcW w:w="1263" w:type="dxa"/>
            <w:shd w:val="clear" w:color="auto" w:fill="auto"/>
            <w:noWrap/>
          </w:tcPr>
          <w:p w14:paraId="1A8C1EA5" w14:textId="24475424" w:rsidR="00671D77" w:rsidRPr="00DB7701" w:rsidRDefault="00604F9D" w:rsidP="001E0CE9">
            <w:pPr>
              <w:pStyle w:val="TableFiguresBold0"/>
            </w:pPr>
            <w:r w:rsidRPr="00DB7701">
              <w:t>48</w:t>
            </w:r>
          </w:p>
        </w:tc>
        <w:tc>
          <w:tcPr>
            <w:tcW w:w="1263" w:type="dxa"/>
            <w:noWrap/>
            <w:vAlign w:val="bottom"/>
          </w:tcPr>
          <w:p w14:paraId="0C804D0D" w14:textId="2261B717" w:rsidR="00671D77" w:rsidRPr="00DB7701" w:rsidRDefault="00604F9D" w:rsidP="00671D77">
            <w:pPr>
              <w:pStyle w:val="TableFigures"/>
            </w:pPr>
            <w:r w:rsidRPr="00DB7701">
              <w:t>42</w:t>
            </w:r>
          </w:p>
        </w:tc>
      </w:tr>
      <w:tr w:rsidR="005F6D8A" w:rsidRPr="005F6D8A" w14:paraId="69F31804" w14:textId="77777777" w:rsidTr="00735AFD">
        <w:tc>
          <w:tcPr>
            <w:tcW w:w="5876" w:type="dxa"/>
            <w:shd w:val="clear" w:color="auto" w:fill="auto"/>
            <w:noWrap/>
            <w:vAlign w:val="bottom"/>
          </w:tcPr>
          <w:p w14:paraId="1A9FE22F" w14:textId="77777777" w:rsidR="00671D77" w:rsidRPr="00DB7701" w:rsidRDefault="00671D77" w:rsidP="00671D77">
            <w:pPr>
              <w:pStyle w:val="Tabletext"/>
              <w:rPr>
                <w:szCs w:val="20"/>
              </w:rPr>
            </w:pPr>
            <w:r w:rsidRPr="00DB7701">
              <w:rPr>
                <w:szCs w:val="20"/>
              </w:rPr>
              <w:t xml:space="preserve">Dividends received </w:t>
            </w:r>
          </w:p>
        </w:tc>
        <w:tc>
          <w:tcPr>
            <w:tcW w:w="1172" w:type="dxa"/>
            <w:shd w:val="clear" w:color="auto" w:fill="auto"/>
            <w:noWrap/>
            <w:vAlign w:val="bottom"/>
          </w:tcPr>
          <w:p w14:paraId="02B4D375" w14:textId="77777777" w:rsidR="00671D77" w:rsidRPr="00DB7701" w:rsidRDefault="00671D77" w:rsidP="00671D77">
            <w:pPr>
              <w:pStyle w:val="TableFigures"/>
              <w:ind w:right="0"/>
              <w:rPr>
                <w:szCs w:val="20"/>
              </w:rPr>
            </w:pPr>
          </w:p>
        </w:tc>
        <w:tc>
          <w:tcPr>
            <w:tcW w:w="1263" w:type="dxa"/>
            <w:shd w:val="clear" w:color="auto" w:fill="auto"/>
            <w:noWrap/>
            <w:vAlign w:val="bottom"/>
          </w:tcPr>
          <w:p w14:paraId="6E20F3B0" w14:textId="77777777" w:rsidR="00671D77" w:rsidRPr="0068185D" w:rsidRDefault="00671D77" w:rsidP="00671D77">
            <w:pPr>
              <w:pStyle w:val="TableFiguresBold0"/>
            </w:pPr>
          </w:p>
        </w:tc>
        <w:tc>
          <w:tcPr>
            <w:tcW w:w="1263" w:type="dxa"/>
            <w:shd w:val="clear" w:color="auto" w:fill="auto"/>
            <w:noWrap/>
          </w:tcPr>
          <w:p w14:paraId="01318C06" w14:textId="03226D8E" w:rsidR="00671D77" w:rsidRPr="00DB7701" w:rsidRDefault="00604F9D" w:rsidP="001E0CE9">
            <w:pPr>
              <w:pStyle w:val="TableFiguresBold0"/>
            </w:pPr>
            <w:r w:rsidRPr="00DB7701">
              <w:t>33</w:t>
            </w:r>
          </w:p>
        </w:tc>
        <w:tc>
          <w:tcPr>
            <w:tcW w:w="1263" w:type="dxa"/>
            <w:noWrap/>
            <w:vAlign w:val="bottom"/>
          </w:tcPr>
          <w:p w14:paraId="64D56791" w14:textId="46385FC1" w:rsidR="00671D77" w:rsidRPr="00DB7701" w:rsidRDefault="00604F9D" w:rsidP="00671D77">
            <w:pPr>
              <w:pStyle w:val="TableFigures"/>
            </w:pPr>
            <w:r w:rsidRPr="00DB7701">
              <w:t>34</w:t>
            </w:r>
          </w:p>
        </w:tc>
      </w:tr>
      <w:tr w:rsidR="005F6D8A" w:rsidRPr="005F6D8A" w14:paraId="6215E770" w14:textId="77777777" w:rsidTr="00735AFD">
        <w:tc>
          <w:tcPr>
            <w:tcW w:w="5876" w:type="dxa"/>
            <w:shd w:val="clear" w:color="auto" w:fill="auto"/>
            <w:noWrap/>
            <w:vAlign w:val="bottom"/>
          </w:tcPr>
          <w:p w14:paraId="2DED3DCD" w14:textId="77777777" w:rsidR="00671D77" w:rsidRPr="00DB7701" w:rsidRDefault="00671D77" w:rsidP="00671D77">
            <w:pPr>
              <w:pStyle w:val="Tabletext"/>
              <w:rPr>
                <w:szCs w:val="20"/>
              </w:rPr>
            </w:pPr>
            <w:r w:rsidRPr="00DB7701">
              <w:rPr>
                <w:szCs w:val="20"/>
              </w:rPr>
              <w:t xml:space="preserve">Interest paid </w:t>
            </w:r>
          </w:p>
        </w:tc>
        <w:tc>
          <w:tcPr>
            <w:tcW w:w="1172" w:type="dxa"/>
            <w:shd w:val="clear" w:color="auto" w:fill="auto"/>
            <w:noWrap/>
            <w:vAlign w:val="bottom"/>
          </w:tcPr>
          <w:p w14:paraId="0168ADFB" w14:textId="77777777" w:rsidR="00671D77" w:rsidRPr="00DB7701" w:rsidRDefault="00671D77" w:rsidP="00671D77">
            <w:pPr>
              <w:pStyle w:val="TableFigures"/>
              <w:ind w:right="0"/>
              <w:rPr>
                <w:szCs w:val="20"/>
              </w:rPr>
            </w:pPr>
          </w:p>
        </w:tc>
        <w:tc>
          <w:tcPr>
            <w:tcW w:w="1263" w:type="dxa"/>
            <w:shd w:val="clear" w:color="auto" w:fill="auto"/>
            <w:noWrap/>
            <w:vAlign w:val="bottom"/>
          </w:tcPr>
          <w:p w14:paraId="27E714C2" w14:textId="77777777" w:rsidR="00671D77" w:rsidRPr="0068185D" w:rsidRDefault="00671D77" w:rsidP="00671D77">
            <w:pPr>
              <w:pStyle w:val="TableFiguresBracketsBold"/>
            </w:pPr>
          </w:p>
        </w:tc>
        <w:tc>
          <w:tcPr>
            <w:tcW w:w="1263" w:type="dxa"/>
            <w:shd w:val="clear" w:color="auto" w:fill="auto"/>
            <w:noWrap/>
          </w:tcPr>
          <w:p w14:paraId="67140E26" w14:textId="21CBC4D5" w:rsidR="00671D77" w:rsidRPr="00DB7701" w:rsidRDefault="00DB7701" w:rsidP="001E0CE9">
            <w:pPr>
              <w:pStyle w:val="TableFiguresBracketsBold"/>
            </w:pPr>
            <w:r w:rsidRPr="00DB7701">
              <w:t>(100)</w:t>
            </w:r>
          </w:p>
        </w:tc>
        <w:tc>
          <w:tcPr>
            <w:tcW w:w="1263" w:type="dxa"/>
            <w:noWrap/>
            <w:vAlign w:val="bottom"/>
          </w:tcPr>
          <w:p w14:paraId="076FAB93" w14:textId="183EB9DD" w:rsidR="00671D77" w:rsidRPr="00DB7701" w:rsidRDefault="00DB7701" w:rsidP="00671D77">
            <w:pPr>
              <w:pStyle w:val="TableFiguresBrackets"/>
            </w:pPr>
            <w:r w:rsidRPr="00DB7701">
              <w:t>(94)</w:t>
            </w:r>
          </w:p>
        </w:tc>
      </w:tr>
      <w:tr w:rsidR="005F6D8A" w:rsidRPr="005F6D8A" w14:paraId="7C600826" w14:textId="77777777" w:rsidTr="00735AFD">
        <w:tc>
          <w:tcPr>
            <w:tcW w:w="7048" w:type="dxa"/>
            <w:gridSpan w:val="2"/>
            <w:shd w:val="clear" w:color="auto" w:fill="auto"/>
            <w:noWrap/>
            <w:vAlign w:val="bottom"/>
          </w:tcPr>
          <w:p w14:paraId="7D5CA700" w14:textId="0CE6FF0F" w:rsidR="00671D77" w:rsidRPr="00DB7701" w:rsidRDefault="00671D77" w:rsidP="00671D77">
            <w:pPr>
              <w:pStyle w:val="Tabletext"/>
            </w:pPr>
            <w:r w:rsidRPr="00DB7701">
              <w:t>Cost of new interest rate derivatives transacted</w:t>
            </w:r>
          </w:p>
        </w:tc>
        <w:tc>
          <w:tcPr>
            <w:tcW w:w="1263" w:type="dxa"/>
            <w:shd w:val="clear" w:color="auto" w:fill="auto"/>
            <w:noWrap/>
            <w:vAlign w:val="bottom"/>
          </w:tcPr>
          <w:p w14:paraId="667F99BE" w14:textId="77777777" w:rsidR="00671D77" w:rsidRPr="0068185D" w:rsidRDefault="00671D77" w:rsidP="00671D77">
            <w:pPr>
              <w:pStyle w:val="TableFiguresBracketsBold"/>
            </w:pPr>
          </w:p>
        </w:tc>
        <w:tc>
          <w:tcPr>
            <w:tcW w:w="1263" w:type="dxa"/>
            <w:shd w:val="clear" w:color="auto" w:fill="auto"/>
            <w:noWrap/>
            <w:vAlign w:val="bottom"/>
          </w:tcPr>
          <w:p w14:paraId="4839F9D8" w14:textId="2A7A8C8B" w:rsidR="00671D77" w:rsidRPr="00DB7701" w:rsidRDefault="00DB7701" w:rsidP="0068185D">
            <w:pPr>
              <w:pStyle w:val="TableFiguresBold0"/>
            </w:pPr>
            <w:r w:rsidRPr="00DB7701">
              <w:t>–</w:t>
            </w:r>
          </w:p>
        </w:tc>
        <w:tc>
          <w:tcPr>
            <w:tcW w:w="1263" w:type="dxa"/>
            <w:noWrap/>
          </w:tcPr>
          <w:p w14:paraId="7332BBEA" w14:textId="2E44B067" w:rsidR="00671D77" w:rsidRPr="00DB7701" w:rsidRDefault="00DB7701" w:rsidP="001E0CE9">
            <w:pPr>
              <w:pStyle w:val="TableFiguresBrackets"/>
            </w:pPr>
            <w:r w:rsidRPr="00DB7701">
              <w:t>(12)</w:t>
            </w:r>
          </w:p>
        </w:tc>
      </w:tr>
      <w:tr w:rsidR="005F6D8A" w:rsidRPr="005F6D8A" w14:paraId="3B0B982B" w14:textId="77777777" w:rsidTr="00735AFD">
        <w:tc>
          <w:tcPr>
            <w:tcW w:w="5876" w:type="dxa"/>
            <w:shd w:val="clear" w:color="auto" w:fill="auto"/>
            <w:noWrap/>
            <w:vAlign w:val="bottom"/>
          </w:tcPr>
          <w:p w14:paraId="0B259BA9" w14:textId="77777777" w:rsidR="00671D77" w:rsidRPr="00DB7701" w:rsidRDefault="00671D77" w:rsidP="00671D77">
            <w:pPr>
              <w:pStyle w:val="Tabletext"/>
              <w:rPr>
                <w:szCs w:val="20"/>
              </w:rPr>
            </w:pPr>
            <w:r w:rsidRPr="00DB7701">
              <w:rPr>
                <w:szCs w:val="20"/>
              </w:rPr>
              <w:t>Proceeds from early close out of interest rate derivatives</w:t>
            </w:r>
          </w:p>
        </w:tc>
        <w:tc>
          <w:tcPr>
            <w:tcW w:w="1172" w:type="dxa"/>
            <w:shd w:val="clear" w:color="auto" w:fill="auto"/>
            <w:noWrap/>
            <w:vAlign w:val="bottom"/>
          </w:tcPr>
          <w:p w14:paraId="3CD14DA1" w14:textId="77777777" w:rsidR="00671D77" w:rsidRPr="00DB7701" w:rsidRDefault="00671D77" w:rsidP="00671D77">
            <w:pPr>
              <w:pStyle w:val="TableFigures"/>
              <w:ind w:right="0"/>
              <w:rPr>
                <w:szCs w:val="20"/>
              </w:rPr>
            </w:pPr>
          </w:p>
        </w:tc>
        <w:tc>
          <w:tcPr>
            <w:tcW w:w="1263" w:type="dxa"/>
            <w:shd w:val="clear" w:color="auto" w:fill="auto"/>
            <w:noWrap/>
            <w:vAlign w:val="bottom"/>
          </w:tcPr>
          <w:p w14:paraId="449BEBE9" w14:textId="77777777" w:rsidR="00671D77" w:rsidRPr="0068185D" w:rsidRDefault="00671D77" w:rsidP="00671D77">
            <w:pPr>
              <w:pStyle w:val="TableFiguresBracketsBold"/>
            </w:pPr>
          </w:p>
        </w:tc>
        <w:tc>
          <w:tcPr>
            <w:tcW w:w="1263" w:type="dxa"/>
            <w:shd w:val="clear" w:color="auto" w:fill="auto"/>
            <w:noWrap/>
          </w:tcPr>
          <w:p w14:paraId="2CB61BFE" w14:textId="7EB2E5EF" w:rsidR="00671D77" w:rsidRPr="00DB7701" w:rsidRDefault="00DB7701" w:rsidP="001E0CE9">
            <w:pPr>
              <w:pStyle w:val="TableFiguresBold0"/>
            </w:pPr>
            <w:r w:rsidRPr="00DB7701">
              <w:t>–</w:t>
            </w:r>
          </w:p>
        </w:tc>
        <w:tc>
          <w:tcPr>
            <w:tcW w:w="1263" w:type="dxa"/>
            <w:noWrap/>
            <w:vAlign w:val="bottom"/>
          </w:tcPr>
          <w:p w14:paraId="615CAAA6" w14:textId="0D70D878" w:rsidR="00671D77" w:rsidRPr="00DB7701" w:rsidRDefault="00DB7701" w:rsidP="00671D77">
            <w:pPr>
              <w:pStyle w:val="TableFigures"/>
            </w:pPr>
            <w:r w:rsidRPr="00DB7701">
              <w:t>12</w:t>
            </w:r>
          </w:p>
        </w:tc>
      </w:tr>
      <w:tr w:rsidR="005F6D8A" w:rsidRPr="005F6D8A" w14:paraId="1059F1A1" w14:textId="77777777" w:rsidTr="00735AFD">
        <w:tc>
          <w:tcPr>
            <w:tcW w:w="5876" w:type="dxa"/>
            <w:shd w:val="clear" w:color="auto" w:fill="auto"/>
            <w:noWrap/>
            <w:vAlign w:val="bottom"/>
          </w:tcPr>
          <w:p w14:paraId="46D978BF" w14:textId="77777777" w:rsidR="00671D77" w:rsidRPr="00DB7701" w:rsidRDefault="00671D77" w:rsidP="00671D77">
            <w:pPr>
              <w:pStyle w:val="Tabletext"/>
              <w:rPr>
                <w:szCs w:val="20"/>
              </w:rPr>
            </w:pPr>
            <w:r w:rsidRPr="00DB7701">
              <w:rPr>
                <w:szCs w:val="20"/>
              </w:rPr>
              <w:t>Cost of early close out of debt</w:t>
            </w:r>
          </w:p>
        </w:tc>
        <w:tc>
          <w:tcPr>
            <w:tcW w:w="1172" w:type="dxa"/>
            <w:shd w:val="clear" w:color="auto" w:fill="auto"/>
            <w:noWrap/>
            <w:vAlign w:val="bottom"/>
          </w:tcPr>
          <w:p w14:paraId="1FFA0A09" w14:textId="77777777" w:rsidR="00671D77" w:rsidRPr="00DB7701" w:rsidRDefault="00671D77" w:rsidP="00671D77">
            <w:pPr>
              <w:pStyle w:val="TableFigures"/>
              <w:ind w:right="0"/>
              <w:rPr>
                <w:szCs w:val="20"/>
              </w:rPr>
            </w:pPr>
          </w:p>
        </w:tc>
        <w:tc>
          <w:tcPr>
            <w:tcW w:w="1263" w:type="dxa"/>
            <w:shd w:val="clear" w:color="auto" w:fill="auto"/>
            <w:noWrap/>
            <w:vAlign w:val="bottom"/>
          </w:tcPr>
          <w:p w14:paraId="565FBC28" w14:textId="77777777" w:rsidR="00671D77" w:rsidRPr="0068185D" w:rsidRDefault="00671D77" w:rsidP="00671D77">
            <w:pPr>
              <w:pStyle w:val="TableFiguresBracketsBold"/>
            </w:pPr>
          </w:p>
        </w:tc>
        <w:tc>
          <w:tcPr>
            <w:tcW w:w="1263" w:type="dxa"/>
            <w:shd w:val="clear" w:color="auto" w:fill="auto"/>
            <w:noWrap/>
          </w:tcPr>
          <w:p w14:paraId="31C22FE9" w14:textId="06D67F83" w:rsidR="00671D77" w:rsidRPr="00DB7701" w:rsidRDefault="00DB7701" w:rsidP="0068185D">
            <w:pPr>
              <w:pStyle w:val="TableFiguresBold0"/>
            </w:pPr>
            <w:r w:rsidRPr="00DB7701">
              <w:t>–</w:t>
            </w:r>
          </w:p>
        </w:tc>
        <w:tc>
          <w:tcPr>
            <w:tcW w:w="1263" w:type="dxa"/>
            <w:noWrap/>
            <w:vAlign w:val="bottom"/>
          </w:tcPr>
          <w:p w14:paraId="01B4CE46" w14:textId="41AAB953" w:rsidR="00671D77" w:rsidRPr="00DB7701" w:rsidRDefault="00DB7701" w:rsidP="00671D77">
            <w:pPr>
              <w:pStyle w:val="TableFiguresBrackets"/>
            </w:pPr>
            <w:r w:rsidRPr="00DB7701">
              <w:t>(11)</w:t>
            </w:r>
          </w:p>
        </w:tc>
      </w:tr>
      <w:tr w:rsidR="005F6D8A" w:rsidRPr="005F6D8A" w14:paraId="36E5B936" w14:textId="77777777" w:rsidTr="00735AFD">
        <w:tc>
          <w:tcPr>
            <w:tcW w:w="5876" w:type="dxa"/>
            <w:tcBorders>
              <w:bottom w:val="single" w:sz="4" w:space="0" w:color="A6A6A6" w:themeColor="background1" w:themeShade="A6"/>
            </w:tcBorders>
            <w:shd w:val="clear" w:color="auto" w:fill="auto"/>
            <w:noWrap/>
            <w:vAlign w:val="bottom"/>
          </w:tcPr>
          <w:p w14:paraId="659768AF" w14:textId="77777777" w:rsidR="00671D77" w:rsidRPr="00DB7701" w:rsidRDefault="00671D77" w:rsidP="00671D77">
            <w:pPr>
              <w:pStyle w:val="Tabletext"/>
              <w:rPr>
                <w:szCs w:val="20"/>
              </w:rPr>
            </w:pPr>
            <w:r w:rsidRPr="00DB7701">
              <w:rPr>
                <w:szCs w:val="20"/>
              </w:rPr>
              <w:t>Tax paid</w:t>
            </w:r>
          </w:p>
        </w:tc>
        <w:tc>
          <w:tcPr>
            <w:tcW w:w="1172" w:type="dxa"/>
            <w:tcBorders>
              <w:bottom w:val="single" w:sz="4" w:space="0" w:color="A6A6A6" w:themeColor="background1" w:themeShade="A6"/>
            </w:tcBorders>
            <w:shd w:val="clear" w:color="auto" w:fill="auto"/>
            <w:noWrap/>
            <w:vAlign w:val="bottom"/>
          </w:tcPr>
          <w:p w14:paraId="7C97DF15" w14:textId="77777777" w:rsidR="00671D77" w:rsidRPr="00DB7701" w:rsidRDefault="00671D77" w:rsidP="00671D77">
            <w:pPr>
              <w:pStyle w:val="TableFigures"/>
              <w:ind w:right="0"/>
              <w:rPr>
                <w:szCs w:val="20"/>
              </w:rPr>
            </w:pPr>
          </w:p>
        </w:tc>
        <w:tc>
          <w:tcPr>
            <w:tcW w:w="1263" w:type="dxa"/>
            <w:tcBorders>
              <w:bottom w:val="single" w:sz="4" w:space="0" w:color="A6A6A6" w:themeColor="background1" w:themeShade="A6"/>
            </w:tcBorders>
            <w:shd w:val="clear" w:color="auto" w:fill="auto"/>
            <w:noWrap/>
            <w:vAlign w:val="bottom"/>
          </w:tcPr>
          <w:p w14:paraId="69561CD7" w14:textId="77777777" w:rsidR="00671D77" w:rsidRPr="0068185D" w:rsidRDefault="00671D77" w:rsidP="00671D77">
            <w:pPr>
              <w:pStyle w:val="TableFiguresBracketsBold"/>
            </w:pPr>
          </w:p>
        </w:tc>
        <w:tc>
          <w:tcPr>
            <w:tcW w:w="1263" w:type="dxa"/>
            <w:tcBorders>
              <w:bottom w:val="single" w:sz="4" w:space="0" w:color="A6A6A6" w:themeColor="background1" w:themeShade="A6"/>
            </w:tcBorders>
            <w:shd w:val="clear" w:color="auto" w:fill="auto"/>
            <w:noWrap/>
          </w:tcPr>
          <w:p w14:paraId="279D59D2" w14:textId="35B7EA15" w:rsidR="00671D77" w:rsidRPr="00DB7701" w:rsidRDefault="00671D77" w:rsidP="001E0CE9">
            <w:pPr>
              <w:pStyle w:val="TableFiguresBracketsBold"/>
            </w:pPr>
            <w:r w:rsidRPr="00DB7701">
              <w:t>(</w:t>
            </w:r>
            <w:r w:rsidR="00DB7701" w:rsidRPr="00DB7701">
              <w:t>17</w:t>
            </w:r>
            <w:r w:rsidRPr="00DB7701">
              <w:t>)</w:t>
            </w:r>
          </w:p>
        </w:tc>
        <w:tc>
          <w:tcPr>
            <w:tcW w:w="1263" w:type="dxa"/>
            <w:tcBorders>
              <w:bottom w:val="single" w:sz="4" w:space="0" w:color="A6A6A6" w:themeColor="background1" w:themeShade="A6"/>
            </w:tcBorders>
            <w:noWrap/>
            <w:vAlign w:val="bottom"/>
          </w:tcPr>
          <w:p w14:paraId="5A8B8E7A" w14:textId="6E90BDA0" w:rsidR="00671D77" w:rsidRPr="00DB7701" w:rsidRDefault="00671D77" w:rsidP="00671D77">
            <w:pPr>
              <w:pStyle w:val="TableFiguresBrackets"/>
            </w:pPr>
            <w:r w:rsidRPr="00DB7701">
              <w:t>(</w:t>
            </w:r>
            <w:r w:rsidR="00DB7701" w:rsidRPr="00DB7701">
              <w:t>5</w:t>
            </w:r>
            <w:r w:rsidRPr="00DB7701">
              <w:t>)</w:t>
            </w:r>
          </w:p>
        </w:tc>
      </w:tr>
      <w:tr w:rsidR="005F6D8A" w:rsidRPr="005F6D8A" w14:paraId="4252D669" w14:textId="77777777" w:rsidTr="00735AFD">
        <w:tc>
          <w:tcPr>
            <w:tcW w:w="5876" w:type="dxa"/>
            <w:tcBorders>
              <w:top w:val="single" w:sz="4" w:space="0" w:color="A6A6A6" w:themeColor="background1" w:themeShade="A6"/>
              <w:bottom w:val="single" w:sz="4" w:space="0" w:color="A6A6A6" w:themeColor="background1" w:themeShade="A6"/>
            </w:tcBorders>
            <w:shd w:val="clear" w:color="auto" w:fill="auto"/>
            <w:noWrap/>
            <w:vAlign w:val="bottom"/>
          </w:tcPr>
          <w:p w14:paraId="25FF0CC2" w14:textId="6ED6F30D" w:rsidR="00671D77" w:rsidRPr="00DB7701" w:rsidRDefault="00671D77" w:rsidP="00671D77">
            <w:pPr>
              <w:pStyle w:val="TabletextBold"/>
              <w:rPr>
                <w:szCs w:val="20"/>
              </w:rPr>
            </w:pPr>
            <w:r w:rsidRPr="00DB7701">
              <w:rPr>
                <w:szCs w:val="20"/>
              </w:rPr>
              <w:t>Net cash received from operating activities</w:t>
            </w:r>
          </w:p>
        </w:tc>
        <w:tc>
          <w:tcPr>
            <w:tcW w:w="1172" w:type="dxa"/>
            <w:tcBorders>
              <w:top w:val="single" w:sz="4" w:space="0" w:color="A6A6A6" w:themeColor="background1" w:themeShade="A6"/>
              <w:bottom w:val="single" w:sz="4" w:space="0" w:color="A6A6A6" w:themeColor="background1" w:themeShade="A6"/>
            </w:tcBorders>
            <w:shd w:val="clear" w:color="auto" w:fill="auto"/>
            <w:noWrap/>
            <w:vAlign w:val="bottom"/>
          </w:tcPr>
          <w:p w14:paraId="44993489" w14:textId="77777777" w:rsidR="00671D77" w:rsidRPr="00DB7701" w:rsidRDefault="00671D77" w:rsidP="00671D77">
            <w:pPr>
              <w:pStyle w:val="TableFigures"/>
              <w:ind w:right="0"/>
              <w:rPr>
                <w:szCs w:val="20"/>
              </w:rPr>
            </w:pPr>
          </w:p>
        </w:tc>
        <w:tc>
          <w:tcPr>
            <w:tcW w:w="1263" w:type="dxa"/>
            <w:tcBorders>
              <w:top w:val="single" w:sz="4" w:space="0" w:color="A6A6A6" w:themeColor="background1" w:themeShade="A6"/>
              <w:bottom w:val="single" w:sz="4" w:space="0" w:color="A6A6A6" w:themeColor="background1" w:themeShade="A6"/>
            </w:tcBorders>
            <w:shd w:val="clear" w:color="auto" w:fill="auto"/>
            <w:noWrap/>
            <w:vAlign w:val="bottom"/>
          </w:tcPr>
          <w:p w14:paraId="44813F3D" w14:textId="77777777" w:rsidR="00671D77" w:rsidRPr="0068185D" w:rsidRDefault="00671D77" w:rsidP="00671D77">
            <w:pPr>
              <w:pStyle w:val="TableFiguresBold0"/>
            </w:pPr>
          </w:p>
        </w:tc>
        <w:tc>
          <w:tcPr>
            <w:tcW w:w="1263" w:type="dxa"/>
            <w:tcBorders>
              <w:top w:val="single" w:sz="4" w:space="0" w:color="A6A6A6" w:themeColor="background1" w:themeShade="A6"/>
              <w:bottom w:val="single" w:sz="4" w:space="0" w:color="A6A6A6" w:themeColor="background1" w:themeShade="A6"/>
            </w:tcBorders>
            <w:shd w:val="clear" w:color="auto" w:fill="auto"/>
            <w:noWrap/>
          </w:tcPr>
          <w:p w14:paraId="2D63EE56" w14:textId="5AA92370" w:rsidR="00671D77" w:rsidRPr="00DB7701" w:rsidRDefault="00DB7701" w:rsidP="001E0CE9">
            <w:pPr>
              <w:pStyle w:val="TableFiguresBold0"/>
            </w:pPr>
            <w:r w:rsidRPr="00DB7701">
              <w:t>311</w:t>
            </w:r>
          </w:p>
        </w:tc>
        <w:tc>
          <w:tcPr>
            <w:tcW w:w="1263" w:type="dxa"/>
            <w:tcBorders>
              <w:top w:val="single" w:sz="4" w:space="0" w:color="A6A6A6" w:themeColor="background1" w:themeShade="A6"/>
              <w:bottom w:val="single" w:sz="4" w:space="0" w:color="A6A6A6" w:themeColor="background1" w:themeShade="A6"/>
            </w:tcBorders>
            <w:noWrap/>
            <w:vAlign w:val="bottom"/>
          </w:tcPr>
          <w:p w14:paraId="6DBB37A6" w14:textId="267D60AD" w:rsidR="00671D77" w:rsidRPr="00DB7701" w:rsidRDefault="00DB7701" w:rsidP="00671D77">
            <w:pPr>
              <w:pStyle w:val="TableFigures"/>
            </w:pPr>
            <w:r w:rsidRPr="00DB7701">
              <w:t>199</w:t>
            </w:r>
          </w:p>
        </w:tc>
      </w:tr>
      <w:tr w:rsidR="005F6D8A" w:rsidRPr="005F6D8A" w14:paraId="384FB07E" w14:textId="77777777" w:rsidTr="00735AFD">
        <w:tc>
          <w:tcPr>
            <w:tcW w:w="5876" w:type="dxa"/>
            <w:tcBorders>
              <w:top w:val="single" w:sz="4" w:space="0" w:color="A6A6A6" w:themeColor="background1" w:themeShade="A6"/>
            </w:tcBorders>
            <w:shd w:val="clear" w:color="auto" w:fill="auto"/>
            <w:noWrap/>
            <w:vAlign w:val="bottom"/>
          </w:tcPr>
          <w:p w14:paraId="7EF864C4" w14:textId="77777777" w:rsidR="00671D77" w:rsidRPr="00DB7701" w:rsidRDefault="00671D77" w:rsidP="00671D77">
            <w:pPr>
              <w:pStyle w:val="Tabletext"/>
              <w:rPr>
                <w:szCs w:val="20"/>
              </w:rPr>
            </w:pPr>
          </w:p>
        </w:tc>
        <w:tc>
          <w:tcPr>
            <w:tcW w:w="1172" w:type="dxa"/>
            <w:tcBorders>
              <w:top w:val="single" w:sz="4" w:space="0" w:color="A6A6A6" w:themeColor="background1" w:themeShade="A6"/>
            </w:tcBorders>
            <w:shd w:val="clear" w:color="auto" w:fill="auto"/>
            <w:noWrap/>
            <w:vAlign w:val="bottom"/>
          </w:tcPr>
          <w:p w14:paraId="1A3E9F41" w14:textId="77777777" w:rsidR="00671D77" w:rsidRPr="00DB7701" w:rsidRDefault="00671D77" w:rsidP="00671D77">
            <w:pPr>
              <w:pStyle w:val="TableFigures"/>
              <w:ind w:right="0"/>
              <w:rPr>
                <w:szCs w:val="20"/>
              </w:rPr>
            </w:pPr>
          </w:p>
        </w:tc>
        <w:tc>
          <w:tcPr>
            <w:tcW w:w="1263" w:type="dxa"/>
            <w:tcBorders>
              <w:top w:val="single" w:sz="4" w:space="0" w:color="A6A6A6" w:themeColor="background1" w:themeShade="A6"/>
            </w:tcBorders>
            <w:shd w:val="clear" w:color="auto" w:fill="auto"/>
            <w:noWrap/>
            <w:vAlign w:val="bottom"/>
          </w:tcPr>
          <w:p w14:paraId="6F703164" w14:textId="77777777" w:rsidR="00671D77" w:rsidRPr="0068185D" w:rsidRDefault="00671D77" w:rsidP="00671D77">
            <w:pPr>
              <w:pStyle w:val="TableFiguresBold0"/>
              <w:rPr>
                <w:b w:val="0"/>
              </w:rPr>
            </w:pPr>
          </w:p>
        </w:tc>
        <w:tc>
          <w:tcPr>
            <w:tcW w:w="1263" w:type="dxa"/>
            <w:tcBorders>
              <w:top w:val="single" w:sz="4" w:space="0" w:color="A6A6A6" w:themeColor="background1" w:themeShade="A6"/>
            </w:tcBorders>
            <w:shd w:val="clear" w:color="auto" w:fill="auto"/>
            <w:noWrap/>
          </w:tcPr>
          <w:p w14:paraId="3E23ACAF" w14:textId="77777777" w:rsidR="00671D77" w:rsidRPr="00DB7701" w:rsidRDefault="00671D77" w:rsidP="00671D77">
            <w:pPr>
              <w:pStyle w:val="TableFigures"/>
              <w:rPr>
                <w:b/>
                <w:bCs/>
              </w:rPr>
            </w:pPr>
          </w:p>
        </w:tc>
        <w:tc>
          <w:tcPr>
            <w:tcW w:w="1263" w:type="dxa"/>
            <w:tcBorders>
              <w:top w:val="single" w:sz="4" w:space="0" w:color="A6A6A6" w:themeColor="background1" w:themeShade="A6"/>
            </w:tcBorders>
            <w:shd w:val="clear" w:color="auto" w:fill="auto"/>
            <w:noWrap/>
            <w:vAlign w:val="bottom"/>
          </w:tcPr>
          <w:p w14:paraId="79A48A04" w14:textId="77777777" w:rsidR="00671D77" w:rsidRPr="00DB7701" w:rsidRDefault="00671D77" w:rsidP="00671D77">
            <w:pPr>
              <w:pStyle w:val="TableFigures"/>
            </w:pPr>
          </w:p>
        </w:tc>
      </w:tr>
      <w:tr w:rsidR="005F6D8A" w:rsidRPr="005F6D8A" w14:paraId="40158A73" w14:textId="77777777" w:rsidTr="00735AFD">
        <w:tc>
          <w:tcPr>
            <w:tcW w:w="5876" w:type="dxa"/>
            <w:shd w:val="clear" w:color="auto" w:fill="auto"/>
            <w:noWrap/>
            <w:vAlign w:val="bottom"/>
          </w:tcPr>
          <w:p w14:paraId="6432A11F" w14:textId="77777777" w:rsidR="00671D77" w:rsidRPr="00DB7701" w:rsidRDefault="00671D77" w:rsidP="00671D77">
            <w:pPr>
              <w:pStyle w:val="TabletextBold"/>
              <w:rPr>
                <w:szCs w:val="20"/>
              </w:rPr>
            </w:pPr>
            <w:r w:rsidRPr="00DB7701">
              <w:rPr>
                <w:szCs w:val="20"/>
              </w:rPr>
              <w:t>Cash flows from investing activities</w:t>
            </w:r>
          </w:p>
        </w:tc>
        <w:tc>
          <w:tcPr>
            <w:tcW w:w="1172" w:type="dxa"/>
            <w:shd w:val="clear" w:color="auto" w:fill="auto"/>
            <w:noWrap/>
            <w:vAlign w:val="bottom"/>
          </w:tcPr>
          <w:p w14:paraId="055C09D1" w14:textId="77777777" w:rsidR="00671D77" w:rsidRPr="00DB7701" w:rsidRDefault="00671D77" w:rsidP="00671D77">
            <w:pPr>
              <w:pStyle w:val="TableFigures"/>
              <w:ind w:right="0"/>
              <w:rPr>
                <w:szCs w:val="20"/>
              </w:rPr>
            </w:pPr>
          </w:p>
        </w:tc>
        <w:tc>
          <w:tcPr>
            <w:tcW w:w="1263" w:type="dxa"/>
            <w:shd w:val="clear" w:color="auto" w:fill="auto"/>
            <w:noWrap/>
            <w:vAlign w:val="bottom"/>
          </w:tcPr>
          <w:p w14:paraId="36F14B74" w14:textId="77777777" w:rsidR="00671D77" w:rsidRPr="0068185D" w:rsidRDefault="00671D77" w:rsidP="00671D77">
            <w:pPr>
              <w:pStyle w:val="TableFiguresBold0"/>
              <w:rPr>
                <w:b w:val="0"/>
              </w:rPr>
            </w:pPr>
          </w:p>
        </w:tc>
        <w:tc>
          <w:tcPr>
            <w:tcW w:w="1263" w:type="dxa"/>
            <w:shd w:val="clear" w:color="auto" w:fill="auto"/>
            <w:noWrap/>
          </w:tcPr>
          <w:p w14:paraId="61E86147" w14:textId="78655313" w:rsidR="00671D77" w:rsidRPr="00DB7701" w:rsidRDefault="00671D77" w:rsidP="00671D77">
            <w:pPr>
              <w:pStyle w:val="TableFigures"/>
              <w:rPr>
                <w:b/>
                <w:bCs/>
              </w:rPr>
            </w:pPr>
          </w:p>
        </w:tc>
        <w:tc>
          <w:tcPr>
            <w:tcW w:w="1263" w:type="dxa"/>
            <w:shd w:val="clear" w:color="auto" w:fill="auto"/>
            <w:noWrap/>
            <w:vAlign w:val="bottom"/>
          </w:tcPr>
          <w:p w14:paraId="2AE8CD37" w14:textId="77777777" w:rsidR="00671D77" w:rsidRPr="00DB7701" w:rsidRDefault="00671D77" w:rsidP="00671D77">
            <w:pPr>
              <w:pStyle w:val="TableFigures"/>
            </w:pPr>
          </w:p>
        </w:tc>
      </w:tr>
      <w:tr w:rsidR="005F6D8A" w:rsidRPr="005F6D8A" w14:paraId="2ACEFFA0" w14:textId="77777777" w:rsidTr="00735AFD">
        <w:tc>
          <w:tcPr>
            <w:tcW w:w="5876" w:type="dxa"/>
            <w:shd w:val="clear" w:color="auto" w:fill="auto"/>
            <w:noWrap/>
            <w:vAlign w:val="bottom"/>
          </w:tcPr>
          <w:p w14:paraId="156D44F5" w14:textId="31BEA92C" w:rsidR="00671D77" w:rsidRPr="00F4144D" w:rsidRDefault="00671D77" w:rsidP="00671D77">
            <w:pPr>
              <w:pStyle w:val="Tabletext"/>
              <w:rPr>
                <w:szCs w:val="20"/>
              </w:rPr>
            </w:pPr>
            <w:r w:rsidRPr="00F4144D">
              <w:rPr>
                <w:szCs w:val="20"/>
              </w:rPr>
              <w:t>Purchase and development of investment properties</w:t>
            </w:r>
            <w:r w:rsidRPr="00F4144D">
              <w:rPr>
                <w:szCs w:val="20"/>
                <w:vertAlign w:val="superscript"/>
              </w:rPr>
              <w:t>1</w:t>
            </w:r>
          </w:p>
        </w:tc>
        <w:tc>
          <w:tcPr>
            <w:tcW w:w="1172" w:type="dxa"/>
            <w:shd w:val="clear" w:color="auto" w:fill="auto"/>
            <w:noWrap/>
            <w:vAlign w:val="bottom"/>
          </w:tcPr>
          <w:p w14:paraId="1BFB230E" w14:textId="77777777" w:rsidR="00671D77" w:rsidRPr="00F4144D" w:rsidRDefault="00671D77" w:rsidP="00671D77">
            <w:pPr>
              <w:pStyle w:val="TableFigures"/>
              <w:ind w:right="0"/>
              <w:rPr>
                <w:szCs w:val="20"/>
              </w:rPr>
            </w:pPr>
          </w:p>
        </w:tc>
        <w:tc>
          <w:tcPr>
            <w:tcW w:w="1263" w:type="dxa"/>
            <w:shd w:val="clear" w:color="auto" w:fill="auto"/>
            <w:noWrap/>
            <w:vAlign w:val="bottom"/>
          </w:tcPr>
          <w:p w14:paraId="0C7C7E78" w14:textId="77777777" w:rsidR="00671D77" w:rsidRPr="0068185D" w:rsidRDefault="00671D77" w:rsidP="00671D77">
            <w:pPr>
              <w:pStyle w:val="TableFiguresBracketsBold"/>
            </w:pPr>
          </w:p>
        </w:tc>
        <w:tc>
          <w:tcPr>
            <w:tcW w:w="1263" w:type="dxa"/>
            <w:shd w:val="clear" w:color="auto" w:fill="auto"/>
            <w:noWrap/>
          </w:tcPr>
          <w:p w14:paraId="1F0C85C8" w14:textId="4D8D52FC" w:rsidR="00671D77" w:rsidRPr="00F4144D" w:rsidRDefault="00671D77" w:rsidP="001E0CE9">
            <w:pPr>
              <w:pStyle w:val="TableFiguresBracketsBold"/>
            </w:pPr>
            <w:r w:rsidRPr="00F4144D">
              <w:t>(1,</w:t>
            </w:r>
            <w:r w:rsidR="00F4144D" w:rsidRPr="00F4144D">
              <w:t>706</w:t>
            </w:r>
            <w:r w:rsidRPr="00F4144D">
              <w:t>)</w:t>
            </w:r>
          </w:p>
        </w:tc>
        <w:tc>
          <w:tcPr>
            <w:tcW w:w="1263" w:type="dxa"/>
            <w:noWrap/>
            <w:vAlign w:val="bottom"/>
          </w:tcPr>
          <w:p w14:paraId="3E75085F" w14:textId="3AEB6A66" w:rsidR="00671D77" w:rsidRPr="00F4144D" w:rsidRDefault="00671D77" w:rsidP="00671D77">
            <w:pPr>
              <w:pStyle w:val="TableFiguresBrackets"/>
            </w:pPr>
            <w:r w:rsidRPr="00F4144D">
              <w:t>(</w:t>
            </w:r>
            <w:r w:rsidR="00F4144D" w:rsidRPr="00F4144D">
              <w:t>1,216</w:t>
            </w:r>
            <w:r w:rsidRPr="00F4144D">
              <w:t>)</w:t>
            </w:r>
          </w:p>
        </w:tc>
      </w:tr>
      <w:tr w:rsidR="005F6D8A" w:rsidRPr="005F6D8A" w14:paraId="1DA5FFA3" w14:textId="77777777" w:rsidTr="00735AFD">
        <w:tc>
          <w:tcPr>
            <w:tcW w:w="5876" w:type="dxa"/>
            <w:shd w:val="clear" w:color="auto" w:fill="auto"/>
            <w:noWrap/>
            <w:vAlign w:val="bottom"/>
          </w:tcPr>
          <w:p w14:paraId="50734C7B" w14:textId="77777777" w:rsidR="00671D77" w:rsidRPr="00F4144D" w:rsidRDefault="00671D77" w:rsidP="00671D77">
            <w:pPr>
              <w:pStyle w:val="Tabletext"/>
              <w:rPr>
                <w:szCs w:val="20"/>
              </w:rPr>
            </w:pPr>
            <w:r w:rsidRPr="00F4144D">
              <w:rPr>
                <w:szCs w:val="20"/>
              </w:rPr>
              <w:t>Sale of investment properties</w:t>
            </w:r>
          </w:p>
        </w:tc>
        <w:tc>
          <w:tcPr>
            <w:tcW w:w="1172" w:type="dxa"/>
            <w:shd w:val="clear" w:color="auto" w:fill="auto"/>
            <w:noWrap/>
            <w:vAlign w:val="bottom"/>
          </w:tcPr>
          <w:p w14:paraId="7249ED96" w14:textId="77777777" w:rsidR="00671D77" w:rsidRPr="00F4144D" w:rsidRDefault="00671D77" w:rsidP="00671D77">
            <w:pPr>
              <w:pStyle w:val="TableFigures"/>
              <w:ind w:right="0"/>
              <w:rPr>
                <w:szCs w:val="20"/>
              </w:rPr>
            </w:pPr>
          </w:p>
        </w:tc>
        <w:tc>
          <w:tcPr>
            <w:tcW w:w="1263" w:type="dxa"/>
            <w:shd w:val="clear" w:color="auto" w:fill="auto"/>
            <w:noWrap/>
            <w:vAlign w:val="bottom"/>
          </w:tcPr>
          <w:p w14:paraId="192C8AB5" w14:textId="77777777" w:rsidR="00671D77" w:rsidRPr="0068185D" w:rsidRDefault="00671D77" w:rsidP="00671D77">
            <w:pPr>
              <w:pStyle w:val="TableFiguresBold0"/>
            </w:pPr>
          </w:p>
        </w:tc>
        <w:tc>
          <w:tcPr>
            <w:tcW w:w="1263" w:type="dxa"/>
            <w:shd w:val="clear" w:color="auto" w:fill="auto"/>
            <w:noWrap/>
          </w:tcPr>
          <w:p w14:paraId="5CD1F4EE" w14:textId="035885A9" w:rsidR="00671D77" w:rsidRPr="00F4144D" w:rsidRDefault="00F4144D" w:rsidP="001E0CE9">
            <w:pPr>
              <w:pStyle w:val="TableFiguresBold0"/>
            </w:pPr>
            <w:r w:rsidRPr="00F4144D">
              <w:t>491</w:t>
            </w:r>
          </w:p>
        </w:tc>
        <w:tc>
          <w:tcPr>
            <w:tcW w:w="1263" w:type="dxa"/>
            <w:noWrap/>
            <w:vAlign w:val="bottom"/>
          </w:tcPr>
          <w:p w14:paraId="7DAE2A9F" w14:textId="232011A1" w:rsidR="00671D77" w:rsidRPr="00F4144D" w:rsidRDefault="00F4144D" w:rsidP="00671D77">
            <w:pPr>
              <w:pStyle w:val="TableFigures"/>
            </w:pPr>
            <w:r w:rsidRPr="00F4144D">
              <w:t>159</w:t>
            </w:r>
          </w:p>
        </w:tc>
      </w:tr>
      <w:tr w:rsidR="005F6D8A" w:rsidRPr="005F6D8A" w14:paraId="427B31FD" w14:textId="77777777" w:rsidTr="00735AFD">
        <w:tc>
          <w:tcPr>
            <w:tcW w:w="5876" w:type="dxa"/>
            <w:shd w:val="clear" w:color="auto" w:fill="auto"/>
            <w:noWrap/>
            <w:vAlign w:val="bottom"/>
          </w:tcPr>
          <w:p w14:paraId="044CDD05" w14:textId="77777777" w:rsidR="00671D77" w:rsidRPr="00F4144D" w:rsidRDefault="00671D77" w:rsidP="00671D77">
            <w:pPr>
              <w:pStyle w:val="Tabletext"/>
              <w:rPr>
                <w:szCs w:val="20"/>
              </w:rPr>
            </w:pPr>
            <w:r w:rsidRPr="00F4144D">
              <w:rPr>
                <w:szCs w:val="20"/>
              </w:rPr>
              <w:t>Acquisition of other interests in property</w:t>
            </w:r>
          </w:p>
        </w:tc>
        <w:tc>
          <w:tcPr>
            <w:tcW w:w="1172" w:type="dxa"/>
            <w:shd w:val="clear" w:color="auto" w:fill="auto"/>
            <w:noWrap/>
            <w:vAlign w:val="bottom"/>
          </w:tcPr>
          <w:p w14:paraId="13C7C343" w14:textId="77777777" w:rsidR="00671D77" w:rsidRPr="00F4144D" w:rsidRDefault="00671D77" w:rsidP="00671D77">
            <w:pPr>
              <w:pStyle w:val="TableFigures"/>
              <w:ind w:right="0"/>
              <w:rPr>
                <w:szCs w:val="20"/>
              </w:rPr>
            </w:pPr>
          </w:p>
        </w:tc>
        <w:tc>
          <w:tcPr>
            <w:tcW w:w="1263" w:type="dxa"/>
            <w:shd w:val="clear" w:color="auto" w:fill="auto"/>
            <w:noWrap/>
            <w:vAlign w:val="bottom"/>
          </w:tcPr>
          <w:p w14:paraId="719AAEE3" w14:textId="77777777" w:rsidR="00671D77" w:rsidRPr="0068185D" w:rsidRDefault="00671D77" w:rsidP="00671D77">
            <w:pPr>
              <w:pStyle w:val="TableFiguresBracketsBold"/>
            </w:pPr>
          </w:p>
        </w:tc>
        <w:tc>
          <w:tcPr>
            <w:tcW w:w="1263" w:type="dxa"/>
            <w:shd w:val="clear" w:color="auto" w:fill="auto"/>
            <w:noWrap/>
          </w:tcPr>
          <w:p w14:paraId="56343A97" w14:textId="5B1F6ABF" w:rsidR="00671D77" w:rsidRPr="00F4144D" w:rsidRDefault="00671D77" w:rsidP="001E0CE9">
            <w:pPr>
              <w:pStyle w:val="TableFiguresBracketsBold"/>
            </w:pPr>
            <w:r w:rsidRPr="00F4144D">
              <w:t>(</w:t>
            </w:r>
            <w:r w:rsidR="00F4144D" w:rsidRPr="00F4144D">
              <w:t>8</w:t>
            </w:r>
            <w:r w:rsidRPr="00F4144D">
              <w:t>)</w:t>
            </w:r>
          </w:p>
        </w:tc>
        <w:tc>
          <w:tcPr>
            <w:tcW w:w="1263" w:type="dxa"/>
            <w:noWrap/>
            <w:vAlign w:val="bottom"/>
          </w:tcPr>
          <w:p w14:paraId="2CB8A413" w14:textId="0944C84B" w:rsidR="00671D77" w:rsidRPr="00F4144D" w:rsidRDefault="00671D77" w:rsidP="00671D77">
            <w:pPr>
              <w:pStyle w:val="TableFiguresBrackets"/>
            </w:pPr>
            <w:r w:rsidRPr="00F4144D">
              <w:t>(</w:t>
            </w:r>
            <w:r w:rsidR="00F4144D" w:rsidRPr="00F4144D">
              <w:t>4</w:t>
            </w:r>
            <w:r w:rsidRPr="00F4144D">
              <w:t>)</w:t>
            </w:r>
          </w:p>
        </w:tc>
      </w:tr>
      <w:tr w:rsidR="005F6D8A" w:rsidRPr="005F6D8A" w14:paraId="4E996604" w14:textId="77777777" w:rsidTr="00735AFD">
        <w:tc>
          <w:tcPr>
            <w:tcW w:w="5876" w:type="dxa"/>
            <w:shd w:val="clear" w:color="auto" w:fill="auto"/>
            <w:noWrap/>
            <w:vAlign w:val="bottom"/>
          </w:tcPr>
          <w:p w14:paraId="0B397C86" w14:textId="77777777" w:rsidR="00671D77" w:rsidRPr="00F4144D" w:rsidRDefault="00671D77" w:rsidP="00671D77">
            <w:pPr>
              <w:pStyle w:val="Tabletext"/>
              <w:rPr>
                <w:szCs w:val="20"/>
              </w:rPr>
            </w:pPr>
            <w:r w:rsidRPr="00F4144D">
              <w:rPr>
                <w:szCs w:val="20"/>
              </w:rPr>
              <w:t>Purchase of plant and equipment and intangibles</w:t>
            </w:r>
          </w:p>
        </w:tc>
        <w:tc>
          <w:tcPr>
            <w:tcW w:w="1172" w:type="dxa"/>
            <w:shd w:val="clear" w:color="auto" w:fill="auto"/>
            <w:noWrap/>
            <w:vAlign w:val="bottom"/>
          </w:tcPr>
          <w:p w14:paraId="376ACA57" w14:textId="77777777" w:rsidR="00671D77" w:rsidRPr="00F4144D" w:rsidRDefault="00671D77" w:rsidP="00671D77">
            <w:pPr>
              <w:pStyle w:val="TableFigures"/>
              <w:ind w:right="0"/>
              <w:rPr>
                <w:szCs w:val="20"/>
              </w:rPr>
            </w:pPr>
          </w:p>
        </w:tc>
        <w:tc>
          <w:tcPr>
            <w:tcW w:w="1263" w:type="dxa"/>
            <w:shd w:val="clear" w:color="auto" w:fill="auto"/>
            <w:noWrap/>
            <w:vAlign w:val="bottom"/>
          </w:tcPr>
          <w:p w14:paraId="16E14526" w14:textId="77777777" w:rsidR="00671D77" w:rsidRPr="0068185D" w:rsidRDefault="00671D77" w:rsidP="00671D77">
            <w:pPr>
              <w:pStyle w:val="TableFiguresBracketsBold"/>
            </w:pPr>
          </w:p>
        </w:tc>
        <w:tc>
          <w:tcPr>
            <w:tcW w:w="1263" w:type="dxa"/>
            <w:shd w:val="clear" w:color="auto" w:fill="auto"/>
            <w:noWrap/>
          </w:tcPr>
          <w:p w14:paraId="5B26789A" w14:textId="0C78B8CD" w:rsidR="00671D77" w:rsidRPr="00F4144D" w:rsidRDefault="00671D77" w:rsidP="001E0CE9">
            <w:pPr>
              <w:pStyle w:val="TableFiguresBracketsBold"/>
            </w:pPr>
            <w:r w:rsidRPr="00F4144D">
              <w:t>(</w:t>
            </w:r>
            <w:r w:rsidR="00F4144D" w:rsidRPr="00F4144D">
              <w:t>7</w:t>
            </w:r>
            <w:r w:rsidRPr="00F4144D">
              <w:t>)</w:t>
            </w:r>
          </w:p>
        </w:tc>
        <w:tc>
          <w:tcPr>
            <w:tcW w:w="1263" w:type="dxa"/>
            <w:noWrap/>
            <w:vAlign w:val="bottom"/>
          </w:tcPr>
          <w:p w14:paraId="6DED95D1" w14:textId="1E15A1BF" w:rsidR="00671D77" w:rsidRPr="00F4144D" w:rsidRDefault="00671D77" w:rsidP="00671D77">
            <w:pPr>
              <w:pStyle w:val="TableFiguresBrackets"/>
            </w:pPr>
            <w:r w:rsidRPr="00F4144D">
              <w:t>(</w:t>
            </w:r>
            <w:r w:rsidR="00F4144D" w:rsidRPr="00F4144D">
              <w:t>5</w:t>
            </w:r>
            <w:r w:rsidRPr="00F4144D">
              <w:t>)</w:t>
            </w:r>
          </w:p>
        </w:tc>
      </w:tr>
      <w:tr w:rsidR="005F6D8A" w:rsidRPr="005F6D8A" w14:paraId="7431A59A" w14:textId="77777777" w:rsidTr="00735AFD">
        <w:tc>
          <w:tcPr>
            <w:tcW w:w="5876" w:type="dxa"/>
            <w:shd w:val="clear" w:color="auto" w:fill="auto"/>
            <w:noWrap/>
            <w:vAlign w:val="bottom"/>
          </w:tcPr>
          <w:p w14:paraId="6DEB814A" w14:textId="3B6B2A16" w:rsidR="00671D77" w:rsidRPr="00F4144D" w:rsidRDefault="00671D77" w:rsidP="00671D77">
            <w:pPr>
              <w:pStyle w:val="Tabletext"/>
              <w:rPr>
                <w:szCs w:val="20"/>
              </w:rPr>
            </w:pPr>
            <w:r w:rsidRPr="00F4144D">
              <w:rPr>
                <w:szCs w:val="20"/>
              </w:rPr>
              <w:t>Acquisition of other investments</w:t>
            </w:r>
          </w:p>
        </w:tc>
        <w:tc>
          <w:tcPr>
            <w:tcW w:w="1172" w:type="dxa"/>
            <w:shd w:val="clear" w:color="auto" w:fill="auto"/>
            <w:noWrap/>
            <w:vAlign w:val="bottom"/>
          </w:tcPr>
          <w:p w14:paraId="7ECBEBEA" w14:textId="77777777" w:rsidR="00671D77" w:rsidRPr="00F4144D" w:rsidRDefault="00671D77" w:rsidP="00671D77">
            <w:pPr>
              <w:pStyle w:val="TableFigures"/>
              <w:ind w:right="0"/>
              <w:rPr>
                <w:szCs w:val="20"/>
              </w:rPr>
            </w:pPr>
          </w:p>
        </w:tc>
        <w:tc>
          <w:tcPr>
            <w:tcW w:w="1263" w:type="dxa"/>
            <w:shd w:val="clear" w:color="auto" w:fill="auto"/>
            <w:noWrap/>
            <w:vAlign w:val="bottom"/>
          </w:tcPr>
          <w:p w14:paraId="70266FE8" w14:textId="77777777" w:rsidR="00671D77" w:rsidRPr="0068185D" w:rsidRDefault="00671D77" w:rsidP="00671D77">
            <w:pPr>
              <w:pStyle w:val="TableFiguresBold0"/>
            </w:pPr>
          </w:p>
        </w:tc>
        <w:tc>
          <w:tcPr>
            <w:tcW w:w="1263" w:type="dxa"/>
            <w:shd w:val="clear" w:color="auto" w:fill="auto"/>
            <w:noWrap/>
          </w:tcPr>
          <w:p w14:paraId="0DA019E2" w14:textId="7C1E4731" w:rsidR="00671D77" w:rsidRPr="00F4144D" w:rsidRDefault="00671D77" w:rsidP="001E0CE9">
            <w:pPr>
              <w:pStyle w:val="TableFiguresBracketsBold"/>
            </w:pPr>
            <w:r w:rsidRPr="00F4144D">
              <w:t>(</w:t>
            </w:r>
            <w:r w:rsidR="00F4144D" w:rsidRPr="00F4144D">
              <w:t>4</w:t>
            </w:r>
            <w:r w:rsidRPr="00F4144D">
              <w:t>)</w:t>
            </w:r>
          </w:p>
        </w:tc>
        <w:tc>
          <w:tcPr>
            <w:tcW w:w="1263" w:type="dxa"/>
            <w:noWrap/>
            <w:vAlign w:val="bottom"/>
          </w:tcPr>
          <w:p w14:paraId="520DBDA8" w14:textId="3A8CD352" w:rsidR="00671D77" w:rsidRPr="00F4144D" w:rsidRDefault="00F4144D" w:rsidP="0068185D">
            <w:pPr>
              <w:pStyle w:val="TableFigures"/>
            </w:pPr>
            <w:r w:rsidRPr="00F4144D">
              <w:t>–</w:t>
            </w:r>
          </w:p>
        </w:tc>
      </w:tr>
      <w:tr w:rsidR="005F6D8A" w:rsidRPr="005F6D8A" w14:paraId="1EF3673C" w14:textId="77777777" w:rsidTr="00735AFD">
        <w:tc>
          <w:tcPr>
            <w:tcW w:w="5876" w:type="dxa"/>
            <w:shd w:val="clear" w:color="auto" w:fill="auto"/>
            <w:noWrap/>
            <w:vAlign w:val="bottom"/>
          </w:tcPr>
          <w:p w14:paraId="2FAB0167" w14:textId="12AE2E69" w:rsidR="00671D77" w:rsidRPr="00F4144D" w:rsidRDefault="00671D77" w:rsidP="00671D77">
            <w:pPr>
              <w:pStyle w:val="Tabletext"/>
              <w:rPr>
                <w:szCs w:val="20"/>
              </w:rPr>
            </w:pPr>
            <w:r w:rsidRPr="00F4144D">
              <w:rPr>
                <w:szCs w:val="20"/>
              </w:rPr>
              <w:t>Investment and loans to joint ventures</w:t>
            </w:r>
          </w:p>
        </w:tc>
        <w:tc>
          <w:tcPr>
            <w:tcW w:w="1172" w:type="dxa"/>
            <w:shd w:val="clear" w:color="auto" w:fill="auto"/>
            <w:noWrap/>
            <w:vAlign w:val="bottom"/>
          </w:tcPr>
          <w:p w14:paraId="4E619B04" w14:textId="77777777" w:rsidR="00671D77" w:rsidRPr="00F4144D" w:rsidRDefault="00671D77" w:rsidP="00671D77">
            <w:pPr>
              <w:pStyle w:val="TableFigures"/>
              <w:ind w:right="0"/>
              <w:rPr>
                <w:szCs w:val="20"/>
              </w:rPr>
            </w:pPr>
          </w:p>
        </w:tc>
        <w:tc>
          <w:tcPr>
            <w:tcW w:w="1263" w:type="dxa"/>
            <w:shd w:val="clear" w:color="auto" w:fill="auto"/>
            <w:noWrap/>
            <w:vAlign w:val="bottom"/>
          </w:tcPr>
          <w:p w14:paraId="1184D70D" w14:textId="77777777" w:rsidR="00671D77" w:rsidRPr="0068185D" w:rsidRDefault="00671D77" w:rsidP="00671D77">
            <w:pPr>
              <w:pStyle w:val="TableFiguresBracketsBold"/>
            </w:pPr>
          </w:p>
        </w:tc>
        <w:tc>
          <w:tcPr>
            <w:tcW w:w="1263" w:type="dxa"/>
            <w:shd w:val="clear" w:color="auto" w:fill="auto"/>
            <w:noWrap/>
          </w:tcPr>
          <w:p w14:paraId="303AC519" w14:textId="3BC0BD96" w:rsidR="00671D77" w:rsidRPr="00F4144D" w:rsidRDefault="00671D77" w:rsidP="001E0CE9">
            <w:pPr>
              <w:pStyle w:val="TableFiguresBracketsBold"/>
            </w:pPr>
            <w:r w:rsidRPr="00F4144D">
              <w:t>(</w:t>
            </w:r>
            <w:r w:rsidR="00F4144D" w:rsidRPr="00F4144D">
              <w:t>74</w:t>
            </w:r>
            <w:r w:rsidRPr="00F4144D">
              <w:t>)</w:t>
            </w:r>
          </w:p>
        </w:tc>
        <w:tc>
          <w:tcPr>
            <w:tcW w:w="1263" w:type="dxa"/>
            <w:noWrap/>
            <w:vAlign w:val="bottom"/>
          </w:tcPr>
          <w:p w14:paraId="59A80C79" w14:textId="23C930CA" w:rsidR="00671D77" w:rsidRPr="00F4144D" w:rsidRDefault="00671D77" w:rsidP="00671D77">
            <w:pPr>
              <w:pStyle w:val="TableFiguresBrackets"/>
            </w:pPr>
            <w:r w:rsidRPr="00F4144D">
              <w:t>(</w:t>
            </w:r>
            <w:r w:rsidR="00F4144D" w:rsidRPr="00F4144D">
              <w:t>40</w:t>
            </w:r>
            <w:r w:rsidRPr="00F4144D">
              <w:t>)</w:t>
            </w:r>
          </w:p>
        </w:tc>
      </w:tr>
      <w:tr w:rsidR="005F6D8A" w:rsidRPr="005F6D8A" w14:paraId="23E74B31" w14:textId="77777777" w:rsidTr="00735AFD">
        <w:tc>
          <w:tcPr>
            <w:tcW w:w="5876" w:type="dxa"/>
            <w:tcBorders>
              <w:bottom w:val="single" w:sz="4" w:space="0" w:color="A6A6A6" w:themeColor="background1" w:themeShade="A6"/>
            </w:tcBorders>
            <w:shd w:val="clear" w:color="auto" w:fill="auto"/>
            <w:noWrap/>
            <w:vAlign w:val="bottom"/>
          </w:tcPr>
          <w:p w14:paraId="7ACC2423" w14:textId="0608E1DC" w:rsidR="00671D77" w:rsidRPr="00F4144D" w:rsidRDefault="00671D77" w:rsidP="00671D77">
            <w:pPr>
              <w:pStyle w:val="Tabletext"/>
              <w:rPr>
                <w:szCs w:val="20"/>
              </w:rPr>
            </w:pPr>
            <w:r w:rsidRPr="00F4144D">
              <w:rPr>
                <w:szCs w:val="20"/>
              </w:rPr>
              <w:t>Divestment and repayment of loans from joint ventures</w:t>
            </w:r>
          </w:p>
        </w:tc>
        <w:tc>
          <w:tcPr>
            <w:tcW w:w="1172" w:type="dxa"/>
            <w:tcBorders>
              <w:bottom w:val="single" w:sz="4" w:space="0" w:color="A6A6A6" w:themeColor="background1" w:themeShade="A6"/>
            </w:tcBorders>
            <w:shd w:val="clear" w:color="auto" w:fill="auto"/>
            <w:noWrap/>
            <w:vAlign w:val="bottom"/>
          </w:tcPr>
          <w:p w14:paraId="04934D87" w14:textId="77777777" w:rsidR="00671D77" w:rsidRPr="00F4144D" w:rsidRDefault="00671D77" w:rsidP="00671D77">
            <w:pPr>
              <w:pStyle w:val="TableFigures"/>
              <w:ind w:right="0"/>
              <w:rPr>
                <w:szCs w:val="20"/>
              </w:rPr>
            </w:pPr>
          </w:p>
        </w:tc>
        <w:tc>
          <w:tcPr>
            <w:tcW w:w="1263" w:type="dxa"/>
            <w:tcBorders>
              <w:bottom w:val="single" w:sz="4" w:space="0" w:color="A6A6A6" w:themeColor="background1" w:themeShade="A6"/>
            </w:tcBorders>
            <w:shd w:val="clear" w:color="auto" w:fill="auto"/>
            <w:noWrap/>
            <w:vAlign w:val="bottom"/>
          </w:tcPr>
          <w:p w14:paraId="2211DC6E" w14:textId="77777777" w:rsidR="00671D77" w:rsidRPr="0068185D" w:rsidRDefault="00671D77" w:rsidP="00671D77">
            <w:pPr>
              <w:pStyle w:val="TableFiguresBracketsBold"/>
            </w:pPr>
          </w:p>
        </w:tc>
        <w:tc>
          <w:tcPr>
            <w:tcW w:w="1263" w:type="dxa"/>
            <w:tcBorders>
              <w:bottom w:val="single" w:sz="4" w:space="0" w:color="A6A6A6" w:themeColor="background1" w:themeShade="A6"/>
            </w:tcBorders>
            <w:shd w:val="clear" w:color="auto" w:fill="auto"/>
            <w:noWrap/>
          </w:tcPr>
          <w:p w14:paraId="22423E21" w14:textId="68589253" w:rsidR="00671D77" w:rsidRPr="00F4144D" w:rsidRDefault="00F4144D" w:rsidP="001E0CE9">
            <w:pPr>
              <w:pStyle w:val="TableFiguresBold0"/>
            </w:pPr>
            <w:r w:rsidRPr="00F4144D">
              <w:t>35</w:t>
            </w:r>
          </w:p>
        </w:tc>
        <w:tc>
          <w:tcPr>
            <w:tcW w:w="1263" w:type="dxa"/>
            <w:tcBorders>
              <w:bottom w:val="single" w:sz="4" w:space="0" w:color="A6A6A6" w:themeColor="background1" w:themeShade="A6"/>
            </w:tcBorders>
            <w:noWrap/>
            <w:vAlign w:val="bottom"/>
          </w:tcPr>
          <w:p w14:paraId="62564D7B" w14:textId="759B1147" w:rsidR="00671D77" w:rsidRPr="00F4144D" w:rsidRDefault="00F4144D" w:rsidP="00671D77">
            <w:pPr>
              <w:pStyle w:val="TableFigures"/>
            </w:pPr>
            <w:r w:rsidRPr="00F4144D">
              <w:t>–</w:t>
            </w:r>
          </w:p>
        </w:tc>
      </w:tr>
      <w:tr w:rsidR="005F6D8A" w:rsidRPr="005F6D8A" w14:paraId="7150C2A9" w14:textId="77777777" w:rsidTr="00735AFD">
        <w:tc>
          <w:tcPr>
            <w:tcW w:w="5876" w:type="dxa"/>
            <w:tcBorders>
              <w:top w:val="single" w:sz="4" w:space="0" w:color="A6A6A6" w:themeColor="background1" w:themeShade="A6"/>
              <w:bottom w:val="single" w:sz="4" w:space="0" w:color="A6A6A6" w:themeColor="background1" w:themeShade="A6"/>
            </w:tcBorders>
            <w:shd w:val="clear" w:color="auto" w:fill="auto"/>
            <w:noWrap/>
            <w:vAlign w:val="bottom"/>
          </w:tcPr>
          <w:p w14:paraId="7B3C52AA" w14:textId="77777777" w:rsidR="00671D77" w:rsidRPr="00F4144D" w:rsidRDefault="00671D77" w:rsidP="00671D77">
            <w:pPr>
              <w:pStyle w:val="TabletextBold"/>
              <w:rPr>
                <w:szCs w:val="20"/>
              </w:rPr>
            </w:pPr>
            <w:r w:rsidRPr="00F4144D">
              <w:rPr>
                <w:szCs w:val="20"/>
              </w:rPr>
              <w:t>Net cash used in investing activities</w:t>
            </w:r>
          </w:p>
        </w:tc>
        <w:tc>
          <w:tcPr>
            <w:tcW w:w="1172" w:type="dxa"/>
            <w:tcBorders>
              <w:top w:val="single" w:sz="4" w:space="0" w:color="A6A6A6" w:themeColor="background1" w:themeShade="A6"/>
              <w:bottom w:val="single" w:sz="4" w:space="0" w:color="A6A6A6" w:themeColor="background1" w:themeShade="A6"/>
            </w:tcBorders>
            <w:shd w:val="clear" w:color="auto" w:fill="auto"/>
            <w:noWrap/>
            <w:vAlign w:val="bottom"/>
          </w:tcPr>
          <w:p w14:paraId="543C48FB" w14:textId="77777777" w:rsidR="00671D77" w:rsidRPr="00F4144D" w:rsidRDefault="00671D77" w:rsidP="00671D77">
            <w:pPr>
              <w:pStyle w:val="TableFigures"/>
              <w:ind w:right="0"/>
              <w:rPr>
                <w:szCs w:val="20"/>
              </w:rPr>
            </w:pPr>
          </w:p>
        </w:tc>
        <w:tc>
          <w:tcPr>
            <w:tcW w:w="1263" w:type="dxa"/>
            <w:tcBorders>
              <w:top w:val="single" w:sz="4" w:space="0" w:color="A6A6A6" w:themeColor="background1" w:themeShade="A6"/>
              <w:bottom w:val="single" w:sz="4" w:space="0" w:color="A6A6A6" w:themeColor="background1" w:themeShade="A6"/>
            </w:tcBorders>
            <w:shd w:val="clear" w:color="auto" w:fill="auto"/>
            <w:noWrap/>
            <w:vAlign w:val="bottom"/>
          </w:tcPr>
          <w:p w14:paraId="27C89D87" w14:textId="77777777" w:rsidR="00671D77" w:rsidRPr="0068185D" w:rsidRDefault="00671D77" w:rsidP="00671D77">
            <w:pPr>
              <w:pStyle w:val="TableFiguresBracketsBold"/>
            </w:pPr>
          </w:p>
        </w:tc>
        <w:tc>
          <w:tcPr>
            <w:tcW w:w="1263" w:type="dxa"/>
            <w:tcBorders>
              <w:top w:val="single" w:sz="4" w:space="0" w:color="A6A6A6" w:themeColor="background1" w:themeShade="A6"/>
              <w:bottom w:val="single" w:sz="4" w:space="0" w:color="A6A6A6" w:themeColor="background1" w:themeShade="A6"/>
            </w:tcBorders>
            <w:shd w:val="clear" w:color="auto" w:fill="auto"/>
            <w:noWrap/>
          </w:tcPr>
          <w:p w14:paraId="564FFD70" w14:textId="661B016F" w:rsidR="00671D77" w:rsidRPr="00F4144D" w:rsidRDefault="00671D77" w:rsidP="001E0CE9">
            <w:pPr>
              <w:pStyle w:val="TableFiguresBracketsBold"/>
            </w:pPr>
            <w:r w:rsidRPr="00F4144D">
              <w:t>(1,</w:t>
            </w:r>
            <w:r w:rsidR="00F4144D" w:rsidRPr="00F4144D">
              <w:t>273</w:t>
            </w:r>
            <w:r w:rsidRPr="00F4144D">
              <w:t>)</w:t>
            </w:r>
          </w:p>
        </w:tc>
        <w:tc>
          <w:tcPr>
            <w:tcW w:w="1263" w:type="dxa"/>
            <w:tcBorders>
              <w:top w:val="single" w:sz="4" w:space="0" w:color="A6A6A6" w:themeColor="background1" w:themeShade="A6"/>
              <w:bottom w:val="single" w:sz="4" w:space="0" w:color="A6A6A6" w:themeColor="background1" w:themeShade="A6"/>
            </w:tcBorders>
            <w:noWrap/>
            <w:vAlign w:val="bottom"/>
          </w:tcPr>
          <w:p w14:paraId="55BA90C5" w14:textId="0FB535B5" w:rsidR="00671D77" w:rsidRPr="00F4144D" w:rsidRDefault="00671D77" w:rsidP="00671D77">
            <w:pPr>
              <w:pStyle w:val="TableFiguresBrackets"/>
            </w:pPr>
            <w:r w:rsidRPr="00F4144D">
              <w:t>(</w:t>
            </w:r>
            <w:r w:rsidR="00F4144D" w:rsidRPr="00F4144D">
              <w:t>1,106</w:t>
            </w:r>
            <w:r w:rsidRPr="00F4144D">
              <w:t>)</w:t>
            </w:r>
          </w:p>
        </w:tc>
      </w:tr>
      <w:tr w:rsidR="005F6D8A" w:rsidRPr="005F6D8A" w14:paraId="3F433C3F" w14:textId="77777777" w:rsidTr="00735AFD">
        <w:tc>
          <w:tcPr>
            <w:tcW w:w="5876" w:type="dxa"/>
            <w:tcBorders>
              <w:top w:val="single" w:sz="4" w:space="0" w:color="A6A6A6" w:themeColor="background1" w:themeShade="A6"/>
            </w:tcBorders>
            <w:shd w:val="clear" w:color="auto" w:fill="auto"/>
            <w:noWrap/>
            <w:vAlign w:val="bottom"/>
          </w:tcPr>
          <w:p w14:paraId="4248B937" w14:textId="77777777" w:rsidR="00671D77" w:rsidRPr="00F4144D" w:rsidRDefault="00671D77" w:rsidP="00142784">
            <w:pPr>
              <w:pStyle w:val="Tabletext"/>
              <w:rPr>
                <w:szCs w:val="20"/>
              </w:rPr>
            </w:pPr>
          </w:p>
        </w:tc>
        <w:tc>
          <w:tcPr>
            <w:tcW w:w="1172" w:type="dxa"/>
            <w:tcBorders>
              <w:top w:val="single" w:sz="4" w:space="0" w:color="A6A6A6" w:themeColor="background1" w:themeShade="A6"/>
            </w:tcBorders>
            <w:shd w:val="clear" w:color="auto" w:fill="auto"/>
            <w:noWrap/>
            <w:vAlign w:val="bottom"/>
          </w:tcPr>
          <w:p w14:paraId="7AF65B81" w14:textId="77777777" w:rsidR="00671D77" w:rsidRPr="00F4144D" w:rsidRDefault="00671D77" w:rsidP="00671D77">
            <w:pPr>
              <w:pStyle w:val="TableFigures"/>
              <w:ind w:right="0"/>
              <w:rPr>
                <w:szCs w:val="20"/>
              </w:rPr>
            </w:pPr>
          </w:p>
        </w:tc>
        <w:tc>
          <w:tcPr>
            <w:tcW w:w="1263" w:type="dxa"/>
            <w:tcBorders>
              <w:top w:val="single" w:sz="4" w:space="0" w:color="A6A6A6" w:themeColor="background1" w:themeShade="A6"/>
            </w:tcBorders>
            <w:shd w:val="clear" w:color="auto" w:fill="auto"/>
            <w:noWrap/>
            <w:vAlign w:val="bottom"/>
          </w:tcPr>
          <w:p w14:paraId="58214C9D" w14:textId="77777777" w:rsidR="00671D77" w:rsidRPr="0068185D" w:rsidRDefault="00671D77" w:rsidP="00671D77">
            <w:pPr>
              <w:pStyle w:val="TableFiguresBold0"/>
            </w:pPr>
          </w:p>
        </w:tc>
        <w:tc>
          <w:tcPr>
            <w:tcW w:w="1263" w:type="dxa"/>
            <w:tcBorders>
              <w:top w:val="single" w:sz="4" w:space="0" w:color="A6A6A6" w:themeColor="background1" w:themeShade="A6"/>
            </w:tcBorders>
            <w:shd w:val="clear" w:color="auto" w:fill="auto"/>
            <w:noWrap/>
          </w:tcPr>
          <w:p w14:paraId="1084FA7B" w14:textId="65A20C75" w:rsidR="00671D77" w:rsidRPr="00F4144D" w:rsidRDefault="00671D77" w:rsidP="00671D77">
            <w:pPr>
              <w:pStyle w:val="TableFiguresBold0"/>
            </w:pPr>
          </w:p>
        </w:tc>
        <w:tc>
          <w:tcPr>
            <w:tcW w:w="1263" w:type="dxa"/>
            <w:tcBorders>
              <w:top w:val="single" w:sz="4" w:space="0" w:color="A6A6A6" w:themeColor="background1" w:themeShade="A6"/>
            </w:tcBorders>
            <w:shd w:val="clear" w:color="auto" w:fill="auto"/>
            <w:noWrap/>
            <w:vAlign w:val="bottom"/>
          </w:tcPr>
          <w:p w14:paraId="5889F32F" w14:textId="77777777" w:rsidR="00671D77" w:rsidRPr="00F4144D" w:rsidRDefault="00671D77" w:rsidP="00671D77">
            <w:pPr>
              <w:pStyle w:val="TableFigures"/>
            </w:pPr>
          </w:p>
        </w:tc>
      </w:tr>
      <w:tr w:rsidR="005F6D8A" w:rsidRPr="005F6D8A" w14:paraId="054E13C6" w14:textId="77777777" w:rsidTr="00735AFD">
        <w:tc>
          <w:tcPr>
            <w:tcW w:w="5876" w:type="dxa"/>
            <w:shd w:val="clear" w:color="auto" w:fill="auto"/>
            <w:noWrap/>
            <w:vAlign w:val="bottom"/>
          </w:tcPr>
          <w:p w14:paraId="116B257D" w14:textId="77777777" w:rsidR="00671D77" w:rsidRPr="00F4144D" w:rsidRDefault="00671D77" w:rsidP="00671D77">
            <w:pPr>
              <w:pStyle w:val="TabletextBold"/>
              <w:rPr>
                <w:szCs w:val="20"/>
              </w:rPr>
            </w:pPr>
            <w:r w:rsidRPr="00F4144D">
              <w:rPr>
                <w:szCs w:val="20"/>
              </w:rPr>
              <w:t>Cash flows from financing activities</w:t>
            </w:r>
          </w:p>
        </w:tc>
        <w:tc>
          <w:tcPr>
            <w:tcW w:w="1172" w:type="dxa"/>
            <w:shd w:val="clear" w:color="auto" w:fill="auto"/>
            <w:noWrap/>
            <w:vAlign w:val="bottom"/>
          </w:tcPr>
          <w:p w14:paraId="5689F5C4" w14:textId="77777777" w:rsidR="00671D77" w:rsidRPr="00F4144D" w:rsidRDefault="00671D77" w:rsidP="00671D77">
            <w:pPr>
              <w:pStyle w:val="TableFigures"/>
              <w:ind w:right="0"/>
              <w:rPr>
                <w:szCs w:val="20"/>
              </w:rPr>
            </w:pPr>
          </w:p>
        </w:tc>
        <w:tc>
          <w:tcPr>
            <w:tcW w:w="1263" w:type="dxa"/>
            <w:shd w:val="clear" w:color="auto" w:fill="auto"/>
            <w:noWrap/>
            <w:vAlign w:val="bottom"/>
          </w:tcPr>
          <w:p w14:paraId="05A63361" w14:textId="77777777" w:rsidR="00671D77" w:rsidRPr="0068185D" w:rsidRDefault="00671D77" w:rsidP="00671D77">
            <w:pPr>
              <w:pStyle w:val="TableFiguresBold0"/>
            </w:pPr>
          </w:p>
        </w:tc>
        <w:tc>
          <w:tcPr>
            <w:tcW w:w="1263" w:type="dxa"/>
            <w:shd w:val="clear" w:color="auto" w:fill="auto"/>
            <w:noWrap/>
          </w:tcPr>
          <w:p w14:paraId="540DB52D" w14:textId="48110A89" w:rsidR="00671D77" w:rsidRPr="00F4144D" w:rsidRDefault="00671D77" w:rsidP="00671D77">
            <w:pPr>
              <w:pStyle w:val="TableFiguresBold0"/>
            </w:pPr>
          </w:p>
        </w:tc>
        <w:tc>
          <w:tcPr>
            <w:tcW w:w="1263" w:type="dxa"/>
            <w:shd w:val="clear" w:color="auto" w:fill="auto"/>
            <w:noWrap/>
            <w:vAlign w:val="bottom"/>
          </w:tcPr>
          <w:p w14:paraId="2CEC6E3E" w14:textId="77777777" w:rsidR="00671D77" w:rsidRPr="00F4144D" w:rsidRDefault="00671D77" w:rsidP="00671D77">
            <w:pPr>
              <w:pStyle w:val="TableFigures"/>
            </w:pPr>
          </w:p>
        </w:tc>
      </w:tr>
      <w:tr w:rsidR="005F6D8A" w:rsidRPr="005F6D8A" w14:paraId="250E1DBD" w14:textId="77777777" w:rsidTr="00735AFD">
        <w:tc>
          <w:tcPr>
            <w:tcW w:w="5876" w:type="dxa"/>
            <w:shd w:val="clear" w:color="auto" w:fill="auto"/>
            <w:noWrap/>
            <w:vAlign w:val="bottom"/>
          </w:tcPr>
          <w:p w14:paraId="1F593ED7" w14:textId="0B072134" w:rsidR="00671D77" w:rsidRPr="00142784" w:rsidRDefault="00671D77" w:rsidP="00671D77">
            <w:pPr>
              <w:pStyle w:val="Tabletext"/>
              <w:rPr>
                <w:szCs w:val="20"/>
              </w:rPr>
            </w:pPr>
            <w:r w:rsidRPr="00142784">
              <w:rPr>
                <w:szCs w:val="20"/>
              </w:rPr>
              <w:t>Dividends paid</w:t>
            </w:r>
            <w:r w:rsidR="00142784" w:rsidRPr="00142784">
              <w:rPr>
                <w:szCs w:val="20"/>
                <w:vertAlign w:val="superscript"/>
              </w:rPr>
              <w:t>2</w:t>
            </w:r>
          </w:p>
        </w:tc>
        <w:tc>
          <w:tcPr>
            <w:tcW w:w="1172" w:type="dxa"/>
            <w:shd w:val="clear" w:color="auto" w:fill="auto"/>
            <w:noWrap/>
            <w:vAlign w:val="bottom"/>
          </w:tcPr>
          <w:p w14:paraId="3DCC8284" w14:textId="77777777" w:rsidR="00671D77" w:rsidRPr="00142784" w:rsidRDefault="00671D77" w:rsidP="00671D77">
            <w:pPr>
              <w:pStyle w:val="TableFigures"/>
              <w:ind w:right="0"/>
              <w:rPr>
                <w:szCs w:val="20"/>
              </w:rPr>
            </w:pPr>
          </w:p>
        </w:tc>
        <w:tc>
          <w:tcPr>
            <w:tcW w:w="1263" w:type="dxa"/>
            <w:shd w:val="clear" w:color="auto" w:fill="auto"/>
            <w:noWrap/>
            <w:vAlign w:val="bottom"/>
          </w:tcPr>
          <w:p w14:paraId="69B7D592" w14:textId="77777777" w:rsidR="00671D77" w:rsidRPr="0068185D" w:rsidRDefault="00671D77" w:rsidP="00671D77">
            <w:pPr>
              <w:pStyle w:val="TableFiguresBracketsBold"/>
            </w:pPr>
          </w:p>
        </w:tc>
        <w:tc>
          <w:tcPr>
            <w:tcW w:w="1263" w:type="dxa"/>
            <w:shd w:val="clear" w:color="auto" w:fill="auto"/>
            <w:noWrap/>
          </w:tcPr>
          <w:p w14:paraId="4C893727" w14:textId="28FB34EC" w:rsidR="00671D77" w:rsidRPr="00142784" w:rsidRDefault="00671D77" w:rsidP="001E0CE9">
            <w:pPr>
              <w:pStyle w:val="TableFiguresBracketsBold"/>
            </w:pPr>
            <w:r w:rsidRPr="00142784">
              <w:t>(1</w:t>
            </w:r>
            <w:r w:rsidR="00142784" w:rsidRPr="00142784">
              <w:t>80</w:t>
            </w:r>
            <w:r w:rsidRPr="00142784">
              <w:t>)</w:t>
            </w:r>
          </w:p>
        </w:tc>
        <w:tc>
          <w:tcPr>
            <w:tcW w:w="1263" w:type="dxa"/>
            <w:noWrap/>
            <w:vAlign w:val="bottom"/>
          </w:tcPr>
          <w:p w14:paraId="4715A956" w14:textId="40229FC4" w:rsidR="00671D77" w:rsidRPr="00142784" w:rsidRDefault="00671D77" w:rsidP="00671D77">
            <w:pPr>
              <w:pStyle w:val="TableFiguresBrackets"/>
            </w:pPr>
            <w:r w:rsidRPr="00142784">
              <w:t>(1</w:t>
            </w:r>
            <w:r w:rsidR="00142784" w:rsidRPr="00142784">
              <w:t>79</w:t>
            </w:r>
            <w:r w:rsidRPr="00142784">
              <w:t>)</w:t>
            </w:r>
          </w:p>
        </w:tc>
      </w:tr>
      <w:tr w:rsidR="005F6D8A" w:rsidRPr="005F6D8A" w14:paraId="541DC335" w14:textId="77777777" w:rsidTr="00735AFD">
        <w:tc>
          <w:tcPr>
            <w:tcW w:w="5876" w:type="dxa"/>
            <w:shd w:val="clear" w:color="auto" w:fill="auto"/>
            <w:noWrap/>
            <w:vAlign w:val="bottom"/>
          </w:tcPr>
          <w:p w14:paraId="299798CE" w14:textId="77777777" w:rsidR="00671D77" w:rsidRPr="00142784" w:rsidRDefault="00671D77" w:rsidP="00671D77">
            <w:pPr>
              <w:pStyle w:val="Tabletext"/>
              <w:rPr>
                <w:szCs w:val="20"/>
              </w:rPr>
            </w:pPr>
            <w:r w:rsidRPr="00142784">
              <w:rPr>
                <w:szCs w:val="20"/>
              </w:rPr>
              <w:t>Proceeds from borrowings</w:t>
            </w:r>
          </w:p>
        </w:tc>
        <w:tc>
          <w:tcPr>
            <w:tcW w:w="1172" w:type="dxa"/>
            <w:shd w:val="clear" w:color="auto" w:fill="auto"/>
            <w:noWrap/>
            <w:vAlign w:val="bottom"/>
          </w:tcPr>
          <w:p w14:paraId="37CDD2B4" w14:textId="77777777" w:rsidR="00671D77" w:rsidRPr="00142784" w:rsidRDefault="00671D77" w:rsidP="00671D77">
            <w:pPr>
              <w:pStyle w:val="TableFigures"/>
              <w:ind w:right="0"/>
              <w:rPr>
                <w:szCs w:val="20"/>
              </w:rPr>
            </w:pPr>
          </w:p>
        </w:tc>
        <w:tc>
          <w:tcPr>
            <w:tcW w:w="1263" w:type="dxa"/>
            <w:shd w:val="clear" w:color="auto" w:fill="auto"/>
            <w:noWrap/>
            <w:vAlign w:val="bottom"/>
          </w:tcPr>
          <w:p w14:paraId="6E19223F" w14:textId="77777777" w:rsidR="00671D77" w:rsidRPr="0068185D" w:rsidRDefault="00671D77" w:rsidP="00671D77">
            <w:pPr>
              <w:pStyle w:val="TableFiguresBold0"/>
            </w:pPr>
          </w:p>
        </w:tc>
        <w:tc>
          <w:tcPr>
            <w:tcW w:w="1263" w:type="dxa"/>
            <w:shd w:val="clear" w:color="auto" w:fill="auto"/>
            <w:noWrap/>
          </w:tcPr>
          <w:p w14:paraId="5543C971" w14:textId="5B20DA13" w:rsidR="00671D77" w:rsidRPr="00142784" w:rsidRDefault="00142784" w:rsidP="00671D77">
            <w:pPr>
              <w:pStyle w:val="TableFiguresBold0"/>
            </w:pPr>
            <w:r w:rsidRPr="00142784">
              <w:t>1,214</w:t>
            </w:r>
          </w:p>
        </w:tc>
        <w:tc>
          <w:tcPr>
            <w:tcW w:w="1263" w:type="dxa"/>
            <w:noWrap/>
            <w:vAlign w:val="bottom"/>
          </w:tcPr>
          <w:p w14:paraId="2493C5F3" w14:textId="03117797" w:rsidR="00671D77" w:rsidRPr="00142784" w:rsidRDefault="00142784" w:rsidP="00671D77">
            <w:pPr>
              <w:pStyle w:val="TableFigures"/>
            </w:pPr>
            <w:r w:rsidRPr="00142784">
              <w:t>551</w:t>
            </w:r>
          </w:p>
        </w:tc>
      </w:tr>
      <w:tr w:rsidR="005F6D8A" w:rsidRPr="005F6D8A" w14:paraId="581BD342" w14:textId="77777777" w:rsidTr="00735AFD">
        <w:tc>
          <w:tcPr>
            <w:tcW w:w="5876" w:type="dxa"/>
            <w:shd w:val="clear" w:color="auto" w:fill="auto"/>
            <w:noWrap/>
            <w:vAlign w:val="bottom"/>
          </w:tcPr>
          <w:p w14:paraId="14D6B07B" w14:textId="77777777" w:rsidR="00671D77" w:rsidRPr="00142784" w:rsidRDefault="00671D77" w:rsidP="00671D77">
            <w:pPr>
              <w:pStyle w:val="Tabletext"/>
              <w:rPr>
                <w:szCs w:val="20"/>
              </w:rPr>
            </w:pPr>
            <w:r w:rsidRPr="00142784">
              <w:rPr>
                <w:szCs w:val="20"/>
              </w:rPr>
              <w:t>Repayment of borrowings</w:t>
            </w:r>
          </w:p>
        </w:tc>
        <w:tc>
          <w:tcPr>
            <w:tcW w:w="1172" w:type="dxa"/>
            <w:shd w:val="clear" w:color="auto" w:fill="auto"/>
            <w:noWrap/>
            <w:vAlign w:val="bottom"/>
          </w:tcPr>
          <w:p w14:paraId="0B3D2B90" w14:textId="77777777" w:rsidR="00671D77" w:rsidRPr="00142784" w:rsidRDefault="00671D77" w:rsidP="00671D77">
            <w:pPr>
              <w:pStyle w:val="TableFigures"/>
              <w:ind w:right="0"/>
              <w:rPr>
                <w:szCs w:val="20"/>
              </w:rPr>
            </w:pPr>
          </w:p>
        </w:tc>
        <w:tc>
          <w:tcPr>
            <w:tcW w:w="1263" w:type="dxa"/>
            <w:shd w:val="clear" w:color="auto" w:fill="auto"/>
            <w:noWrap/>
            <w:vAlign w:val="bottom"/>
          </w:tcPr>
          <w:p w14:paraId="44BCF4BA" w14:textId="77777777" w:rsidR="00671D77" w:rsidRPr="0068185D" w:rsidDel="003D4BBC" w:rsidRDefault="00671D77" w:rsidP="00671D77">
            <w:pPr>
              <w:pStyle w:val="TableFiguresBracketsBold"/>
            </w:pPr>
          </w:p>
        </w:tc>
        <w:tc>
          <w:tcPr>
            <w:tcW w:w="1263" w:type="dxa"/>
            <w:shd w:val="clear" w:color="auto" w:fill="auto"/>
            <w:noWrap/>
          </w:tcPr>
          <w:p w14:paraId="20054D01" w14:textId="375AE33E" w:rsidR="00671D77" w:rsidRPr="00142784" w:rsidRDefault="00671D77" w:rsidP="001E0CE9">
            <w:pPr>
              <w:pStyle w:val="TableFiguresBracketsBold"/>
            </w:pPr>
            <w:r w:rsidRPr="00142784">
              <w:t>(1</w:t>
            </w:r>
            <w:r w:rsidR="00142784" w:rsidRPr="00142784">
              <w:t>40</w:t>
            </w:r>
            <w:r w:rsidRPr="00142784">
              <w:t>)</w:t>
            </w:r>
          </w:p>
        </w:tc>
        <w:tc>
          <w:tcPr>
            <w:tcW w:w="1263" w:type="dxa"/>
            <w:noWrap/>
            <w:vAlign w:val="bottom"/>
          </w:tcPr>
          <w:p w14:paraId="0667D324" w14:textId="12C204B1" w:rsidR="00671D77" w:rsidRPr="00142784" w:rsidRDefault="00671D77" w:rsidP="00671D77">
            <w:pPr>
              <w:pStyle w:val="TableFiguresBrackets"/>
            </w:pPr>
            <w:r w:rsidRPr="00142784">
              <w:t>(</w:t>
            </w:r>
            <w:r w:rsidR="00142784" w:rsidRPr="00142784">
              <w:t>122</w:t>
            </w:r>
            <w:r w:rsidRPr="00142784">
              <w:t>)</w:t>
            </w:r>
          </w:p>
        </w:tc>
      </w:tr>
      <w:tr w:rsidR="005F6D8A" w:rsidRPr="005F6D8A" w14:paraId="7B38B1A7" w14:textId="77777777" w:rsidTr="00735AFD">
        <w:tc>
          <w:tcPr>
            <w:tcW w:w="5876" w:type="dxa"/>
            <w:shd w:val="clear" w:color="auto" w:fill="auto"/>
            <w:noWrap/>
            <w:vAlign w:val="bottom"/>
          </w:tcPr>
          <w:p w14:paraId="1BF52C35" w14:textId="7C46F45C" w:rsidR="00671D77" w:rsidRPr="00142784" w:rsidRDefault="00671D77" w:rsidP="00671D77">
            <w:pPr>
              <w:pStyle w:val="Tabletext"/>
              <w:rPr>
                <w:szCs w:val="20"/>
              </w:rPr>
            </w:pPr>
            <w:r w:rsidRPr="00142784">
              <w:rPr>
                <w:szCs w:val="20"/>
              </w:rPr>
              <w:t>Principal element of lease payments</w:t>
            </w:r>
          </w:p>
        </w:tc>
        <w:tc>
          <w:tcPr>
            <w:tcW w:w="1172" w:type="dxa"/>
            <w:shd w:val="clear" w:color="auto" w:fill="auto"/>
            <w:noWrap/>
            <w:vAlign w:val="bottom"/>
          </w:tcPr>
          <w:p w14:paraId="27ADBF74" w14:textId="77777777" w:rsidR="00671D77" w:rsidRPr="00142784" w:rsidRDefault="00671D77" w:rsidP="00671D77">
            <w:pPr>
              <w:pStyle w:val="TableFigures"/>
              <w:ind w:right="0"/>
              <w:rPr>
                <w:szCs w:val="20"/>
              </w:rPr>
            </w:pPr>
          </w:p>
        </w:tc>
        <w:tc>
          <w:tcPr>
            <w:tcW w:w="1263" w:type="dxa"/>
            <w:shd w:val="clear" w:color="auto" w:fill="auto"/>
            <w:noWrap/>
            <w:vAlign w:val="bottom"/>
          </w:tcPr>
          <w:p w14:paraId="4F968295" w14:textId="77777777" w:rsidR="00671D77" w:rsidRPr="0068185D" w:rsidDel="003D4BBC" w:rsidRDefault="00671D77" w:rsidP="00671D77">
            <w:pPr>
              <w:pStyle w:val="TableFiguresBracketsBold"/>
            </w:pPr>
          </w:p>
        </w:tc>
        <w:tc>
          <w:tcPr>
            <w:tcW w:w="1263" w:type="dxa"/>
            <w:shd w:val="clear" w:color="auto" w:fill="auto"/>
            <w:noWrap/>
          </w:tcPr>
          <w:p w14:paraId="5C1C65DE" w14:textId="6280E8BA" w:rsidR="00671D77" w:rsidRPr="00142784" w:rsidRDefault="00671D77" w:rsidP="001E0CE9">
            <w:pPr>
              <w:pStyle w:val="TableFiguresBracketsBold"/>
            </w:pPr>
            <w:r w:rsidRPr="00142784">
              <w:t>(</w:t>
            </w:r>
            <w:r w:rsidR="00142784" w:rsidRPr="00142784">
              <w:t>2</w:t>
            </w:r>
            <w:r w:rsidRPr="00142784">
              <w:t>)</w:t>
            </w:r>
          </w:p>
        </w:tc>
        <w:tc>
          <w:tcPr>
            <w:tcW w:w="1263" w:type="dxa"/>
            <w:noWrap/>
            <w:vAlign w:val="bottom"/>
          </w:tcPr>
          <w:p w14:paraId="487CEA63" w14:textId="739D3E80" w:rsidR="00671D77" w:rsidRPr="00142784" w:rsidRDefault="00671D77" w:rsidP="001E0CE9">
            <w:pPr>
              <w:pStyle w:val="TableFiguresBrackets"/>
            </w:pPr>
            <w:r w:rsidRPr="00142784">
              <w:t>(</w:t>
            </w:r>
            <w:r w:rsidR="00142784" w:rsidRPr="00142784">
              <w:t>2</w:t>
            </w:r>
            <w:r w:rsidRPr="00142784">
              <w:t>)</w:t>
            </w:r>
          </w:p>
        </w:tc>
      </w:tr>
      <w:tr w:rsidR="005F6D8A" w:rsidRPr="005F6D8A" w14:paraId="5F89EFA0" w14:textId="77777777" w:rsidTr="00735AFD">
        <w:tc>
          <w:tcPr>
            <w:tcW w:w="5876" w:type="dxa"/>
            <w:shd w:val="clear" w:color="auto" w:fill="auto"/>
            <w:noWrap/>
            <w:vAlign w:val="bottom"/>
          </w:tcPr>
          <w:p w14:paraId="3E847A3F" w14:textId="77777777" w:rsidR="00671D77" w:rsidRPr="00142784" w:rsidRDefault="00671D77" w:rsidP="00671D77">
            <w:pPr>
              <w:pStyle w:val="TableFigures"/>
              <w:jc w:val="left"/>
              <w:rPr>
                <w:szCs w:val="20"/>
              </w:rPr>
            </w:pPr>
            <w:r w:rsidRPr="00142784">
              <w:rPr>
                <w:szCs w:val="20"/>
              </w:rPr>
              <w:t>Settlement of foreign exchange derivatives</w:t>
            </w:r>
          </w:p>
        </w:tc>
        <w:tc>
          <w:tcPr>
            <w:tcW w:w="1172" w:type="dxa"/>
            <w:shd w:val="clear" w:color="auto" w:fill="auto"/>
            <w:noWrap/>
            <w:vAlign w:val="bottom"/>
          </w:tcPr>
          <w:p w14:paraId="7B52929B" w14:textId="77777777" w:rsidR="00671D77" w:rsidRPr="00142784" w:rsidRDefault="00671D77" w:rsidP="00671D77">
            <w:pPr>
              <w:pStyle w:val="TableFigures"/>
              <w:ind w:right="0"/>
              <w:rPr>
                <w:szCs w:val="20"/>
              </w:rPr>
            </w:pPr>
          </w:p>
        </w:tc>
        <w:tc>
          <w:tcPr>
            <w:tcW w:w="1263" w:type="dxa"/>
            <w:shd w:val="clear" w:color="auto" w:fill="auto"/>
            <w:noWrap/>
            <w:vAlign w:val="bottom"/>
          </w:tcPr>
          <w:p w14:paraId="29CF4EB4" w14:textId="77777777" w:rsidR="00671D77" w:rsidRPr="0068185D" w:rsidRDefault="00671D77" w:rsidP="00671D77">
            <w:pPr>
              <w:pStyle w:val="TableFiguresBracketsBold"/>
            </w:pPr>
          </w:p>
        </w:tc>
        <w:tc>
          <w:tcPr>
            <w:tcW w:w="1263" w:type="dxa"/>
            <w:shd w:val="clear" w:color="auto" w:fill="auto"/>
            <w:noWrap/>
          </w:tcPr>
          <w:p w14:paraId="110B15C0" w14:textId="67BA7E40" w:rsidR="00671D77" w:rsidRPr="00142784" w:rsidRDefault="00142784" w:rsidP="0068185D">
            <w:pPr>
              <w:pStyle w:val="TableFiguresBold0"/>
            </w:pPr>
            <w:r w:rsidRPr="00142784">
              <w:t>40</w:t>
            </w:r>
          </w:p>
        </w:tc>
        <w:tc>
          <w:tcPr>
            <w:tcW w:w="1263" w:type="dxa"/>
            <w:noWrap/>
            <w:vAlign w:val="bottom"/>
          </w:tcPr>
          <w:p w14:paraId="714E2FBA" w14:textId="168A38AA" w:rsidR="00671D77" w:rsidRPr="00142784" w:rsidRDefault="00142784" w:rsidP="0068185D">
            <w:pPr>
              <w:pStyle w:val="TableFiguresBrackets"/>
            </w:pPr>
            <w:r w:rsidRPr="00142784">
              <w:t>(55)</w:t>
            </w:r>
          </w:p>
        </w:tc>
      </w:tr>
      <w:tr w:rsidR="005F6D8A" w:rsidRPr="005F6D8A" w14:paraId="29FB807D" w14:textId="77777777" w:rsidTr="00735AFD">
        <w:tc>
          <w:tcPr>
            <w:tcW w:w="5876" w:type="dxa"/>
            <w:shd w:val="clear" w:color="auto" w:fill="auto"/>
            <w:noWrap/>
            <w:vAlign w:val="bottom"/>
          </w:tcPr>
          <w:p w14:paraId="56E9CAEA" w14:textId="200961CE" w:rsidR="00671D77" w:rsidRPr="00142784" w:rsidRDefault="00671D77" w:rsidP="00671D77">
            <w:pPr>
              <w:pStyle w:val="TableFigures"/>
              <w:jc w:val="left"/>
              <w:rPr>
                <w:szCs w:val="20"/>
              </w:rPr>
            </w:pPr>
            <w:r w:rsidRPr="00142784">
              <w:rPr>
                <w:szCs w:val="20"/>
              </w:rPr>
              <w:t>Purchase of non-controlling interest</w:t>
            </w:r>
          </w:p>
        </w:tc>
        <w:tc>
          <w:tcPr>
            <w:tcW w:w="1172" w:type="dxa"/>
            <w:shd w:val="clear" w:color="auto" w:fill="auto"/>
            <w:noWrap/>
            <w:vAlign w:val="bottom"/>
          </w:tcPr>
          <w:p w14:paraId="621A6113" w14:textId="77777777" w:rsidR="00671D77" w:rsidRPr="00142784" w:rsidRDefault="00671D77" w:rsidP="00671D77">
            <w:pPr>
              <w:pStyle w:val="TableFigures"/>
              <w:ind w:right="0"/>
              <w:rPr>
                <w:szCs w:val="20"/>
              </w:rPr>
            </w:pPr>
          </w:p>
        </w:tc>
        <w:tc>
          <w:tcPr>
            <w:tcW w:w="1263" w:type="dxa"/>
            <w:shd w:val="clear" w:color="auto" w:fill="auto"/>
            <w:noWrap/>
            <w:vAlign w:val="bottom"/>
          </w:tcPr>
          <w:p w14:paraId="290B0F96" w14:textId="77777777" w:rsidR="00671D77" w:rsidRPr="0068185D" w:rsidRDefault="00671D77" w:rsidP="00671D77">
            <w:pPr>
              <w:pStyle w:val="TableFiguresBracketsBold"/>
            </w:pPr>
          </w:p>
        </w:tc>
        <w:tc>
          <w:tcPr>
            <w:tcW w:w="1263" w:type="dxa"/>
            <w:shd w:val="clear" w:color="auto" w:fill="auto"/>
            <w:noWrap/>
          </w:tcPr>
          <w:p w14:paraId="2861C6BC" w14:textId="67D67DFA" w:rsidR="00671D77" w:rsidRPr="00142784" w:rsidRDefault="00142784" w:rsidP="0068185D">
            <w:pPr>
              <w:pStyle w:val="TableFiguresBracketsBold"/>
            </w:pPr>
            <w:r w:rsidRPr="00142784">
              <w:t>(12)</w:t>
            </w:r>
          </w:p>
        </w:tc>
        <w:tc>
          <w:tcPr>
            <w:tcW w:w="1263" w:type="dxa"/>
            <w:noWrap/>
            <w:vAlign w:val="bottom"/>
          </w:tcPr>
          <w:p w14:paraId="4A11DA96" w14:textId="198E2A9B" w:rsidR="00671D77" w:rsidRPr="00142784" w:rsidRDefault="00142784" w:rsidP="0068185D">
            <w:pPr>
              <w:pStyle w:val="TableFigures"/>
            </w:pPr>
            <w:r w:rsidRPr="00142784">
              <w:t>-</w:t>
            </w:r>
          </w:p>
        </w:tc>
      </w:tr>
      <w:tr w:rsidR="005F6D8A" w:rsidRPr="005F6D8A" w14:paraId="15695A01" w14:textId="77777777" w:rsidTr="00735AFD">
        <w:tc>
          <w:tcPr>
            <w:tcW w:w="5876" w:type="dxa"/>
            <w:shd w:val="clear" w:color="auto" w:fill="auto"/>
            <w:noWrap/>
            <w:vAlign w:val="bottom"/>
          </w:tcPr>
          <w:p w14:paraId="49BAAD1C" w14:textId="77777777" w:rsidR="00671D77" w:rsidRPr="00142784" w:rsidRDefault="00671D77" w:rsidP="00671D77">
            <w:pPr>
              <w:pStyle w:val="Tabletext"/>
              <w:rPr>
                <w:szCs w:val="20"/>
              </w:rPr>
            </w:pPr>
            <w:r w:rsidRPr="00142784">
              <w:rPr>
                <w:szCs w:val="20"/>
              </w:rPr>
              <w:t>Proceeds from issue of ordinary shares</w:t>
            </w:r>
          </w:p>
        </w:tc>
        <w:tc>
          <w:tcPr>
            <w:tcW w:w="1172" w:type="dxa"/>
            <w:shd w:val="clear" w:color="auto" w:fill="auto"/>
            <w:noWrap/>
            <w:vAlign w:val="bottom"/>
          </w:tcPr>
          <w:p w14:paraId="198FD8CD" w14:textId="77777777" w:rsidR="00671D77" w:rsidRPr="00142784" w:rsidRDefault="00671D77" w:rsidP="00671D77">
            <w:pPr>
              <w:pStyle w:val="TableFigures"/>
              <w:ind w:right="0"/>
              <w:rPr>
                <w:szCs w:val="20"/>
              </w:rPr>
            </w:pPr>
          </w:p>
        </w:tc>
        <w:tc>
          <w:tcPr>
            <w:tcW w:w="1263" w:type="dxa"/>
            <w:shd w:val="clear" w:color="auto" w:fill="auto"/>
            <w:noWrap/>
            <w:vAlign w:val="bottom"/>
          </w:tcPr>
          <w:p w14:paraId="3E7CEAD8" w14:textId="77777777" w:rsidR="00671D77" w:rsidRPr="0068185D" w:rsidRDefault="00671D77" w:rsidP="00671D77">
            <w:pPr>
              <w:pStyle w:val="TableFiguresBold0"/>
            </w:pPr>
          </w:p>
        </w:tc>
        <w:tc>
          <w:tcPr>
            <w:tcW w:w="1263" w:type="dxa"/>
            <w:shd w:val="clear" w:color="auto" w:fill="auto"/>
            <w:noWrap/>
          </w:tcPr>
          <w:p w14:paraId="594A270D" w14:textId="2A378A79" w:rsidR="00671D77" w:rsidRPr="00142784" w:rsidRDefault="00142784" w:rsidP="00671D77">
            <w:pPr>
              <w:pStyle w:val="TableFiguresBold0"/>
            </w:pPr>
            <w:r w:rsidRPr="00142784">
              <w:t>1</w:t>
            </w:r>
          </w:p>
        </w:tc>
        <w:tc>
          <w:tcPr>
            <w:tcW w:w="1263" w:type="dxa"/>
            <w:noWrap/>
            <w:vAlign w:val="bottom"/>
          </w:tcPr>
          <w:p w14:paraId="0CC8FB9C" w14:textId="0410150D" w:rsidR="00671D77" w:rsidRPr="00142784" w:rsidRDefault="00142784" w:rsidP="00671D77">
            <w:pPr>
              <w:pStyle w:val="TableFigures"/>
            </w:pPr>
            <w:r w:rsidRPr="00142784">
              <w:t>672</w:t>
            </w:r>
          </w:p>
        </w:tc>
      </w:tr>
      <w:tr w:rsidR="005F6D8A" w:rsidRPr="005F6D8A" w14:paraId="18206612" w14:textId="77777777" w:rsidTr="00735AFD">
        <w:tc>
          <w:tcPr>
            <w:tcW w:w="5876" w:type="dxa"/>
            <w:tcBorders>
              <w:bottom w:val="single" w:sz="4" w:space="0" w:color="A6A6A6" w:themeColor="background1" w:themeShade="A6"/>
            </w:tcBorders>
            <w:shd w:val="clear" w:color="auto" w:fill="auto"/>
            <w:noWrap/>
            <w:vAlign w:val="bottom"/>
          </w:tcPr>
          <w:p w14:paraId="05AE9309" w14:textId="77777777" w:rsidR="00671D77" w:rsidRPr="00142784" w:rsidRDefault="00671D77" w:rsidP="00671D77">
            <w:pPr>
              <w:pStyle w:val="Tabletext"/>
              <w:rPr>
                <w:szCs w:val="20"/>
              </w:rPr>
            </w:pPr>
            <w:r w:rsidRPr="00142784">
              <w:rPr>
                <w:szCs w:val="20"/>
              </w:rPr>
              <w:t xml:space="preserve">Purchase of ordinary shares </w:t>
            </w:r>
          </w:p>
        </w:tc>
        <w:tc>
          <w:tcPr>
            <w:tcW w:w="1172" w:type="dxa"/>
            <w:tcBorders>
              <w:bottom w:val="single" w:sz="4" w:space="0" w:color="A6A6A6" w:themeColor="background1" w:themeShade="A6"/>
            </w:tcBorders>
            <w:shd w:val="clear" w:color="auto" w:fill="auto"/>
            <w:noWrap/>
            <w:vAlign w:val="bottom"/>
          </w:tcPr>
          <w:p w14:paraId="154B7C5D" w14:textId="77777777" w:rsidR="00671D77" w:rsidRPr="00142784" w:rsidRDefault="00671D77" w:rsidP="00671D77">
            <w:pPr>
              <w:pStyle w:val="TableFigures"/>
              <w:ind w:right="0"/>
              <w:rPr>
                <w:szCs w:val="20"/>
              </w:rPr>
            </w:pPr>
          </w:p>
        </w:tc>
        <w:tc>
          <w:tcPr>
            <w:tcW w:w="1263" w:type="dxa"/>
            <w:tcBorders>
              <w:bottom w:val="single" w:sz="4" w:space="0" w:color="A6A6A6" w:themeColor="background1" w:themeShade="A6"/>
            </w:tcBorders>
            <w:shd w:val="clear" w:color="auto" w:fill="auto"/>
            <w:noWrap/>
            <w:vAlign w:val="bottom"/>
          </w:tcPr>
          <w:p w14:paraId="0BEEC931" w14:textId="77777777" w:rsidR="00671D77" w:rsidRPr="0068185D" w:rsidRDefault="00671D77" w:rsidP="00671D77">
            <w:pPr>
              <w:pStyle w:val="TableFiguresBracketsBold"/>
            </w:pPr>
          </w:p>
        </w:tc>
        <w:tc>
          <w:tcPr>
            <w:tcW w:w="1263" w:type="dxa"/>
            <w:tcBorders>
              <w:bottom w:val="single" w:sz="4" w:space="0" w:color="A6A6A6" w:themeColor="background1" w:themeShade="A6"/>
            </w:tcBorders>
            <w:shd w:val="clear" w:color="auto" w:fill="auto"/>
            <w:noWrap/>
          </w:tcPr>
          <w:p w14:paraId="62A90243" w14:textId="0BE56F74" w:rsidR="00671D77" w:rsidRPr="00142784" w:rsidRDefault="00671D77" w:rsidP="001E0CE9">
            <w:pPr>
              <w:pStyle w:val="TableFiguresBracketsBold"/>
            </w:pPr>
            <w:r w:rsidRPr="00142784">
              <w:t>(</w:t>
            </w:r>
            <w:r w:rsidR="00142784" w:rsidRPr="00142784">
              <w:t>3</w:t>
            </w:r>
            <w:r w:rsidRPr="00142784">
              <w:t>)</w:t>
            </w:r>
          </w:p>
        </w:tc>
        <w:tc>
          <w:tcPr>
            <w:tcW w:w="1263" w:type="dxa"/>
            <w:tcBorders>
              <w:bottom w:val="single" w:sz="4" w:space="0" w:color="A6A6A6" w:themeColor="background1" w:themeShade="A6"/>
            </w:tcBorders>
            <w:noWrap/>
            <w:vAlign w:val="bottom"/>
          </w:tcPr>
          <w:p w14:paraId="08C8BDA7" w14:textId="3AA302E4" w:rsidR="00671D77" w:rsidRPr="00142784" w:rsidRDefault="00671D77" w:rsidP="00671D77">
            <w:pPr>
              <w:pStyle w:val="TableFiguresBrackets"/>
            </w:pPr>
            <w:r w:rsidRPr="00142784">
              <w:t>(</w:t>
            </w:r>
            <w:r w:rsidR="00142784" w:rsidRPr="00142784">
              <w:t>2</w:t>
            </w:r>
            <w:r w:rsidRPr="00142784">
              <w:t>)</w:t>
            </w:r>
          </w:p>
        </w:tc>
      </w:tr>
      <w:tr w:rsidR="005F6D8A" w:rsidRPr="005F6D8A" w14:paraId="15ED0CE3" w14:textId="77777777" w:rsidTr="00735AFD">
        <w:tc>
          <w:tcPr>
            <w:tcW w:w="5876" w:type="dxa"/>
            <w:tcBorders>
              <w:top w:val="single" w:sz="4" w:space="0" w:color="A6A6A6" w:themeColor="background1" w:themeShade="A6"/>
              <w:bottom w:val="single" w:sz="4" w:space="0" w:color="A6A6A6" w:themeColor="background1" w:themeShade="A6"/>
            </w:tcBorders>
            <w:shd w:val="clear" w:color="auto" w:fill="auto"/>
            <w:noWrap/>
            <w:vAlign w:val="bottom"/>
          </w:tcPr>
          <w:p w14:paraId="2DF86F12" w14:textId="77777777" w:rsidR="00671D77" w:rsidRPr="00142784" w:rsidRDefault="00671D77" w:rsidP="00671D77">
            <w:pPr>
              <w:pStyle w:val="TabletextBold"/>
              <w:rPr>
                <w:szCs w:val="20"/>
              </w:rPr>
            </w:pPr>
            <w:r w:rsidRPr="00142784">
              <w:rPr>
                <w:szCs w:val="20"/>
              </w:rPr>
              <w:t>Net cash generated from financing activities</w:t>
            </w:r>
          </w:p>
        </w:tc>
        <w:tc>
          <w:tcPr>
            <w:tcW w:w="1172" w:type="dxa"/>
            <w:tcBorders>
              <w:top w:val="single" w:sz="4" w:space="0" w:color="A6A6A6" w:themeColor="background1" w:themeShade="A6"/>
              <w:bottom w:val="single" w:sz="4" w:space="0" w:color="A6A6A6" w:themeColor="background1" w:themeShade="A6"/>
            </w:tcBorders>
            <w:shd w:val="clear" w:color="auto" w:fill="auto"/>
            <w:noWrap/>
            <w:vAlign w:val="bottom"/>
          </w:tcPr>
          <w:p w14:paraId="2EC9D7A9" w14:textId="77777777" w:rsidR="00671D77" w:rsidRPr="00142784" w:rsidRDefault="00671D77" w:rsidP="00671D77">
            <w:pPr>
              <w:pStyle w:val="TableFigures"/>
              <w:ind w:right="0"/>
              <w:rPr>
                <w:szCs w:val="20"/>
              </w:rPr>
            </w:pPr>
          </w:p>
        </w:tc>
        <w:tc>
          <w:tcPr>
            <w:tcW w:w="1263" w:type="dxa"/>
            <w:tcBorders>
              <w:top w:val="single" w:sz="4" w:space="0" w:color="A6A6A6" w:themeColor="background1" w:themeShade="A6"/>
              <w:bottom w:val="single" w:sz="4" w:space="0" w:color="A6A6A6" w:themeColor="background1" w:themeShade="A6"/>
            </w:tcBorders>
            <w:shd w:val="clear" w:color="auto" w:fill="auto"/>
            <w:noWrap/>
            <w:vAlign w:val="bottom"/>
          </w:tcPr>
          <w:p w14:paraId="10634B3C" w14:textId="77777777" w:rsidR="00671D77" w:rsidRPr="0068185D" w:rsidRDefault="00671D77" w:rsidP="00671D77">
            <w:pPr>
              <w:pStyle w:val="TableFiguresBold0"/>
            </w:pPr>
          </w:p>
        </w:tc>
        <w:tc>
          <w:tcPr>
            <w:tcW w:w="1263" w:type="dxa"/>
            <w:tcBorders>
              <w:top w:val="single" w:sz="4" w:space="0" w:color="A6A6A6" w:themeColor="background1" w:themeShade="A6"/>
              <w:bottom w:val="single" w:sz="4" w:space="0" w:color="A6A6A6" w:themeColor="background1" w:themeShade="A6"/>
            </w:tcBorders>
            <w:shd w:val="clear" w:color="auto" w:fill="auto"/>
            <w:noWrap/>
          </w:tcPr>
          <w:p w14:paraId="4C49F24C" w14:textId="6BA72945" w:rsidR="00671D77" w:rsidRPr="00142784" w:rsidRDefault="00142784" w:rsidP="00671D77">
            <w:pPr>
              <w:pStyle w:val="TableFiguresBold0"/>
            </w:pPr>
            <w:r w:rsidRPr="00142784">
              <w:t>918</w:t>
            </w:r>
          </w:p>
        </w:tc>
        <w:tc>
          <w:tcPr>
            <w:tcW w:w="1263" w:type="dxa"/>
            <w:tcBorders>
              <w:top w:val="single" w:sz="4" w:space="0" w:color="A6A6A6" w:themeColor="background1" w:themeShade="A6"/>
              <w:bottom w:val="single" w:sz="4" w:space="0" w:color="A6A6A6" w:themeColor="background1" w:themeShade="A6"/>
            </w:tcBorders>
            <w:noWrap/>
            <w:vAlign w:val="bottom"/>
          </w:tcPr>
          <w:p w14:paraId="4BE11B9C" w14:textId="578CE4D2" w:rsidR="00671D77" w:rsidRPr="00142784" w:rsidRDefault="00142784" w:rsidP="00671D77">
            <w:pPr>
              <w:pStyle w:val="TableFigures"/>
            </w:pPr>
            <w:r w:rsidRPr="00142784">
              <w:t>863</w:t>
            </w:r>
          </w:p>
        </w:tc>
      </w:tr>
      <w:tr w:rsidR="005F6D8A" w:rsidRPr="005F6D8A" w14:paraId="5F6843FE" w14:textId="77777777" w:rsidTr="00735AFD">
        <w:tc>
          <w:tcPr>
            <w:tcW w:w="5876" w:type="dxa"/>
            <w:tcBorders>
              <w:top w:val="single" w:sz="4" w:space="0" w:color="A6A6A6" w:themeColor="background1" w:themeShade="A6"/>
            </w:tcBorders>
            <w:shd w:val="clear" w:color="auto" w:fill="auto"/>
            <w:noWrap/>
            <w:vAlign w:val="bottom"/>
          </w:tcPr>
          <w:p w14:paraId="42141271" w14:textId="77777777" w:rsidR="00671D77" w:rsidRPr="00142784" w:rsidRDefault="00671D77" w:rsidP="00671D77">
            <w:pPr>
              <w:pStyle w:val="Tabletext"/>
              <w:rPr>
                <w:szCs w:val="20"/>
              </w:rPr>
            </w:pPr>
          </w:p>
        </w:tc>
        <w:tc>
          <w:tcPr>
            <w:tcW w:w="1172" w:type="dxa"/>
            <w:tcBorders>
              <w:top w:val="single" w:sz="4" w:space="0" w:color="A6A6A6" w:themeColor="background1" w:themeShade="A6"/>
            </w:tcBorders>
            <w:shd w:val="clear" w:color="auto" w:fill="auto"/>
            <w:noWrap/>
            <w:vAlign w:val="bottom"/>
          </w:tcPr>
          <w:p w14:paraId="171458D0" w14:textId="77777777" w:rsidR="00671D77" w:rsidRPr="00142784" w:rsidRDefault="00671D77" w:rsidP="00671D77">
            <w:pPr>
              <w:pStyle w:val="TableFigures"/>
              <w:ind w:right="0"/>
              <w:rPr>
                <w:szCs w:val="20"/>
              </w:rPr>
            </w:pPr>
          </w:p>
        </w:tc>
        <w:tc>
          <w:tcPr>
            <w:tcW w:w="1263" w:type="dxa"/>
            <w:tcBorders>
              <w:top w:val="single" w:sz="4" w:space="0" w:color="A6A6A6" w:themeColor="background1" w:themeShade="A6"/>
            </w:tcBorders>
            <w:shd w:val="clear" w:color="auto" w:fill="auto"/>
            <w:noWrap/>
            <w:vAlign w:val="bottom"/>
          </w:tcPr>
          <w:p w14:paraId="029FDC4A" w14:textId="77777777" w:rsidR="00671D77" w:rsidRPr="0068185D" w:rsidRDefault="00671D77" w:rsidP="00671D77">
            <w:pPr>
              <w:pStyle w:val="TableFiguresBold0"/>
            </w:pPr>
          </w:p>
        </w:tc>
        <w:tc>
          <w:tcPr>
            <w:tcW w:w="1263" w:type="dxa"/>
            <w:tcBorders>
              <w:top w:val="single" w:sz="4" w:space="0" w:color="A6A6A6" w:themeColor="background1" w:themeShade="A6"/>
            </w:tcBorders>
            <w:shd w:val="clear" w:color="auto" w:fill="auto"/>
            <w:noWrap/>
          </w:tcPr>
          <w:p w14:paraId="49D2A340" w14:textId="4A142DDE" w:rsidR="00671D77" w:rsidRPr="00142784" w:rsidRDefault="00671D77" w:rsidP="00671D77">
            <w:pPr>
              <w:pStyle w:val="TableFiguresBold0"/>
            </w:pPr>
          </w:p>
        </w:tc>
        <w:tc>
          <w:tcPr>
            <w:tcW w:w="1263" w:type="dxa"/>
            <w:tcBorders>
              <w:top w:val="single" w:sz="4" w:space="0" w:color="A6A6A6" w:themeColor="background1" w:themeShade="A6"/>
            </w:tcBorders>
            <w:shd w:val="clear" w:color="auto" w:fill="auto"/>
            <w:noWrap/>
            <w:vAlign w:val="bottom"/>
          </w:tcPr>
          <w:p w14:paraId="30CDBA13" w14:textId="77777777" w:rsidR="00671D77" w:rsidRPr="00142784" w:rsidRDefault="00671D77" w:rsidP="00671D77">
            <w:pPr>
              <w:pStyle w:val="TableFigures"/>
            </w:pPr>
          </w:p>
        </w:tc>
      </w:tr>
      <w:tr w:rsidR="005F6D8A" w:rsidRPr="005F6D8A" w14:paraId="04C29D42" w14:textId="77777777" w:rsidTr="00735AFD">
        <w:tc>
          <w:tcPr>
            <w:tcW w:w="5876" w:type="dxa"/>
            <w:shd w:val="clear" w:color="auto" w:fill="auto"/>
            <w:noWrap/>
            <w:vAlign w:val="bottom"/>
          </w:tcPr>
          <w:p w14:paraId="3E053FFD" w14:textId="0F1F93D3" w:rsidR="00671D77" w:rsidRPr="00142784" w:rsidRDefault="00671D77" w:rsidP="00671D77">
            <w:pPr>
              <w:pStyle w:val="TabletextBold"/>
              <w:rPr>
                <w:szCs w:val="20"/>
              </w:rPr>
            </w:pPr>
            <w:r w:rsidRPr="00142784">
              <w:rPr>
                <w:szCs w:val="20"/>
              </w:rPr>
              <w:t>Net</w:t>
            </w:r>
            <w:r w:rsidR="00142784" w:rsidRPr="00142784">
              <w:rPr>
                <w:szCs w:val="20"/>
              </w:rPr>
              <w:t xml:space="preserve"> </w:t>
            </w:r>
            <w:r w:rsidRPr="00142784">
              <w:rPr>
                <w:szCs w:val="20"/>
              </w:rPr>
              <w:t>decrease in cash and cash equivalents</w:t>
            </w:r>
          </w:p>
        </w:tc>
        <w:tc>
          <w:tcPr>
            <w:tcW w:w="1172" w:type="dxa"/>
            <w:shd w:val="clear" w:color="auto" w:fill="auto"/>
            <w:noWrap/>
            <w:vAlign w:val="bottom"/>
          </w:tcPr>
          <w:p w14:paraId="6A74A925" w14:textId="77777777" w:rsidR="00671D77" w:rsidRPr="00142784" w:rsidRDefault="00671D77" w:rsidP="00671D77">
            <w:pPr>
              <w:pStyle w:val="TableFigures"/>
              <w:ind w:right="0"/>
              <w:rPr>
                <w:szCs w:val="20"/>
              </w:rPr>
            </w:pPr>
          </w:p>
        </w:tc>
        <w:tc>
          <w:tcPr>
            <w:tcW w:w="1263" w:type="dxa"/>
            <w:shd w:val="clear" w:color="auto" w:fill="auto"/>
            <w:noWrap/>
            <w:vAlign w:val="bottom"/>
          </w:tcPr>
          <w:p w14:paraId="1889E149" w14:textId="77777777" w:rsidR="00671D77" w:rsidRPr="0068185D" w:rsidRDefault="00671D77" w:rsidP="00671D77">
            <w:pPr>
              <w:pStyle w:val="TableFiguresBold0"/>
            </w:pPr>
          </w:p>
        </w:tc>
        <w:tc>
          <w:tcPr>
            <w:tcW w:w="1263" w:type="dxa"/>
            <w:shd w:val="clear" w:color="auto" w:fill="auto"/>
            <w:noWrap/>
          </w:tcPr>
          <w:p w14:paraId="7C94761F" w14:textId="78905D56" w:rsidR="00671D77" w:rsidRPr="00142784" w:rsidRDefault="00671D77" w:rsidP="001E0CE9">
            <w:pPr>
              <w:pStyle w:val="TableFiguresBracketsBold"/>
            </w:pPr>
            <w:r w:rsidRPr="00142784">
              <w:t>(4</w:t>
            </w:r>
            <w:r w:rsidR="00142784" w:rsidRPr="00142784">
              <w:t>4</w:t>
            </w:r>
            <w:r w:rsidRPr="00142784">
              <w:t>)</w:t>
            </w:r>
          </w:p>
        </w:tc>
        <w:tc>
          <w:tcPr>
            <w:tcW w:w="1263" w:type="dxa"/>
            <w:shd w:val="clear" w:color="auto" w:fill="auto"/>
            <w:noWrap/>
            <w:vAlign w:val="bottom"/>
          </w:tcPr>
          <w:p w14:paraId="668483D6" w14:textId="271F28D1" w:rsidR="00671D77" w:rsidRPr="00142784" w:rsidRDefault="00142784" w:rsidP="0068185D">
            <w:pPr>
              <w:pStyle w:val="TableFiguresBrackets"/>
            </w:pPr>
            <w:r w:rsidRPr="00142784">
              <w:t>(44)</w:t>
            </w:r>
          </w:p>
        </w:tc>
      </w:tr>
      <w:tr w:rsidR="005F6D8A" w:rsidRPr="005F6D8A" w14:paraId="692F0FC8" w14:textId="77777777" w:rsidTr="00735AFD">
        <w:tc>
          <w:tcPr>
            <w:tcW w:w="5876" w:type="dxa"/>
            <w:shd w:val="clear" w:color="auto" w:fill="auto"/>
            <w:noWrap/>
            <w:vAlign w:val="bottom"/>
          </w:tcPr>
          <w:p w14:paraId="3917B1C3" w14:textId="77777777" w:rsidR="00671D77" w:rsidRPr="00142784" w:rsidRDefault="00671D77" w:rsidP="00671D77">
            <w:pPr>
              <w:pStyle w:val="Tabletext"/>
              <w:rPr>
                <w:szCs w:val="20"/>
              </w:rPr>
            </w:pPr>
            <w:r w:rsidRPr="00142784">
              <w:rPr>
                <w:szCs w:val="20"/>
              </w:rPr>
              <w:t>Cash and cash equivalents at the beginning of the year</w:t>
            </w:r>
          </w:p>
        </w:tc>
        <w:tc>
          <w:tcPr>
            <w:tcW w:w="1172" w:type="dxa"/>
            <w:shd w:val="clear" w:color="auto" w:fill="auto"/>
            <w:noWrap/>
            <w:vAlign w:val="bottom"/>
          </w:tcPr>
          <w:p w14:paraId="5D0B55F0" w14:textId="77777777" w:rsidR="00671D77" w:rsidRPr="00142784" w:rsidRDefault="00671D77" w:rsidP="00671D77">
            <w:pPr>
              <w:pStyle w:val="TableFigures"/>
              <w:ind w:right="0"/>
              <w:rPr>
                <w:szCs w:val="20"/>
              </w:rPr>
            </w:pPr>
          </w:p>
        </w:tc>
        <w:tc>
          <w:tcPr>
            <w:tcW w:w="1263" w:type="dxa"/>
            <w:shd w:val="clear" w:color="auto" w:fill="auto"/>
            <w:noWrap/>
            <w:vAlign w:val="bottom"/>
          </w:tcPr>
          <w:p w14:paraId="16ECB8B3" w14:textId="77777777" w:rsidR="00671D77" w:rsidRPr="0068185D" w:rsidRDefault="00671D77" w:rsidP="00671D77">
            <w:pPr>
              <w:pStyle w:val="TableFiguresBold0"/>
            </w:pPr>
          </w:p>
        </w:tc>
        <w:tc>
          <w:tcPr>
            <w:tcW w:w="1263" w:type="dxa"/>
            <w:shd w:val="clear" w:color="auto" w:fill="auto"/>
            <w:noWrap/>
          </w:tcPr>
          <w:p w14:paraId="12765CB5" w14:textId="1F7250E9" w:rsidR="00671D77" w:rsidRPr="00142784" w:rsidRDefault="00142784" w:rsidP="00671D77">
            <w:pPr>
              <w:pStyle w:val="TableFiguresBold0"/>
            </w:pPr>
            <w:r w:rsidRPr="00142784">
              <w:t>89</w:t>
            </w:r>
          </w:p>
        </w:tc>
        <w:tc>
          <w:tcPr>
            <w:tcW w:w="1263" w:type="dxa"/>
            <w:shd w:val="clear" w:color="auto" w:fill="auto"/>
            <w:noWrap/>
            <w:vAlign w:val="bottom"/>
          </w:tcPr>
          <w:p w14:paraId="61CF4FA3" w14:textId="576AFEF6" w:rsidR="00671D77" w:rsidRPr="00142784" w:rsidRDefault="00142784" w:rsidP="00671D77">
            <w:pPr>
              <w:pStyle w:val="TableFigures"/>
            </w:pPr>
            <w:r w:rsidRPr="00142784">
              <w:t>133</w:t>
            </w:r>
          </w:p>
        </w:tc>
      </w:tr>
      <w:tr w:rsidR="005F6D8A" w:rsidRPr="005F6D8A" w14:paraId="1B5C8069" w14:textId="77777777" w:rsidTr="00735AFD">
        <w:tc>
          <w:tcPr>
            <w:tcW w:w="5876" w:type="dxa"/>
            <w:tcBorders>
              <w:bottom w:val="single" w:sz="4" w:space="0" w:color="999999"/>
            </w:tcBorders>
            <w:shd w:val="clear" w:color="auto" w:fill="auto"/>
            <w:noWrap/>
            <w:vAlign w:val="bottom"/>
          </w:tcPr>
          <w:p w14:paraId="4D7D5741" w14:textId="77777777" w:rsidR="00671D77" w:rsidRPr="00142784" w:rsidRDefault="00671D77" w:rsidP="00671D77">
            <w:pPr>
              <w:pStyle w:val="Tabletext"/>
              <w:rPr>
                <w:szCs w:val="20"/>
              </w:rPr>
            </w:pPr>
            <w:r w:rsidRPr="00142784">
              <w:rPr>
                <w:szCs w:val="20"/>
              </w:rPr>
              <w:t>Effect of foreign exchange rate changes</w:t>
            </w:r>
          </w:p>
        </w:tc>
        <w:tc>
          <w:tcPr>
            <w:tcW w:w="1172" w:type="dxa"/>
            <w:tcBorders>
              <w:bottom w:val="single" w:sz="4" w:space="0" w:color="999999"/>
            </w:tcBorders>
            <w:shd w:val="clear" w:color="auto" w:fill="auto"/>
            <w:noWrap/>
            <w:vAlign w:val="bottom"/>
          </w:tcPr>
          <w:p w14:paraId="5C892C28" w14:textId="77777777" w:rsidR="00671D77" w:rsidRPr="00142784" w:rsidRDefault="00671D77" w:rsidP="00671D77">
            <w:pPr>
              <w:pStyle w:val="TableFigures"/>
              <w:ind w:right="0"/>
              <w:rPr>
                <w:szCs w:val="20"/>
              </w:rPr>
            </w:pPr>
          </w:p>
        </w:tc>
        <w:tc>
          <w:tcPr>
            <w:tcW w:w="1263" w:type="dxa"/>
            <w:tcBorders>
              <w:bottom w:val="single" w:sz="4" w:space="0" w:color="999999"/>
            </w:tcBorders>
            <w:shd w:val="clear" w:color="auto" w:fill="auto"/>
            <w:noWrap/>
            <w:vAlign w:val="bottom"/>
          </w:tcPr>
          <w:p w14:paraId="156FE8AE" w14:textId="77777777" w:rsidR="00671D77" w:rsidRPr="0068185D" w:rsidRDefault="00671D77" w:rsidP="00671D77">
            <w:pPr>
              <w:pStyle w:val="TableFiguresBold0"/>
            </w:pPr>
          </w:p>
        </w:tc>
        <w:tc>
          <w:tcPr>
            <w:tcW w:w="1263" w:type="dxa"/>
            <w:tcBorders>
              <w:bottom w:val="single" w:sz="4" w:space="0" w:color="999999"/>
            </w:tcBorders>
            <w:shd w:val="clear" w:color="auto" w:fill="auto"/>
            <w:noWrap/>
          </w:tcPr>
          <w:p w14:paraId="013E0F24" w14:textId="003D2746" w:rsidR="00671D77" w:rsidRPr="00142784" w:rsidRDefault="00142784" w:rsidP="00671D77">
            <w:pPr>
              <w:pStyle w:val="TableFiguresBold0"/>
            </w:pPr>
            <w:r w:rsidRPr="00142784">
              <w:t>–</w:t>
            </w:r>
          </w:p>
        </w:tc>
        <w:tc>
          <w:tcPr>
            <w:tcW w:w="1263" w:type="dxa"/>
            <w:tcBorders>
              <w:bottom w:val="single" w:sz="4" w:space="0" w:color="999999"/>
            </w:tcBorders>
            <w:shd w:val="clear" w:color="auto" w:fill="auto"/>
            <w:noWrap/>
            <w:vAlign w:val="bottom"/>
          </w:tcPr>
          <w:p w14:paraId="44D786D5" w14:textId="533CDCEF" w:rsidR="00671D77" w:rsidRPr="00142784" w:rsidRDefault="00142784" w:rsidP="0068185D">
            <w:pPr>
              <w:pStyle w:val="TableFigures"/>
            </w:pPr>
            <w:r w:rsidRPr="00142784">
              <w:t>–</w:t>
            </w:r>
          </w:p>
        </w:tc>
      </w:tr>
      <w:tr w:rsidR="005F6D8A" w:rsidRPr="005F6D8A" w14:paraId="43384A7A" w14:textId="77777777" w:rsidTr="00735AFD">
        <w:tc>
          <w:tcPr>
            <w:tcW w:w="5876" w:type="dxa"/>
            <w:tcBorders>
              <w:top w:val="single" w:sz="4" w:space="0" w:color="999999"/>
              <w:bottom w:val="single" w:sz="8" w:space="0" w:color="999999"/>
            </w:tcBorders>
            <w:shd w:val="clear" w:color="auto" w:fill="auto"/>
            <w:noWrap/>
            <w:vAlign w:val="bottom"/>
          </w:tcPr>
          <w:p w14:paraId="46B6F1B8" w14:textId="77777777" w:rsidR="00671D77" w:rsidRPr="00142784" w:rsidRDefault="00671D77" w:rsidP="00671D77">
            <w:pPr>
              <w:pStyle w:val="Tabletext"/>
              <w:rPr>
                <w:b/>
                <w:szCs w:val="20"/>
              </w:rPr>
            </w:pPr>
            <w:r w:rsidRPr="00142784">
              <w:rPr>
                <w:b/>
                <w:szCs w:val="20"/>
              </w:rPr>
              <w:t>Cash and cash equivalents at the end of the year</w:t>
            </w:r>
          </w:p>
        </w:tc>
        <w:tc>
          <w:tcPr>
            <w:tcW w:w="1172" w:type="dxa"/>
            <w:tcBorders>
              <w:top w:val="single" w:sz="4" w:space="0" w:color="999999"/>
              <w:bottom w:val="single" w:sz="8" w:space="0" w:color="999999"/>
            </w:tcBorders>
            <w:shd w:val="clear" w:color="auto" w:fill="auto"/>
            <w:noWrap/>
            <w:vAlign w:val="bottom"/>
          </w:tcPr>
          <w:p w14:paraId="7363F4CF" w14:textId="77777777" w:rsidR="00671D77" w:rsidRPr="00142784" w:rsidRDefault="00671D77" w:rsidP="00671D77"/>
        </w:tc>
        <w:tc>
          <w:tcPr>
            <w:tcW w:w="1263" w:type="dxa"/>
            <w:tcBorders>
              <w:top w:val="single" w:sz="4" w:space="0" w:color="999999"/>
              <w:bottom w:val="single" w:sz="8" w:space="0" w:color="999999"/>
            </w:tcBorders>
            <w:shd w:val="clear" w:color="auto" w:fill="auto"/>
            <w:noWrap/>
            <w:vAlign w:val="bottom"/>
          </w:tcPr>
          <w:p w14:paraId="5CB3A8A7" w14:textId="726EE09D" w:rsidR="00671D77" w:rsidRPr="0068185D" w:rsidRDefault="00671D77" w:rsidP="00671D77">
            <w:pPr>
              <w:pStyle w:val="TableFigures"/>
            </w:pPr>
            <w:r w:rsidRPr="0068185D">
              <w:t>13</w:t>
            </w:r>
          </w:p>
        </w:tc>
        <w:tc>
          <w:tcPr>
            <w:tcW w:w="1263" w:type="dxa"/>
            <w:tcBorders>
              <w:top w:val="single" w:sz="4" w:space="0" w:color="999999"/>
              <w:bottom w:val="single" w:sz="8" w:space="0" w:color="999999"/>
            </w:tcBorders>
            <w:shd w:val="clear" w:color="auto" w:fill="auto"/>
            <w:noWrap/>
            <w:vAlign w:val="bottom"/>
          </w:tcPr>
          <w:p w14:paraId="7359E775" w14:textId="56F542FD" w:rsidR="00671D77" w:rsidRPr="00142784" w:rsidRDefault="00142784" w:rsidP="00671D77">
            <w:pPr>
              <w:pStyle w:val="TableFiguresBold0"/>
            </w:pPr>
            <w:r w:rsidRPr="00142784">
              <w:t>45</w:t>
            </w:r>
          </w:p>
        </w:tc>
        <w:tc>
          <w:tcPr>
            <w:tcW w:w="1263" w:type="dxa"/>
            <w:tcBorders>
              <w:top w:val="single" w:sz="4" w:space="0" w:color="999999"/>
              <w:bottom w:val="single" w:sz="8" w:space="0" w:color="999999"/>
            </w:tcBorders>
            <w:shd w:val="clear" w:color="auto" w:fill="auto"/>
            <w:noWrap/>
            <w:vAlign w:val="bottom"/>
          </w:tcPr>
          <w:p w14:paraId="5B1156B5" w14:textId="1FCA5EB5" w:rsidR="00671D77" w:rsidRPr="00142784" w:rsidRDefault="00142784" w:rsidP="00671D77">
            <w:pPr>
              <w:pStyle w:val="TableFigures"/>
            </w:pPr>
            <w:r w:rsidRPr="00142784">
              <w:t>89</w:t>
            </w:r>
          </w:p>
        </w:tc>
      </w:tr>
    </w:tbl>
    <w:p w14:paraId="506FD5FD" w14:textId="77777777" w:rsidR="00671D77" w:rsidRPr="005F6D8A" w:rsidRDefault="00671D77" w:rsidP="00671D77">
      <w:pPr>
        <w:pStyle w:val="FootnotesNoSpace"/>
        <w:ind w:left="-284"/>
        <w:rPr>
          <w:i w:val="0"/>
          <w:color w:val="FF0000"/>
          <w:sz w:val="14"/>
          <w:szCs w:val="14"/>
        </w:rPr>
      </w:pPr>
    </w:p>
    <w:p w14:paraId="5186173C" w14:textId="5A2FF484" w:rsidR="00142784" w:rsidRPr="00142784" w:rsidRDefault="00AF06AD" w:rsidP="00142784">
      <w:pPr>
        <w:pStyle w:val="FootnotesNoSpace"/>
        <w:ind w:left="-284"/>
      </w:pPr>
      <w:r w:rsidRPr="00142784">
        <w:t xml:space="preserve">1 </w:t>
      </w:r>
      <w:r w:rsidR="00E7751B">
        <w:t>C</w:t>
      </w:r>
      <w:r w:rsidR="00142784" w:rsidRPr="00142784">
        <w:t>ash payment for the purchase and development of investment properties of £1,706 million (2020: £1,216 million) represents total costs for property acquisitions and additions to existing investment properties per Note 1</w:t>
      </w:r>
      <w:r w:rsidR="00E7751B">
        <w:t>2</w:t>
      </w:r>
      <w:r w:rsidR="00142784" w:rsidRPr="00142784">
        <w:t xml:space="preserve">(i) of £1,878 million (2020: £1,329 million) adjusted for the following cash and non-cash movements: deducts interest capitalised of £9 million (2020: £7 million); deducts net movement in capital accruals and prepayments of £23 million (2020: £30 million); deducts other non-cash movements of £140 million (2020: £76 million) from asset swaps in 2021, in 2020 other non-cash movements were mainly for transfers from other interests in properties and investments and the acquisition of Sofibus Patrimoine SA. </w:t>
      </w:r>
    </w:p>
    <w:p w14:paraId="27D4B674" w14:textId="14DEECBE" w:rsidR="00671D77" w:rsidRPr="00142784" w:rsidRDefault="00142784" w:rsidP="00142784">
      <w:pPr>
        <w:pStyle w:val="FootnotesNoSpace"/>
        <w:ind w:left="-284"/>
      </w:pPr>
      <w:r w:rsidRPr="00142784">
        <w:t xml:space="preserve">2 </w:t>
      </w:r>
      <w:r w:rsidR="00E7751B">
        <w:t>D</w:t>
      </w:r>
      <w:r w:rsidRPr="00142784">
        <w:t>ividends paid in 2021 of £180 million (2020: £179 million) includes £176 million (2020: £179 million) paid to ordinary shareholders and £4 million (2020: £nil) paid to non</w:t>
      </w:r>
      <w:r w:rsidR="00E7751B">
        <w:t>-</w:t>
      </w:r>
      <w:r w:rsidRPr="00142784">
        <w:t>controlling interest.</w:t>
      </w:r>
    </w:p>
    <w:p w14:paraId="5A983012" w14:textId="77777777" w:rsidR="005E793C" w:rsidRPr="005F6D8A" w:rsidRDefault="005E793C" w:rsidP="005E793C">
      <w:pPr>
        <w:pStyle w:val="HEADER20"/>
        <w:rPr>
          <w:color w:val="FF0000"/>
          <w:highlight w:val="yellow"/>
        </w:rPr>
      </w:pPr>
    </w:p>
    <w:p w14:paraId="1B7901B3" w14:textId="77777777" w:rsidR="005E793C" w:rsidRPr="005F6D8A" w:rsidRDefault="005E793C" w:rsidP="005E793C">
      <w:pPr>
        <w:pStyle w:val="Heading3"/>
        <w:rPr>
          <w:color w:val="FF0000"/>
          <w:highlight w:val="yellow"/>
        </w:rPr>
      </w:pPr>
      <w:r w:rsidRPr="005F6D8A">
        <w:rPr>
          <w:color w:val="FF0000"/>
          <w:highlight w:val="yellow"/>
        </w:rPr>
        <w:br w:type="page"/>
      </w:r>
    </w:p>
    <w:p w14:paraId="0C42FDBB" w14:textId="77777777" w:rsidR="005E793C" w:rsidRPr="00A65F99" w:rsidRDefault="005E793C" w:rsidP="005E793C">
      <w:pPr>
        <w:pStyle w:val="Heading1"/>
      </w:pPr>
      <w:r w:rsidRPr="00A65F99">
        <w:lastRenderedPageBreak/>
        <w:t xml:space="preserve">NOTES TO THE CONDENSED FINANCIAL STATEMENTS </w:t>
      </w:r>
    </w:p>
    <w:p w14:paraId="010CB046" w14:textId="77777777" w:rsidR="005E793C" w:rsidRPr="00C646E7" w:rsidRDefault="005E793C" w:rsidP="005E793C">
      <w:pPr>
        <w:pStyle w:val="Heading2"/>
      </w:pPr>
      <w:r w:rsidRPr="00C646E7">
        <w:t>1. SIGNIFICANT ACCOUNTING POLICIES</w:t>
      </w:r>
    </w:p>
    <w:p w14:paraId="49FD5D57" w14:textId="77777777" w:rsidR="008239CB" w:rsidRPr="00396CB2" w:rsidRDefault="008239CB" w:rsidP="008239CB">
      <w:pPr>
        <w:pStyle w:val="Normal1"/>
      </w:pPr>
      <w:r w:rsidRPr="00396CB2">
        <w:t>The financial information set out in this announcement does not constitute the consolidated statutory accounts for the years ended 31 December 2021 and 2020, but is derived from those accounts. Statutory accounts for 2020 have been delivered to the Registrar of Companies and those for 2021 (approved by the Board on 17 February 2022) will be delivered following the Company’s annual general meeting. The external auditor has reported on the accounts and their reports did not contain any modifications.</w:t>
      </w:r>
    </w:p>
    <w:p w14:paraId="17F2B3A4" w14:textId="77777777" w:rsidR="008239CB" w:rsidRPr="00396CB2" w:rsidRDefault="008239CB" w:rsidP="008239CB">
      <w:pPr>
        <w:pStyle w:val="Normal1"/>
      </w:pPr>
      <w:r w:rsidRPr="00396CB2">
        <w:t>Given due consideration to the nature of the Group’s business and financial position, including the financial resources available to the Group, the Directors consider that the Group is a going concern and this financial information is prepared on that basis.</w:t>
      </w:r>
    </w:p>
    <w:p w14:paraId="54E256AB" w14:textId="5CACEF39" w:rsidR="008239CB" w:rsidRPr="00396CB2" w:rsidRDefault="008239CB" w:rsidP="008239CB">
      <w:pPr>
        <w:pStyle w:val="Normal1"/>
      </w:pPr>
      <w:r w:rsidRPr="00396CB2">
        <w:t>The financial information set out in this announcement is based on the consolidated financial statements which are prepared in accordance with</w:t>
      </w:r>
      <w:r w:rsidR="00F252A5">
        <w:t xml:space="preserve"> UK-adopted</w:t>
      </w:r>
      <w:r w:rsidRPr="00396CB2">
        <w:t xml:space="preserve"> International Accounting Standards (IAS) </w:t>
      </w:r>
      <w:r w:rsidR="00064621">
        <w:t xml:space="preserve">and with the requirements of the Companies Act 2006 as applicable to companies reporting under </w:t>
      </w:r>
      <w:r w:rsidR="00702017">
        <w:t>those</w:t>
      </w:r>
      <w:r w:rsidR="00064621">
        <w:t xml:space="preserve"> standards </w:t>
      </w:r>
      <w:r w:rsidRPr="00396CB2">
        <w:t>and International Financial Reporting Standards (IFRS) adopted pursuant to Regulation (EC) No 1606/2002 as it applies in the European Union and complies with the disclosure requirements of the Listing Rules of the UK Financial Conduct Authority. On 31 December 2020 EU-adopted IFRS was brought into UK law and became UK-adopted International Accounting Standards, with future changes to IFRS being subject to endorsement by the UK Endorsement Board. The consolidated financial statements transitioned to UK-adopted international accounting standards for the financial period beginning 1 January 2021. There was no impact or changes in accounting policies from the transition. UK adopted International Accounting Standards differs in certain respects from International Financial Reporting Standards as adopted by the EU. The differences have no material impact on the Financial Statements for the periods presented, which therefore also comply with International Reporting Standards as adopted by the EU.</w:t>
      </w:r>
    </w:p>
    <w:p w14:paraId="0A23D1E4" w14:textId="77777777" w:rsidR="008239CB" w:rsidRPr="00396CB2" w:rsidRDefault="008239CB" w:rsidP="008239CB">
      <w:pPr>
        <w:pStyle w:val="Normal1"/>
      </w:pPr>
      <w:r w:rsidRPr="00396CB2">
        <w:t xml:space="preserve">The financial information is in accordance with the accounting policies set out in the 2020 financial statements. </w:t>
      </w:r>
    </w:p>
    <w:p w14:paraId="1B37BD4B" w14:textId="71624987" w:rsidR="008239CB" w:rsidRPr="00396CB2" w:rsidRDefault="008239CB" w:rsidP="008239CB">
      <w:pPr>
        <w:pStyle w:val="Normal1"/>
      </w:pPr>
      <w:r w:rsidRPr="00396CB2">
        <w:t xml:space="preserve">While the financial information included in these condensed financial statements has been prepared in accordance with the recognition and measurement criteria of </w:t>
      </w:r>
      <w:r w:rsidR="00EC5FDC">
        <w:t xml:space="preserve">UK-adopted </w:t>
      </w:r>
      <w:r w:rsidRPr="00396CB2">
        <w:t xml:space="preserve">IAS </w:t>
      </w:r>
      <w:r w:rsidR="00702017">
        <w:t xml:space="preserve">and with the requirements of the Companies Act 2006 as applicable to companies reporting under those standards </w:t>
      </w:r>
      <w:r w:rsidRPr="00396CB2">
        <w:t>and IFRS adopted pursuant to Regulation (EC) No 1606/2002 as it applies in the European Union, this announcement does not itself contain sufficient information to comply with IASs and IFRSs. The Company expects to publish full financial statements that comply with IASs and IFRSs by March 2022.</w:t>
      </w:r>
    </w:p>
    <w:p w14:paraId="4465B931" w14:textId="184F76FF" w:rsidR="008239CB" w:rsidRPr="00396CB2" w:rsidRDefault="008239CB" w:rsidP="008239CB">
      <w:pPr>
        <w:pStyle w:val="Normal1"/>
      </w:pPr>
      <w:r w:rsidRPr="00396CB2">
        <w:t>The principal exchange rates used to translate foreign currency denominated amounts are: Balance sheet: £1 = €1.19 (31 December 2020: £1 = €1.1</w:t>
      </w:r>
      <w:r>
        <w:t>2</w:t>
      </w:r>
      <w:r w:rsidRPr="00396CB2">
        <w:t>) and Income statement: £1 = €1.16 (2020: £1 = €1.1</w:t>
      </w:r>
      <w:r>
        <w:t>3</w:t>
      </w:r>
      <w:r w:rsidRPr="00396CB2">
        <w:t>).</w:t>
      </w:r>
    </w:p>
    <w:p w14:paraId="0D7E6991" w14:textId="77777777" w:rsidR="008239CB" w:rsidRPr="00396CB2" w:rsidRDefault="008239CB" w:rsidP="008239CB">
      <w:pPr>
        <w:pStyle w:val="Normal1"/>
        <w:rPr>
          <w:b/>
          <w:bCs/>
        </w:rPr>
      </w:pPr>
      <w:r w:rsidRPr="00396CB2">
        <w:rPr>
          <w:b/>
          <w:bCs/>
        </w:rPr>
        <w:t>New and amended standards adopted by the Group</w:t>
      </w:r>
    </w:p>
    <w:p w14:paraId="45A48E35" w14:textId="79B2406E" w:rsidR="008239CB" w:rsidRDefault="008239CB" w:rsidP="008239CB">
      <w:pPr>
        <w:pStyle w:val="Normal1"/>
      </w:pPr>
      <w:r w:rsidRPr="00396CB2">
        <w:t>The new accounting standards and amendments that became applicable for the current reporting year did not have any impact on the amounts recognised in prior period and are not expected to significantly affect the current or future periods.</w:t>
      </w:r>
    </w:p>
    <w:p w14:paraId="33D7F346" w14:textId="77777777" w:rsidR="00EC5FDC" w:rsidRPr="00BA4E4C" w:rsidRDefault="00EC5FDC" w:rsidP="00BA4E4C">
      <w:pPr>
        <w:pStyle w:val="Normal1"/>
        <w:rPr>
          <w:b/>
          <w:bCs/>
        </w:rPr>
      </w:pPr>
      <w:r w:rsidRPr="00BA4E4C">
        <w:rPr>
          <w:b/>
          <w:bCs/>
        </w:rPr>
        <w:t>Critical accounting judgements and key sources of estimation uncertainty</w:t>
      </w:r>
    </w:p>
    <w:p w14:paraId="7E9CA23D" w14:textId="21166DE8" w:rsidR="00EC5FDC" w:rsidRDefault="00EC5FDC" w:rsidP="00BA4E4C">
      <w:pPr>
        <w:pStyle w:val="Normal1"/>
      </w:pPr>
      <w:r>
        <w:t xml:space="preserve">In the application of the Group’s accounting policies, the Directors are required to make judgements, estimates and assumptions about the carrying amount of assets and liabilities that are not readily apparent from other sources. The estimates and associated assumptions are based on historical experience and other factors that are considered to be relevant. Actual results may differ from these estimates. The estimates and underlying assumptions are reviewed on an ongoing basis. Revisions to accounting estimates are recognised in the period in which the estimate is revised if the revision affects only that period, or in the period of the revisions and future periods if the revision affects both current and future periods.  </w:t>
      </w:r>
    </w:p>
    <w:p w14:paraId="5A6DE5F6" w14:textId="77777777" w:rsidR="00817509" w:rsidRDefault="00817509" w:rsidP="00BA4E4C">
      <w:pPr>
        <w:pStyle w:val="Normal1"/>
        <w:rPr>
          <w:b/>
          <w:bCs/>
        </w:rPr>
      </w:pPr>
    </w:p>
    <w:p w14:paraId="59F5D2F1" w14:textId="77777777" w:rsidR="00817509" w:rsidRDefault="00817509" w:rsidP="00BA4E4C">
      <w:pPr>
        <w:pStyle w:val="Normal1"/>
        <w:rPr>
          <w:b/>
          <w:bCs/>
        </w:rPr>
      </w:pPr>
    </w:p>
    <w:p w14:paraId="1055C011" w14:textId="77777777" w:rsidR="00817509" w:rsidRDefault="00817509" w:rsidP="00BA4E4C">
      <w:pPr>
        <w:pStyle w:val="Normal1"/>
        <w:rPr>
          <w:b/>
          <w:bCs/>
        </w:rPr>
      </w:pPr>
    </w:p>
    <w:p w14:paraId="5A08E7E2" w14:textId="46AA5A44" w:rsidR="00EC5FDC" w:rsidRPr="00BA4E4C" w:rsidRDefault="00EC5FDC" w:rsidP="00BA4E4C">
      <w:pPr>
        <w:pStyle w:val="Normal1"/>
        <w:rPr>
          <w:b/>
          <w:bCs/>
        </w:rPr>
      </w:pPr>
      <w:r w:rsidRPr="00BA4E4C">
        <w:rPr>
          <w:b/>
          <w:bCs/>
        </w:rPr>
        <w:lastRenderedPageBreak/>
        <w:t xml:space="preserve">Significant areas of estimation uncertainty </w:t>
      </w:r>
    </w:p>
    <w:p w14:paraId="678201F8" w14:textId="77777777" w:rsidR="00064621" w:rsidRPr="00BA4E4C" w:rsidRDefault="00EC5FDC">
      <w:pPr>
        <w:pStyle w:val="Normal1"/>
        <w:rPr>
          <w:b/>
          <w:bCs/>
        </w:rPr>
      </w:pPr>
      <w:r w:rsidRPr="00BA4E4C">
        <w:rPr>
          <w:b/>
          <w:bCs/>
        </w:rPr>
        <w:t xml:space="preserve">Property valuations </w:t>
      </w:r>
    </w:p>
    <w:p w14:paraId="22B4AE55" w14:textId="74832DD4" w:rsidR="00EC5FDC" w:rsidRDefault="00EC5FDC" w:rsidP="00BA4E4C">
      <w:pPr>
        <w:pStyle w:val="Normal1"/>
      </w:pPr>
      <w:r>
        <w:t xml:space="preserve">Valuation of property is a central component of the business. In estimating the fair value, the Group engage a third party qualified valuer to perform the valuation. </w:t>
      </w:r>
    </w:p>
    <w:p w14:paraId="0890B592" w14:textId="285D5E06" w:rsidR="00EC5FDC" w:rsidRPr="00BA4E4C" w:rsidRDefault="00EC5FDC" w:rsidP="00BA4E4C">
      <w:pPr>
        <w:pStyle w:val="Normal1"/>
        <w:rPr>
          <w:b/>
          <w:bCs/>
        </w:rPr>
      </w:pPr>
      <w:r w:rsidRPr="00BA4E4C">
        <w:rPr>
          <w:b/>
          <w:bCs/>
        </w:rPr>
        <w:t xml:space="preserve">Performance fee </w:t>
      </w:r>
    </w:p>
    <w:p w14:paraId="3292487A" w14:textId="79B4CFA8" w:rsidR="00EC5FDC" w:rsidRDefault="00EC5FDC" w:rsidP="00BA4E4C">
      <w:pPr>
        <w:pStyle w:val="Normal1"/>
      </w:pPr>
      <w:r>
        <w:t>As detailed further in Note 6, performance fees are payable from the SELP joint venture to SEGRO. The fee is based on the joint venture’s performance over the 10-year performance period since inception and payable subject to meeting certain criteria and hurdle rates at the end of the period. Performance fee income is recognised during the performance period to the extent that the fee can be reliably estimated and that it is highly probable there will not be a significant future reversal. The internal rate of return (‘IRR’) calculation to determine whether the hurdle rates will be met, and if so to what extent, at the end of the performance period in October 2023 is currently an estimation and sensitive to movements and assumptions in property valuations over the remaining performance period. As detailed above, property valuations is an area of significant estimation uncertainty.</w:t>
      </w:r>
    </w:p>
    <w:p w14:paraId="30F35121" w14:textId="77777777" w:rsidR="00EC5FDC" w:rsidRDefault="00EC5FDC" w:rsidP="00BA4E4C">
      <w:pPr>
        <w:pStyle w:val="Normal1"/>
      </w:pPr>
      <w:r>
        <w:t xml:space="preserve">Determining whether it is highly probable there will not be a significant future change in the performance fee is dependent on the probability and magnitude of future changes in property values over the remaining performance period. Note 6 provides details of the estimated performance fee due in October 2023 and sensitivity of this estimation to movements in property values from 31 December 2021 to the end of the performance period. The corresponding performance fee expense recognised by SELP is a significant estimate for the same reasons as detailed above. The SELP performance fee expense is accounted for under the equity method within share of profit from joint ventures after tax. </w:t>
      </w:r>
    </w:p>
    <w:p w14:paraId="017C2C8B" w14:textId="77777777" w:rsidR="00EC5FDC" w:rsidRPr="00BA4E4C" w:rsidRDefault="00EC5FDC" w:rsidP="00BA4E4C">
      <w:pPr>
        <w:pStyle w:val="Normal1"/>
        <w:rPr>
          <w:b/>
          <w:bCs/>
        </w:rPr>
      </w:pPr>
      <w:r w:rsidRPr="00BA4E4C">
        <w:rPr>
          <w:b/>
          <w:bCs/>
        </w:rPr>
        <w:t>Significant areas of judgements in applying the Group’s accounting policies</w:t>
      </w:r>
    </w:p>
    <w:p w14:paraId="13C583E6" w14:textId="77777777" w:rsidR="00EC5FDC" w:rsidRPr="00BA4E4C" w:rsidRDefault="00EC5FDC" w:rsidP="00BA4E4C">
      <w:pPr>
        <w:pStyle w:val="Normal1"/>
        <w:rPr>
          <w:b/>
          <w:bCs/>
        </w:rPr>
      </w:pPr>
      <w:r w:rsidRPr="00BA4E4C">
        <w:rPr>
          <w:b/>
          <w:bCs/>
        </w:rPr>
        <w:t xml:space="preserve">Accounting for significant property transactions </w:t>
      </w:r>
    </w:p>
    <w:p w14:paraId="1B61D943" w14:textId="77777777" w:rsidR="00EC5FDC" w:rsidRDefault="00EC5FDC" w:rsidP="00BA4E4C">
      <w:pPr>
        <w:pStyle w:val="Normal1"/>
      </w:pPr>
      <w:r>
        <w:t xml:space="preserve">Property transactions are complex in nature. Management considers each material transaction separately, with an assessment carried out to determine the most appropriate accounting treatment and judgements applied. The judgements include whether the transaction represents an asset acquisition or business combination and the cut-off for property transactions on recognition of property assets and revenue recognition. </w:t>
      </w:r>
    </w:p>
    <w:p w14:paraId="13D8A1FE" w14:textId="77777777" w:rsidR="00EC5FDC" w:rsidRDefault="00EC5FDC" w:rsidP="00BA4E4C">
      <w:pPr>
        <w:pStyle w:val="Normal1"/>
      </w:pPr>
      <w:r>
        <w:t xml:space="preserve">In making its judgement over the cut-off for property transactions, management considers whether the control of ownership of the assets acquired or disposed of has transferred to or from the Group (this consideration includes the revenue recognition criteria set out in IFRS 15 for the sale of trading properties). In making its judgement on whether the acquisition of property through the purchase of a corporate vehicle represents an asset acquisition or business combination, management considers whether the integrated set of assets and activities acquired contain both inputs and processes along with the ability to create outputs. Management also applies the optional ‘concentration test’ allowed under IFRS 3. When applying the optional test, management considers if substantially all of the fair value of gross assets acquired is concentrated in a single asset (or a group of similar assets). Where management judge that substantially all of the fair value of the gross assets acquired are concentrated in a single asset (or a group of similar assets) and the ‘concentration test’ met, the assets acquired would not represent a business and the purchase would be treated as an asset acquisition. </w:t>
      </w:r>
    </w:p>
    <w:p w14:paraId="78CB4368" w14:textId="77777777" w:rsidR="00EC5FDC" w:rsidRPr="00BA4E4C" w:rsidRDefault="00EC5FDC" w:rsidP="00BA4E4C">
      <w:pPr>
        <w:pStyle w:val="Normal1"/>
        <w:rPr>
          <w:b/>
          <w:bCs/>
        </w:rPr>
      </w:pPr>
      <w:r w:rsidRPr="00BA4E4C">
        <w:rPr>
          <w:b/>
          <w:bCs/>
        </w:rPr>
        <w:t xml:space="preserve">REIT Status </w:t>
      </w:r>
    </w:p>
    <w:p w14:paraId="28E5E2D5" w14:textId="77777777" w:rsidR="00EC5FDC" w:rsidRDefault="00EC5FDC" w:rsidP="00BA4E4C">
      <w:pPr>
        <w:pStyle w:val="Normal1"/>
      </w:pPr>
      <w:r>
        <w:t xml:space="preserve">The Company has elected for UK REIT and French SIIC status. To continue to benefit from these tax regimes, the Group is required to comply with certain conditions as outlined in Note 9. Management intends that the Group should continue as a UK REIT and a French SIIC for the foreseeable future. </w:t>
      </w:r>
    </w:p>
    <w:p w14:paraId="16FAA5E0" w14:textId="77777777" w:rsidR="00817509" w:rsidRDefault="00817509" w:rsidP="00BA4E4C">
      <w:pPr>
        <w:pStyle w:val="Normal1"/>
        <w:rPr>
          <w:b/>
          <w:bCs/>
        </w:rPr>
      </w:pPr>
    </w:p>
    <w:p w14:paraId="0B96B386" w14:textId="77777777" w:rsidR="00817509" w:rsidRDefault="00817509" w:rsidP="00BA4E4C">
      <w:pPr>
        <w:pStyle w:val="Normal1"/>
        <w:rPr>
          <w:b/>
          <w:bCs/>
        </w:rPr>
      </w:pPr>
    </w:p>
    <w:p w14:paraId="3E69A914" w14:textId="77777777" w:rsidR="00817509" w:rsidRDefault="00817509" w:rsidP="00BA4E4C">
      <w:pPr>
        <w:pStyle w:val="Normal1"/>
        <w:rPr>
          <w:b/>
          <w:bCs/>
        </w:rPr>
      </w:pPr>
    </w:p>
    <w:p w14:paraId="163BD2C8" w14:textId="2F71DE4B" w:rsidR="00EC5FDC" w:rsidRPr="00BA4E4C" w:rsidRDefault="00EC5FDC" w:rsidP="00BA4E4C">
      <w:pPr>
        <w:pStyle w:val="Normal1"/>
        <w:rPr>
          <w:b/>
          <w:bCs/>
        </w:rPr>
      </w:pPr>
      <w:r w:rsidRPr="00BA4E4C">
        <w:rPr>
          <w:b/>
          <w:bCs/>
        </w:rPr>
        <w:lastRenderedPageBreak/>
        <w:t xml:space="preserve">Uncertain tax positions </w:t>
      </w:r>
    </w:p>
    <w:p w14:paraId="465EC3CE" w14:textId="10120E7D" w:rsidR="00EC5FDC" w:rsidRPr="00396CB2" w:rsidRDefault="00EC5FDC">
      <w:pPr>
        <w:pStyle w:val="Normal1"/>
      </w:pPr>
      <w:r>
        <w:t>The Group is subject to periodic challenges by local tax authorities on a range of tax matters during the normal course of business. The tax impact can be uncertain until a conclusion is reached with the relevant tax authority or through a legal process. Management judgement is required in assessing the likelihood of whether a liability will arise and the most significant assessment during the year relates to the recognition of withholding tax in France and is discussed further in Note 9.</w:t>
      </w:r>
    </w:p>
    <w:p w14:paraId="78867A62" w14:textId="77777777" w:rsidR="005E793C" w:rsidRPr="00A65F99" w:rsidRDefault="005E793C" w:rsidP="005E793C">
      <w:pPr>
        <w:pStyle w:val="Heading1First"/>
        <w:rPr>
          <w:rStyle w:val="Heading1Char"/>
          <w:b/>
          <w:szCs w:val="20"/>
        </w:rPr>
      </w:pPr>
      <w:r w:rsidRPr="00A65F99">
        <w:rPr>
          <w:rStyle w:val="Heading1Char"/>
          <w:b/>
          <w:szCs w:val="20"/>
        </w:rPr>
        <w:t>2. Adjusted profit</w:t>
      </w:r>
    </w:p>
    <w:p w14:paraId="55F1A42C" w14:textId="77777777" w:rsidR="00A65F99" w:rsidRDefault="00A65F99" w:rsidP="005B7F66">
      <w:pPr>
        <w:pStyle w:val="Normal1"/>
      </w:pPr>
      <w:r>
        <w:t xml:space="preserve">Adjusted profit is a non-GAAP measure and is the Group’s measure of underlying profit, which is used by the Board and senior management to measure and monitor the Group’s income performance. </w:t>
      </w:r>
    </w:p>
    <w:p w14:paraId="10C4C1D8" w14:textId="77777777" w:rsidR="00A65F99" w:rsidRDefault="00A65F99" w:rsidP="005B7F66">
      <w:pPr>
        <w:pStyle w:val="Normal1"/>
      </w:pPr>
      <w:r>
        <w:t xml:space="preserve">It is based on the Best Practices Recommendations Guidelines of European Public Real Estate Association (EPRA), which calculate profit excluding investment and development property revaluations and gains or losses on disposals. Changes in the fair value of financial instruments and associated close-out costs and their related taxation, as well as other permitted one-off items, are also excluded. Refer to the Supplementary Notes for all EPRA adjustments. </w:t>
      </w:r>
    </w:p>
    <w:p w14:paraId="4C0F3F73" w14:textId="32340586" w:rsidR="00A65F99" w:rsidRDefault="00A65F99" w:rsidP="005B7F66">
      <w:pPr>
        <w:pStyle w:val="Normal1"/>
        <w:rPr>
          <w:color w:val="FF0000"/>
        </w:rPr>
      </w:pPr>
      <w:r>
        <w:t>The Directors may also exclude from the EPRA profit measure additional items (gains and losses) which are considered by them to be nonrecurring, unusual or significant by virtue of size and nature. No non-EPRA adjustments to underlying profit were made in the current or prior period.</w:t>
      </w:r>
    </w:p>
    <w:tbl>
      <w:tblPr>
        <w:tblW w:w="10348" w:type="dxa"/>
        <w:tblLayout w:type="fixed"/>
        <w:tblCellMar>
          <w:left w:w="0" w:type="dxa"/>
          <w:right w:w="0" w:type="dxa"/>
        </w:tblCellMar>
        <w:tblLook w:val="01E0" w:firstRow="1" w:lastRow="1" w:firstColumn="1" w:lastColumn="1" w:noHBand="0" w:noVBand="0"/>
      </w:tblPr>
      <w:tblGrid>
        <w:gridCol w:w="6663"/>
        <w:gridCol w:w="1275"/>
        <w:gridCol w:w="1276"/>
        <w:gridCol w:w="1134"/>
      </w:tblGrid>
      <w:tr w:rsidR="005F6D8A" w:rsidRPr="00CB4A31" w14:paraId="0738B6B8" w14:textId="77777777" w:rsidTr="00987007">
        <w:trPr>
          <w:trHeight w:hRule="exact" w:val="454"/>
        </w:trPr>
        <w:tc>
          <w:tcPr>
            <w:tcW w:w="6663" w:type="dxa"/>
            <w:tcBorders>
              <w:bottom w:val="single" w:sz="8" w:space="0" w:color="A6A6A6" w:themeColor="background1" w:themeShade="A6"/>
            </w:tcBorders>
            <w:shd w:val="clear" w:color="auto" w:fill="auto"/>
            <w:vAlign w:val="bottom"/>
          </w:tcPr>
          <w:p w14:paraId="46708FE1" w14:textId="77777777" w:rsidR="005E793C" w:rsidRPr="00CB4A31" w:rsidRDefault="005E793C" w:rsidP="00E30618">
            <w:pPr>
              <w:pStyle w:val="TableColHeads"/>
              <w:spacing w:line="-180" w:lineRule="auto"/>
              <w:rPr>
                <w:sz w:val="17"/>
                <w:szCs w:val="17"/>
              </w:rPr>
            </w:pPr>
          </w:p>
        </w:tc>
        <w:tc>
          <w:tcPr>
            <w:tcW w:w="1275" w:type="dxa"/>
            <w:tcBorders>
              <w:bottom w:val="single" w:sz="8" w:space="0" w:color="A6A6A6" w:themeColor="background1" w:themeShade="A6"/>
            </w:tcBorders>
            <w:shd w:val="clear" w:color="auto" w:fill="auto"/>
            <w:vAlign w:val="bottom"/>
          </w:tcPr>
          <w:p w14:paraId="674C7B36" w14:textId="3068F1FD" w:rsidR="005E793C" w:rsidRPr="00987007" w:rsidRDefault="009F794C" w:rsidP="00E30618">
            <w:pPr>
              <w:pStyle w:val="TableColHeadsBold0"/>
              <w:rPr>
                <w:b w:val="0"/>
                <w:sz w:val="17"/>
                <w:szCs w:val="17"/>
              </w:rPr>
            </w:pPr>
            <w:r w:rsidRPr="00987007">
              <w:rPr>
                <w:b w:val="0"/>
                <w:sz w:val="17"/>
                <w:szCs w:val="17"/>
              </w:rPr>
              <w:t>Notes</w:t>
            </w:r>
          </w:p>
        </w:tc>
        <w:tc>
          <w:tcPr>
            <w:tcW w:w="1276" w:type="dxa"/>
            <w:tcBorders>
              <w:bottom w:val="single" w:sz="8" w:space="0" w:color="A6A6A6" w:themeColor="background1" w:themeShade="A6"/>
            </w:tcBorders>
            <w:shd w:val="clear" w:color="auto" w:fill="auto"/>
            <w:vAlign w:val="bottom"/>
          </w:tcPr>
          <w:p w14:paraId="7C1FA39A" w14:textId="1975EFEA" w:rsidR="005E793C" w:rsidRPr="00CB4A31" w:rsidRDefault="005E793C" w:rsidP="00E30618">
            <w:pPr>
              <w:pStyle w:val="TableColHeadsBold0"/>
              <w:rPr>
                <w:sz w:val="17"/>
                <w:szCs w:val="17"/>
              </w:rPr>
            </w:pPr>
            <w:r w:rsidRPr="00CB4A31">
              <w:rPr>
                <w:sz w:val="17"/>
                <w:szCs w:val="17"/>
              </w:rPr>
              <w:t>20</w:t>
            </w:r>
            <w:r w:rsidR="005B7F66" w:rsidRPr="00CB4A31">
              <w:rPr>
                <w:sz w:val="17"/>
                <w:szCs w:val="17"/>
              </w:rPr>
              <w:t>2</w:t>
            </w:r>
            <w:r w:rsidR="00A65F99" w:rsidRPr="00CB4A31">
              <w:rPr>
                <w:sz w:val="17"/>
                <w:szCs w:val="17"/>
              </w:rPr>
              <w:t>1</w:t>
            </w:r>
          </w:p>
          <w:p w14:paraId="64D434BE" w14:textId="77777777" w:rsidR="005E793C" w:rsidRPr="00CB4A31" w:rsidRDefault="005E793C" w:rsidP="00E30618">
            <w:pPr>
              <w:pStyle w:val="TableColHeadsBold0"/>
              <w:rPr>
                <w:sz w:val="17"/>
                <w:szCs w:val="17"/>
              </w:rPr>
            </w:pPr>
            <w:r w:rsidRPr="00CB4A31">
              <w:rPr>
                <w:sz w:val="17"/>
                <w:szCs w:val="17"/>
              </w:rPr>
              <w:t>£m</w:t>
            </w:r>
          </w:p>
        </w:tc>
        <w:tc>
          <w:tcPr>
            <w:tcW w:w="1134" w:type="dxa"/>
            <w:tcBorders>
              <w:bottom w:val="single" w:sz="8" w:space="0" w:color="A6A6A6" w:themeColor="background1" w:themeShade="A6"/>
            </w:tcBorders>
            <w:shd w:val="clear" w:color="auto" w:fill="auto"/>
            <w:vAlign w:val="bottom"/>
          </w:tcPr>
          <w:p w14:paraId="3BF84925" w14:textId="0E42111A" w:rsidR="005E793C" w:rsidRPr="00CB4A31" w:rsidRDefault="005E793C" w:rsidP="00E30618">
            <w:pPr>
              <w:pStyle w:val="TableColHeadsBold0"/>
              <w:rPr>
                <w:b w:val="0"/>
                <w:bCs w:val="0"/>
                <w:sz w:val="17"/>
                <w:szCs w:val="17"/>
              </w:rPr>
            </w:pPr>
            <w:r w:rsidRPr="00CB4A31">
              <w:rPr>
                <w:b w:val="0"/>
                <w:bCs w:val="0"/>
                <w:sz w:val="17"/>
                <w:szCs w:val="17"/>
              </w:rPr>
              <w:t>20</w:t>
            </w:r>
            <w:r w:rsidR="00A65F99" w:rsidRPr="00CB4A31">
              <w:rPr>
                <w:b w:val="0"/>
                <w:bCs w:val="0"/>
                <w:sz w:val="17"/>
                <w:szCs w:val="17"/>
              </w:rPr>
              <w:t>20</w:t>
            </w:r>
          </w:p>
          <w:p w14:paraId="3F1AEE67" w14:textId="77777777" w:rsidR="005E793C" w:rsidRPr="00CB4A31" w:rsidRDefault="005E793C" w:rsidP="00E30618">
            <w:pPr>
              <w:pStyle w:val="TableColHeadsBold0"/>
              <w:rPr>
                <w:sz w:val="17"/>
                <w:szCs w:val="17"/>
              </w:rPr>
            </w:pPr>
            <w:r w:rsidRPr="00CB4A31">
              <w:rPr>
                <w:b w:val="0"/>
                <w:bCs w:val="0"/>
                <w:sz w:val="17"/>
                <w:szCs w:val="17"/>
              </w:rPr>
              <w:t>£m</w:t>
            </w:r>
          </w:p>
        </w:tc>
      </w:tr>
      <w:tr w:rsidR="005F6D8A" w:rsidRPr="00CB4A31" w14:paraId="3CABB1C6" w14:textId="77777777" w:rsidTr="00987007">
        <w:trPr>
          <w:trHeight w:hRule="exact" w:val="227"/>
        </w:trPr>
        <w:tc>
          <w:tcPr>
            <w:tcW w:w="6663" w:type="dxa"/>
            <w:tcBorders>
              <w:top w:val="single" w:sz="8" w:space="0" w:color="A6A6A6" w:themeColor="background1" w:themeShade="A6"/>
            </w:tcBorders>
            <w:shd w:val="clear" w:color="auto" w:fill="auto"/>
            <w:vAlign w:val="bottom"/>
          </w:tcPr>
          <w:p w14:paraId="25C66765" w14:textId="77777777" w:rsidR="00630373" w:rsidRPr="00CB4A31" w:rsidRDefault="00630373" w:rsidP="00630373">
            <w:pPr>
              <w:pStyle w:val="Tabletext"/>
            </w:pPr>
            <w:r w:rsidRPr="00CB4A31">
              <w:t>Gross rental income</w:t>
            </w:r>
          </w:p>
        </w:tc>
        <w:tc>
          <w:tcPr>
            <w:tcW w:w="1275" w:type="dxa"/>
            <w:tcBorders>
              <w:top w:val="single" w:sz="8" w:space="0" w:color="A6A6A6" w:themeColor="background1" w:themeShade="A6"/>
            </w:tcBorders>
            <w:shd w:val="clear" w:color="auto" w:fill="auto"/>
            <w:vAlign w:val="bottom"/>
          </w:tcPr>
          <w:p w14:paraId="47794A29" w14:textId="52C1BFF5" w:rsidR="00630373" w:rsidRPr="00987007" w:rsidRDefault="00630373" w:rsidP="00823C08">
            <w:pPr>
              <w:pStyle w:val="TableFigures"/>
            </w:pPr>
            <w:r w:rsidRPr="00987007">
              <w:t>4</w:t>
            </w:r>
          </w:p>
        </w:tc>
        <w:tc>
          <w:tcPr>
            <w:tcW w:w="1276" w:type="dxa"/>
            <w:tcBorders>
              <w:top w:val="single" w:sz="8" w:space="0" w:color="A6A6A6" w:themeColor="background1" w:themeShade="A6"/>
            </w:tcBorders>
            <w:shd w:val="clear" w:color="auto" w:fill="auto"/>
          </w:tcPr>
          <w:p w14:paraId="131ED0C7" w14:textId="6B46B00A" w:rsidR="00630373" w:rsidRPr="00CB4A31" w:rsidRDefault="00A65F99" w:rsidP="003F14CB">
            <w:pPr>
              <w:pStyle w:val="TableFiguresBold0"/>
            </w:pPr>
            <w:r w:rsidRPr="00CB4A31">
              <w:t>447</w:t>
            </w:r>
          </w:p>
        </w:tc>
        <w:tc>
          <w:tcPr>
            <w:tcW w:w="1134" w:type="dxa"/>
            <w:tcBorders>
              <w:top w:val="single" w:sz="8" w:space="0" w:color="A6A6A6" w:themeColor="background1" w:themeShade="A6"/>
            </w:tcBorders>
            <w:vAlign w:val="bottom"/>
          </w:tcPr>
          <w:p w14:paraId="203C1984" w14:textId="616F3D6E" w:rsidR="00630373" w:rsidRPr="00CB4A31" w:rsidRDefault="00A65F99" w:rsidP="00630373">
            <w:pPr>
              <w:pStyle w:val="TableFigures"/>
            </w:pPr>
            <w:r w:rsidRPr="00CB4A31">
              <w:t>393</w:t>
            </w:r>
          </w:p>
        </w:tc>
      </w:tr>
      <w:tr w:rsidR="005F6D8A" w:rsidRPr="00CB4A31" w14:paraId="78C7C034" w14:textId="77777777" w:rsidTr="00987007">
        <w:trPr>
          <w:trHeight w:hRule="exact" w:val="227"/>
        </w:trPr>
        <w:tc>
          <w:tcPr>
            <w:tcW w:w="6663" w:type="dxa"/>
            <w:tcBorders>
              <w:bottom w:val="single" w:sz="4" w:space="0" w:color="A6A6A6" w:themeColor="background1" w:themeShade="A6"/>
            </w:tcBorders>
            <w:shd w:val="clear" w:color="auto" w:fill="auto"/>
            <w:vAlign w:val="bottom"/>
          </w:tcPr>
          <w:p w14:paraId="21CFC416" w14:textId="77777777" w:rsidR="00630373" w:rsidRPr="00CB4A31" w:rsidRDefault="00630373" w:rsidP="00630373">
            <w:pPr>
              <w:pStyle w:val="Tabletext"/>
            </w:pPr>
            <w:r w:rsidRPr="00CB4A31">
              <w:t>Property operating expenses</w:t>
            </w:r>
          </w:p>
        </w:tc>
        <w:tc>
          <w:tcPr>
            <w:tcW w:w="1275" w:type="dxa"/>
            <w:tcBorders>
              <w:bottom w:val="single" w:sz="4" w:space="0" w:color="A6A6A6" w:themeColor="background1" w:themeShade="A6"/>
            </w:tcBorders>
            <w:shd w:val="clear" w:color="auto" w:fill="auto"/>
            <w:vAlign w:val="bottom"/>
          </w:tcPr>
          <w:p w14:paraId="3AA23A96" w14:textId="7AC450AD" w:rsidR="00630373" w:rsidRPr="00987007" w:rsidRDefault="00630373" w:rsidP="00823C08">
            <w:pPr>
              <w:pStyle w:val="TableFigures"/>
            </w:pPr>
            <w:r w:rsidRPr="00987007">
              <w:t>5</w:t>
            </w:r>
          </w:p>
        </w:tc>
        <w:tc>
          <w:tcPr>
            <w:tcW w:w="1276" w:type="dxa"/>
            <w:tcBorders>
              <w:bottom w:val="single" w:sz="4" w:space="0" w:color="A6A6A6" w:themeColor="background1" w:themeShade="A6"/>
            </w:tcBorders>
            <w:shd w:val="clear" w:color="auto" w:fill="auto"/>
          </w:tcPr>
          <w:p w14:paraId="7CAE67FA" w14:textId="5025039E" w:rsidR="00630373" w:rsidRPr="00CB4A31" w:rsidRDefault="00C85522" w:rsidP="003F14CB">
            <w:pPr>
              <w:pStyle w:val="TableFiguresBracketsBold"/>
            </w:pPr>
            <w:r w:rsidRPr="00CB4A31">
              <w:t>(</w:t>
            </w:r>
            <w:r w:rsidR="00A65F99" w:rsidRPr="00CB4A31">
              <w:t>100</w:t>
            </w:r>
            <w:r w:rsidRPr="00CB4A31">
              <w:t>)</w:t>
            </w:r>
          </w:p>
        </w:tc>
        <w:tc>
          <w:tcPr>
            <w:tcW w:w="1134" w:type="dxa"/>
            <w:tcBorders>
              <w:bottom w:val="single" w:sz="4" w:space="0" w:color="A6A6A6" w:themeColor="background1" w:themeShade="A6"/>
            </w:tcBorders>
            <w:vAlign w:val="bottom"/>
          </w:tcPr>
          <w:p w14:paraId="49D7D9B5" w14:textId="10E6351E" w:rsidR="00630373" w:rsidRPr="00CB4A31" w:rsidRDefault="00630373" w:rsidP="00630373">
            <w:pPr>
              <w:pStyle w:val="TableFiguresBrackets"/>
            </w:pPr>
            <w:r w:rsidRPr="00CB4A31">
              <w:t>(8</w:t>
            </w:r>
            <w:r w:rsidR="00A65F99" w:rsidRPr="00CB4A31">
              <w:t>8</w:t>
            </w:r>
            <w:r w:rsidRPr="00CB4A31">
              <w:t>)</w:t>
            </w:r>
          </w:p>
        </w:tc>
      </w:tr>
      <w:tr w:rsidR="005F6D8A" w:rsidRPr="00CB4A31" w14:paraId="27444A18" w14:textId="77777777" w:rsidTr="00987007">
        <w:trPr>
          <w:trHeight w:hRule="exact" w:val="227"/>
        </w:trPr>
        <w:tc>
          <w:tcPr>
            <w:tcW w:w="6663" w:type="dxa"/>
            <w:tcBorders>
              <w:top w:val="single" w:sz="4" w:space="0" w:color="A6A6A6" w:themeColor="background1" w:themeShade="A6"/>
            </w:tcBorders>
            <w:shd w:val="clear" w:color="auto" w:fill="auto"/>
            <w:vAlign w:val="bottom"/>
          </w:tcPr>
          <w:p w14:paraId="222587B9" w14:textId="77777777" w:rsidR="00C85522" w:rsidRPr="00CB4A31" w:rsidRDefault="00C85522" w:rsidP="00C85522">
            <w:pPr>
              <w:pStyle w:val="TabletextBold"/>
            </w:pPr>
            <w:r w:rsidRPr="00CB4A31">
              <w:t>Net rental income</w:t>
            </w:r>
          </w:p>
        </w:tc>
        <w:tc>
          <w:tcPr>
            <w:tcW w:w="1275" w:type="dxa"/>
            <w:tcBorders>
              <w:top w:val="single" w:sz="4" w:space="0" w:color="A6A6A6" w:themeColor="background1" w:themeShade="A6"/>
            </w:tcBorders>
            <w:shd w:val="clear" w:color="auto" w:fill="auto"/>
            <w:vAlign w:val="bottom"/>
          </w:tcPr>
          <w:p w14:paraId="14D48F5D" w14:textId="6A64D3AF" w:rsidR="00C85522" w:rsidRPr="00987007" w:rsidRDefault="00C85522" w:rsidP="00823C08">
            <w:pPr>
              <w:pStyle w:val="TableFigures"/>
            </w:pPr>
          </w:p>
        </w:tc>
        <w:tc>
          <w:tcPr>
            <w:tcW w:w="1276" w:type="dxa"/>
            <w:tcBorders>
              <w:top w:val="single" w:sz="4" w:space="0" w:color="A6A6A6" w:themeColor="background1" w:themeShade="A6"/>
            </w:tcBorders>
            <w:shd w:val="clear" w:color="auto" w:fill="auto"/>
          </w:tcPr>
          <w:p w14:paraId="398C9D61" w14:textId="34431190" w:rsidR="00C85522" w:rsidRPr="00CB4A31" w:rsidRDefault="00A65F99" w:rsidP="003F14CB">
            <w:pPr>
              <w:pStyle w:val="TableFiguresBold0"/>
            </w:pPr>
            <w:r w:rsidRPr="00CB4A31">
              <w:t>347</w:t>
            </w:r>
          </w:p>
        </w:tc>
        <w:tc>
          <w:tcPr>
            <w:tcW w:w="1134" w:type="dxa"/>
            <w:tcBorders>
              <w:top w:val="single" w:sz="4" w:space="0" w:color="A6A6A6" w:themeColor="background1" w:themeShade="A6"/>
            </w:tcBorders>
            <w:vAlign w:val="bottom"/>
          </w:tcPr>
          <w:p w14:paraId="627E6DB9" w14:textId="39C28449" w:rsidR="00C85522" w:rsidRPr="00CB4A31" w:rsidRDefault="00A65F99" w:rsidP="00C85522">
            <w:pPr>
              <w:pStyle w:val="TableFigures"/>
            </w:pPr>
            <w:r w:rsidRPr="00CB4A31">
              <w:t>305</w:t>
            </w:r>
          </w:p>
        </w:tc>
      </w:tr>
      <w:tr w:rsidR="005F6D8A" w:rsidRPr="00CB4A31" w14:paraId="2F9AD1E5" w14:textId="77777777" w:rsidTr="00987007">
        <w:trPr>
          <w:trHeight w:hRule="exact" w:val="227"/>
        </w:trPr>
        <w:tc>
          <w:tcPr>
            <w:tcW w:w="6663" w:type="dxa"/>
            <w:shd w:val="clear" w:color="auto" w:fill="auto"/>
            <w:vAlign w:val="bottom"/>
          </w:tcPr>
          <w:p w14:paraId="01DB462D" w14:textId="77777777" w:rsidR="00C85522" w:rsidRPr="00CB4A31" w:rsidRDefault="00C85522" w:rsidP="00C85522">
            <w:pPr>
              <w:pStyle w:val="Tabletext"/>
            </w:pPr>
            <w:r w:rsidRPr="00CB4A31">
              <w:t>Joint venture fee income</w:t>
            </w:r>
          </w:p>
        </w:tc>
        <w:tc>
          <w:tcPr>
            <w:tcW w:w="1275" w:type="dxa"/>
            <w:shd w:val="clear" w:color="auto" w:fill="auto"/>
            <w:vAlign w:val="bottom"/>
          </w:tcPr>
          <w:p w14:paraId="541FDC73" w14:textId="3919CFB2" w:rsidR="00C85522" w:rsidRPr="00987007" w:rsidRDefault="00C85522" w:rsidP="00823C08">
            <w:pPr>
              <w:pStyle w:val="TableFigures"/>
            </w:pPr>
            <w:r w:rsidRPr="00987007">
              <w:t>4</w:t>
            </w:r>
          </w:p>
        </w:tc>
        <w:tc>
          <w:tcPr>
            <w:tcW w:w="1276" w:type="dxa"/>
            <w:shd w:val="clear" w:color="auto" w:fill="auto"/>
          </w:tcPr>
          <w:p w14:paraId="65591925" w14:textId="3D42E600" w:rsidR="00C85522" w:rsidRPr="00CB4A31" w:rsidRDefault="00A65F99" w:rsidP="003F14CB">
            <w:pPr>
              <w:pStyle w:val="TableFiguresBold0"/>
            </w:pPr>
            <w:r w:rsidRPr="00CB4A31">
              <w:t>52</w:t>
            </w:r>
          </w:p>
        </w:tc>
        <w:tc>
          <w:tcPr>
            <w:tcW w:w="1134" w:type="dxa"/>
            <w:vAlign w:val="bottom"/>
          </w:tcPr>
          <w:p w14:paraId="26268A78" w14:textId="4847040B" w:rsidR="00C85522" w:rsidRPr="00CB4A31" w:rsidRDefault="00A65F99" w:rsidP="00C85522">
            <w:pPr>
              <w:pStyle w:val="TableFigures"/>
            </w:pPr>
            <w:r w:rsidRPr="00CB4A31">
              <w:t>22</w:t>
            </w:r>
          </w:p>
        </w:tc>
      </w:tr>
      <w:tr w:rsidR="005F6D8A" w:rsidRPr="00CB4A31" w14:paraId="69D99AA3" w14:textId="77777777" w:rsidTr="00987007">
        <w:trPr>
          <w:trHeight w:hRule="exact" w:val="227"/>
        </w:trPr>
        <w:tc>
          <w:tcPr>
            <w:tcW w:w="6663" w:type="dxa"/>
            <w:shd w:val="clear" w:color="auto" w:fill="auto"/>
            <w:vAlign w:val="bottom"/>
          </w:tcPr>
          <w:p w14:paraId="61730FC9" w14:textId="77777777" w:rsidR="00C85522" w:rsidRPr="00CB4A31" w:rsidRDefault="00C85522" w:rsidP="00C85522">
            <w:pPr>
              <w:pStyle w:val="Tabletext"/>
            </w:pPr>
            <w:r w:rsidRPr="00CB4A31">
              <w:t>Administration expenses</w:t>
            </w:r>
          </w:p>
        </w:tc>
        <w:tc>
          <w:tcPr>
            <w:tcW w:w="1275" w:type="dxa"/>
            <w:shd w:val="clear" w:color="auto" w:fill="auto"/>
            <w:vAlign w:val="bottom"/>
          </w:tcPr>
          <w:p w14:paraId="16318ACF" w14:textId="2E41A174" w:rsidR="00C85522" w:rsidRPr="00987007" w:rsidRDefault="00C85522" w:rsidP="00823C08">
            <w:pPr>
              <w:pStyle w:val="TableFigures"/>
            </w:pPr>
          </w:p>
        </w:tc>
        <w:tc>
          <w:tcPr>
            <w:tcW w:w="1276" w:type="dxa"/>
            <w:shd w:val="clear" w:color="auto" w:fill="auto"/>
          </w:tcPr>
          <w:p w14:paraId="05A6D330" w14:textId="7F57F19A" w:rsidR="00C85522" w:rsidRPr="00CB4A31" w:rsidRDefault="00C85522" w:rsidP="003F14CB">
            <w:pPr>
              <w:pStyle w:val="TableFiguresBracketsBold"/>
            </w:pPr>
            <w:r w:rsidRPr="00CB4A31">
              <w:t>(5</w:t>
            </w:r>
            <w:r w:rsidR="00A65F99" w:rsidRPr="00CB4A31">
              <w:t>9)</w:t>
            </w:r>
          </w:p>
        </w:tc>
        <w:tc>
          <w:tcPr>
            <w:tcW w:w="1134" w:type="dxa"/>
            <w:vAlign w:val="bottom"/>
          </w:tcPr>
          <w:p w14:paraId="6C007D73" w14:textId="1F6F5179" w:rsidR="00C85522" w:rsidRPr="00CB4A31" w:rsidRDefault="00C85522" w:rsidP="00C85522">
            <w:pPr>
              <w:pStyle w:val="TableFiguresBrackets"/>
            </w:pPr>
            <w:r w:rsidRPr="00CB4A31">
              <w:t>(</w:t>
            </w:r>
            <w:r w:rsidR="00A65F99" w:rsidRPr="00CB4A31">
              <w:t>52</w:t>
            </w:r>
            <w:r w:rsidRPr="00CB4A31">
              <w:t>)</w:t>
            </w:r>
          </w:p>
        </w:tc>
      </w:tr>
      <w:tr w:rsidR="005F6D8A" w:rsidRPr="00CB4A31" w14:paraId="0E1CCBA9" w14:textId="77777777" w:rsidTr="00987007">
        <w:trPr>
          <w:trHeight w:hRule="exact" w:val="227"/>
        </w:trPr>
        <w:tc>
          <w:tcPr>
            <w:tcW w:w="6663" w:type="dxa"/>
            <w:tcBorders>
              <w:bottom w:val="single" w:sz="4" w:space="0" w:color="A6A6A6" w:themeColor="background1" w:themeShade="A6"/>
            </w:tcBorders>
            <w:shd w:val="clear" w:color="auto" w:fill="auto"/>
            <w:vAlign w:val="bottom"/>
          </w:tcPr>
          <w:p w14:paraId="5C0E54C7" w14:textId="77777777" w:rsidR="00C85522" w:rsidRPr="00CB4A31" w:rsidRDefault="00C85522" w:rsidP="00C85522">
            <w:pPr>
              <w:pStyle w:val="Tabletext"/>
            </w:pPr>
            <w:r w:rsidRPr="00CB4A31">
              <w:t>Share of joint ventures’ Adjusted profit after tax</w:t>
            </w:r>
            <w:r w:rsidRPr="00CB4A31">
              <w:rPr>
                <w:vertAlign w:val="superscript"/>
              </w:rPr>
              <w:t>1</w:t>
            </w:r>
          </w:p>
        </w:tc>
        <w:tc>
          <w:tcPr>
            <w:tcW w:w="1275" w:type="dxa"/>
            <w:tcBorders>
              <w:bottom w:val="single" w:sz="4" w:space="0" w:color="A6A6A6" w:themeColor="background1" w:themeShade="A6"/>
            </w:tcBorders>
            <w:shd w:val="clear" w:color="auto" w:fill="auto"/>
            <w:vAlign w:val="bottom"/>
          </w:tcPr>
          <w:p w14:paraId="2CD72FE9" w14:textId="26DBA50D" w:rsidR="00C85522" w:rsidRPr="00987007" w:rsidRDefault="00C85522" w:rsidP="00823C08">
            <w:pPr>
              <w:pStyle w:val="TableFigures"/>
            </w:pPr>
            <w:r w:rsidRPr="00987007">
              <w:t>6</w:t>
            </w:r>
          </w:p>
        </w:tc>
        <w:tc>
          <w:tcPr>
            <w:tcW w:w="1276" w:type="dxa"/>
            <w:tcBorders>
              <w:bottom w:val="single" w:sz="4" w:space="0" w:color="A6A6A6" w:themeColor="background1" w:themeShade="A6"/>
            </w:tcBorders>
            <w:shd w:val="clear" w:color="auto" w:fill="auto"/>
          </w:tcPr>
          <w:p w14:paraId="5655BA69" w14:textId="55A611B1" w:rsidR="00C85522" w:rsidRPr="00CB4A31" w:rsidRDefault="00A65F99" w:rsidP="003F14CB">
            <w:pPr>
              <w:pStyle w:val="TableFiguresBold0"/>
            </w:pPr>
            <w:r w:rsidRPr="00CB4A31">
              <w:t>56</w:t>
            </w:r>
          </w:p>
        </w:tc>
        <w:tc>
          <w:tcPr>
            <w:tcW w:w="1134" w:type="dxa"/>
            <w:tcBorders>
              <w:bottom w:val="single" w:sz="4" w:space="0" w:color="A6A6A6" w:themeColor="background1" w:themeShade="A6"/>
            </w:tcBorders>
            <w:vAlign w:val="bottom"/>
          </w:tcPr>
          <w:p w14:paraId="31DD33E6" w14:textId="2AA35061" w:rsidR="00C85522" w:rsidRPr="00CB4A31" w:rsidRDefault="00A65F99" w:rsidP="00C85522">
            <w:pPr>
              <w:pStyle w:val="TableFigures"/>
            </w:pPr>
            <w:r w:rsidRPr="00CB4A31">
              <w:t>61</w:t>
            </w:r>
          </w:p>
        </w:tc>
      </w:tr>
      <w:tr w:rsidR="005F6D8A" w:rsidRPr="00CB4A31" w14:paraId="462A80B6" w14:textId="77777777" w:rsidTr="00987007">
        <w:trPr>
          <w:trHeight w:hRule="exact" w:val="227"/>
        </w:trPr>
        <w:tc>
          <w:tcPr>
            <w:tcW w:w="6663" w:type="dxa"/>
            <w:tcBorders>
              <w:top w:val="single" w:sz="4" w:space="0" w:color="A6A6A6" w:themeColor="background1" w:themeShade="A6"/>
            </w:tcBorders>
            <w:shd w:val="clear" w:color="auto" w:fill="auto"/>
            <w:vAlign w:val="bottom"/>
          </w:tcPr>
          <w:p w14:paraId="01BDC25A" w14:textId="77777777" w:rsidR="00C85522" w:rsidRPr="00CB4A31" w:rsidRDefault="00C85522" w:rsidP="00C85522">
            <w:pPr>
              <w:pStyle w:val="TabletextBold"/>
              <w:rPr>
                <w:szCs w:val="20"/>
              </w:rPr>
            </w:pPr>
            <w:r w:rsidRPr="00CB4A31">
              <w:rPr>
                <w:szCs w:val="20"/>
              </w:rPr>
              <w:t>Adjusted operating profit before interest and tax</w:t>
            </w:r>
          </w:p>
        </w:tc>
        <w:tc>
          <w:tcPr>
            <w:tcW w:w="1275" w:type="dxa"/>
            <w:tcBorders>
              <w:top w:val="single" w:sz="4" w:space="0" w:color="A6A6A6" w:themeColor="background1" w:themeShade="A6"/>
            </w:tcBorders>
            <w:shd w:val="clear" w:color="auto" w:fill="auto"/>
            <w:vAlign w:val="bottom"/>
          </w:tcPr>
          <w:p w14:paraId="67D5B3C3" w14:textId="5357A941" w:rsidR="00C85522" w:rsidRPr="00987007" w:rsidRDefault="00C85522" w:rsidP="00823C08">
            <w:pPr>
              <w:pStyle w:val="TableFigures"/>
            </w:pPr>
          </w:p>
        </w:tc>
        <w:tc>
          <w:tcPr>
            <w:tcW w:w="1276" w:type="dxa"/>
            <w:tcBorders>
              <w:top w:val="single" w:sz="4" w:space="0" w:color="A6A6A6" w:themeColor="background1" w:themeShade="A6"/>
            </w:tcBorders>
            <w:shd w:val="clear" w:color="auto" w:fill="auto"/>
          </w:tcPr>
          <w:p w14:paraId="0C5E1B1C" w14:textId="5C1C5BBA" w:rsidR="00C85522" w:rsidRPr="00CB4A31" w:rsidRDefault="00A65F99" w:rsidP="003F14CB">
            <w:pPr>
              <w:pStyle w:val="TableFiguresBold0"/>
            </w:pPr>
            <w:r w:rsidRPr="00CB4A31">
              <w:t>396</w:t>
            </w:r>
          </w:p>
        </w:tc>
        <w:tc>
          <w:tcPr>
            <w:tcW w:w="1134" w:type="dxa"/>
            <w:tcBorders>
              <w:top w:val="single" w:sz="4" w:space="0" w:color="A6A6A6" w:themeColor="background1" w:themeShade="A6"/>
            </w:tcBorders>
            <w:vAlign w:val="bottom"/>
          </w:tcPr>
          <w:p w14:paraId="1142AE6F" w14:textId="35DD0A0A" w:rsidR="00C85522" w:rsidRPr="00CB4A31" w:rsidRDefault="00A65F99" w:rsidP="00C85522">
            <w:pPr>
              <w:pStyle w:val="TableFigures"/>
            </w:pPr>
            <w:r w:rsidRPr="00CB4A31">
              <w:t>336</w:t>
            </w:r>
          </w:p>
        </w:tc>
      </w:tr>
      <w:tr w:rsidR="005F6D8A" w:rsidRPr="00CB4A31" w14:paraId="48A13FA3" w14:textId="77777777" w:rsidTr="00987007">
        <w:trPr>
          <w:trHeight w:hRule="exact" w:val="227"/>
        </w:trPr>
        <w:tc>
          <w:tcPr>
            <w:tcW w:w="6663" w:type="dxa"/>
            <w:tcBorders>
              <w:bottom w:val="single" w:sz="4" w:space="0" w:color="A6A6A6" w:themeColor="background1" w:themeShade="A6"/>
            </w:tcBorders>
            <w:shd w:val="clear" w:color="auto" w:fill="auto"/>
            <w:vAlign w:val="bottom"/>
          </w:tcPr>
          <w:p w14:paraId="67989C48" w14:textId="77777777" w:rsidR="00C85522" w:rsidRPr="00CB4A31" w:rsidRDefault="00C85522" w:rsidP="00C85522">
            <w:pPr>
              <w:pStyle w:val="Tabletext"/>
            </w:pPr>
            <w:r w:rsidRPr="00CB4A31">
              <w:t>Net finance costs (including adjustments)</w:t>
            </w:r>
          </w:p>
        </w:tc>
        <w:tc>
          <w:tcPr>
            <w:tcW w:w="1275" w:type="dxa"/>
            <w:tcBorders>
              <w:bottom w:val="single" w:sz="4" w:space="0" w:color="A6A6A6" w:themeColor="background1" w:themeShade="A6"/>
            </w:tcBorders>
            <w:shd w:val="clear" w:color="auto" w:fill="auto"/>
            <w:vAlign w:val="bottom"/>
          </w:tcPr>
          <w:p w14:paraId="64B07203" w14:textId="65051208" w:rsidR="00C85522" w:rsidRPr="00987007" w:rsidRDefault="00C85522" w:rsidP="00823C08">
            <w:pPr>
              <w:pStyle w:val="TableFigures"/>
            </w:pPr>
            <w:r w:rsidRPr="00987007">
              <w:t>8</w:t>
            </w:r>
          </w:p>
        </w:tc>
        <w:tc>
          <w:tcPr>
            <w:tcW w:w="1276" w:type="dxa"/>
            <w:tcBorders>
              <w:bottom w:val="single" w:sz="4" w:space="0" w:color="A6A6A6" w:themeColor="background1" w:themeShade="A6"/>
            </w:tcBorders>
            <w:shd w:val="clear" w:color="auto" w:fill="auto"/>
          </w:tcPr>
          <w:p w14:paraId="6012C098" w14:textId="68396DDC" w:rsidR="00C85522" w:rsidRPr="00CB4A31" w:rsidRDefault="00C85522" w:rsidP="003F14CB">
            <w:pPr>
              <w:pStyle w:val="TableFiguresBracketsBold"/>
            </w:pPr>
            <w:r w:rsidRPr="00CB4A31">
              <w:t>(</w:t>
            </w:r>
            <w:r w:rsidR="00A65F99" w:rsidRPr="00CB4A31">
              <w:t>40)</w:t>
            </w:r>
          </w:p>
        </w:tc>
        <w:tc>
          <w:tcPr>
            <w:tcW w:w="1134" w:type="dxa"/>
            <w:tcBorders>
              <w:bottom w:val="single" w:sz="4" w:space="0" w:color="A6A6A6" w:themeColor="background1" w:themeShade="A6"/>
            </w:tcBorders>
            <w:vAlign w:val="bottom"/>
          </w:tcPr>
          <w:p w14:paraId="4A736973" w14:textId="3D658A24" w:rsidR="00C85522" w:rsidRPr="00CB4A31" w:rsidRDefault="00C85522" w:rsidP="00C85522">
            <w:pPr>
              <w:pStyle w:val="TableFiguresBrackets"/>
            </w:pPr>
            <w:r w:rsidRPr="00CB4A31">
              <w:t>(</w:t>
            </w:r>
            <w:r w:rsidR="00A65F99" w:rsidRPr="00CB4A31">
              <w:t>40</w:t>
            </w:r>
            <w:r w:rsidRPr="00CB4A31">
              <w:t>)</w:t>
            </w:r>
          </w:p>
        </w:tc>
      </w:tr>
      <w:tr w:rsidR="005F6D8A" w:rsidRPr="00CB4A31" w14:paraId="69D2C402" w14:textId="77777777" w:rsidTr="00987007">
        <w:trPr>
          <w:trHeight w:hRule="exact" w:val="227"/>
        </w:trPr>
        <w:tc>
          <w:tcPr>
            <w:tcW w:w="6663" w:type="dxa"/>
            <w:tcBorders>
              <w:top w:val="single" w:sz="4" w:space="0" w:color="A6A6A6" w:themeColor="background1" w:themeShade="A6"/>
              <w:bottom w:val="single" w:sz="4" w:space="0" w:color="A6A6A6" w:themeColor="background1" w:themeShade="A6"/>
            </w:tcBorders>
            <w:shd w:val="clear" w:color="auto" w:fill="auto"/>
            <w:vAlign w:val="bottom"/>
          </w:tcPr>
          <w:p w14:paraId="6D132867" w14:textId="77777777" w:rsidR="00C85522" w:rsidRPr="00CB4A31" w:rsidRDefault="00C85522" w:rsidP="00C85522">
            <w:pPr>
              <w:pStyle w:val="Tabletext"/>
              <w:rPr>
                <w:b/>
                <w:szCs w:val="20"/>
              </w:rPr>
            </w:pPr>
            <w:r w:rsidRPr="00CB4A31">
              <w:rPr>
                <w:b/>
                <w:szCs w:val="20"/>
              </w:rPr>
              <w:t>Adjusted profit before tax</w:t>
            </w:r>
          </w:p>
        </w:tc>
        <w:tc>
          <w:tcPr>
            <w:tcW w:w="1275" w:type="dxa"/>
            <w:tcBorders>
              <w:top w:val="single" w:sz="4" w:space="0" w:color="A6A6A6" w:themeColor="background1" w:themeShade="A6"/>
              <w:bottom w:val="single" w:sz="4" w:space="0" w:color="A6A6A6" w:themeColor="background1" w:themeShade="A6"/>
            </w:tcBorders>
            <w:shd w:val="clear" w:color="auto" w:fill="auto"/>
            <w:vAlign w:val="bottom"/>
          </w:tcPr>
          <w:p w14:paraId="1301EF9B" w14:textId="77777777" w:rsidR="00C85522" w:rsidRPr="00987007" w:rsidDel="00D97B6E" w:rsidRDefault="00C85522" w:rsidP="00823C08">
            <w:pPr>
              <w:pStyle w:val="TableFigures"/>
            </w:pPr>
          </w:p>
        </w:tc>
        <w:tc>
          <w:tcPr>
            <w:tcW w:w="1276" w:type="dxa"/>
            <w:tcBorders>
              <w:top w:val="single" w:sz="4" w:space="0" w:color="A6A6A6" w:themeColor="background1" w:themeShade="A6"/>
              <w:bottom w:val="single" w:sz="4" w:space="0" w:color="A6A6A6" w:themeColor="background1" w:themeShade="A6"/>
            </w:tcBorders>
            <w:shd w:val="clear" w:color="auto" w:fill="auto"/>
          </w:tcPr>
          <w:p w14:paraId="4C51CE45" w14:textId="12796593" w:rsidR="00C85522" w:rsidRPr="00CB4A31" w:rsidRDefault="00A65F99" w:rsidP="003F14CB">
            <w:pPr>
              <w:pStyle w:val="TableFiguresBold0"/>
            </w:pPr>
            <w:r w:rsidRPr="00CB4A31">
              <w:t>356</w:t>
            </w:r>
          </w:p>
        </w:tc>
        <w:tc>
          <w:tcPr>
            <w:tcW w:w="1134" w:type="dxa"/>
            <w:tcBorders>
              <w:top w:val="single" w:sz="4" w:space="0" w:color="A6A6A6" w:themeColor="background1" w:themeShade="A6"/>
              <w:bottom w:val="single" w:sz="4" w:space="0" w:color="A6A6A6" w:themeColor="background1" w:themeShade="A6"/>
            </w:tcBorders>
            <w:vAlign w:val="bottom"/>
          </w:tcPr>
          <w:p w14:paraId="79631969" w14:textId="21860D42" w:rsidR="00C85522" w:rsidRPr="00CB4A31" w:rsidRDefault="00A65F99" w:rsidP="00C85522">
            <w:pPr>
              <w:pStyle w:val="TableFigures"/>
            </w:pPr>
            <w:r w:rsidRPr="00CB4A31">
              <w:t>296</w:t>
            </w:r>
          </w:p>
        </w:tc>
      </w:tr>
      <w:tr w:rsidR="005F6D8A" w:rsidRPr="00CB4A31" w14:paraId="3A497292" w14:textId="77777777" w:rsidTr="00987007">
        <w:trPr>
          <w:trHeight w:hRule="exact" w:val="227"/>
        </w:trPr>
        <w:tc>
          <w:tcPr>
            <w:tcW w:w="6663" w:type="dxa"/>
            <w:shd w:val="clear" w:color="auto" w:fill="auto"/>
            <w:vAlign w:val="bottom"/>
          </w:tcPr>
          <w:p w14:paraId="55B66C19" w14:textId="77777777" w:rsidR="00C85522" w:rsidRPr="00CB4A31" w:rsidRDefault="00C85522" w:rsidP="00C85522">
            <w:pPr>
              <w:pStyle w:val="TabletextBold"/>
              <w:rPr>
                <w:szCs w:val="20"/>
              </w:rPr>
            </w:pPr>
            <w:r w:rsidRPr="00CB4A31">
              <w:rPr>
                <w:szCs w:val="20"/>
              </w:rPr>
              <w:t>Adjustments to reconcile to IFRS:</w:t>
            </w:r>
          </w:p>
        </w:tc>
        <w:tc>
          <w:tcPr>
            <w:tcW w:w="1275" w:type="dxa"/>
            <w:shd w:val="clear" w:color="auto" w:fill="auto"/>
            <w:vAlign w:val="bottom"/>
          </w:tcPr>
          <w:p w14:paraId="525DE016" w14:textId="77777777" w:rsidR="00C85522" w:rsidRPr="00987007" w:rsidRDefault="00C85522" w:rsidP="00823C08">
            <w:pPr>
              <w:pStyle w:val="TableFigures"/>
            </w:pPr>
          </w:p>
        </w:tc>
        <w:tc>
          <w:tcPr>
            <w:tcW w:w="1276" w:type="dxa"/>
            <w:shd w:val="clear" w:color="auto" w:fill="auto"/>
          </w:tcPr>
          <w:p w14:paraId="766A8022" w14:textId="4AE49600" w:rsidR="00C85522" w:rsidRPr="00CB4A31" w:rsidRDefault="00C85522" w:rsidP="00C85522">
            <w:pPr>
              <w:pStyle w:val="TableFigures"/>
              <w:rPr>
                <w:b/>
                <w:bCs/>
              </w:rPr>
            </w:pPr>
          </w:p>
        </w:tc>
        <w:tc>
          <w:tcPr>
            <w:tcW w:w="1134" w:type="dxa"/>
            <w:shd w:val="clear" w:color="auto" w:fill="auto"/>
            <w:vAlign w:val="bottom"/>
          </w:tcPr>
          <w:p w14:paraId="6EC297E1" w14:textId="77777777" w:rsidR="00C85522" w:rsidRPr="00CB4A31" w:rsidRDefault="00C85522" w:rsidP="00C85522">
            <w:pPr>
              <w:pStyle w:val="TableFiguresBold0"/>
              <w:rPr>
                <w:b w:val="0"/>
                <w:szCs w:val="20"/>
              </w:rPr>
            </w:pPr>
          </w:p>
        </w:tc>
      </w:tr>
      <w:tr w:rsidR="005F6D8A" w:rsidRPr="00CB4A31" w14:paraId="463FE9E8" w14:textId="77777777" w:rsidTr="00987007">
        <w:trPr>
          <w:trHeight w:hRule="exact" w:val="227"/>
        </w:trPr>
        <w:tc>
          <w:tcPr>
            <w:tcW w:w="6663" w:type="dxa"/>
            <w:shd w:val="clear" w:color="auto" w:fill="auto"/>
            <w:vAlign w:val="bottom"/>
          </w:tcPr>
          <w:p w14:paraId="2EBD312B" w14:textId="77777777" w:rsidR="00C85522" w:rsidRPr="00CB4A31" w:rsidRDefault="00C85522" w:rsidP="00C85522">
            <w:pPr>
              <w:pStyle w:val="Tabletext"/>
            </w:pPr>
            <w:r w:rsidRPr="00CB4A31">
              <w:t>Adjustments to the share of profit from joint ventures after tax</w:t>
            </w:r>
            <w:r w:rsidRPr="00CB4A31">
              <w:rPr>
                <w:vertAlign w:val="superscript"/>
              </w:rPr>
              <w:t>1</w:t>
            </w:r>
          </w:p>
        </w:tc>
        <w:tc>
          <w:tcPr>
            <w:tcW w:w="1275" w:type="dxa"/>
            <w:shd w:val="clear" w:color="auto" w:fill="auto"/>
            <w:vAlign w:val="bottom"/>
          </w:tcPr>
          <w:p w14:paraId="2B140834" w14:textId="1EDCCE7C" w:rsidR="00C85522" w:rsidRPr="00987007" w:rsidRDefault="00C85522" w:rsidP="00823C08">
            <w:pPr>
              <w:pStyle w:val="TableFigures"/>
            </w:pPr>
            <w:r w:rsidRPr="00987007">
              <w:t>6</w:t>
            </w:r>
          </w:p>
        </w:tc>
        <w:tc>
          <w:tcPr>
            <w:tcW w:w="1276" w:type="dxa"/>
            <w:shd w:val="clear" w:color="auto" w:fill="auto"/>
          </w:tcPr>
          <w:p w14:paraId="3A8B749A" w14:textId="7416F125" w:rsidR="00C85522" w:rsidRPr="00CB4A31" w:rsidRDefault="00A65F99" w:rsidP="003F14CB">
            <w:pPr>
              <w:pStyle w:val="TableFiguresBold0"/>
            </w:pPr>
            <w:r w:rsidRPr="00CB4A31">
              <w:t>405</w:t>
            </w:r>
          </w:p>
        </w:tc>
        <w:tc>
          <w:tcPr>
            <w:tcW w:w="1134" w:type="dxa"/>
            <w:vAlign w:val="bottom"/>
          </w:tcPr>
          <w:p w14:paraId="13051D40" w14:textId="01BB8570" w:rsidR="00C85522" w:rsidRPr="00CB4A31" w:rsidRDefault="00A65F99" w:rsidP="00C85522">
            <w:pPr>
              <w:pStyle w:val="TableFigures"/>
            </w:pPr>
            <w:r w:rsidRPr="00CB4A31">
              <w:t>175</w:t>
            </w:r>
          </w:p>
        </w:tc>
      </w:tr>
      <w:tr w:rsidR="005F6D8A" w:rsidRPr="00CB4A31" w14:paraId="287B20F1" w14:textId="77777777" w:rsidTr="00987007">
        <w:trPr>
          <w:trHeight w:hRule="exact" w:val="227"/>
        </w:trPr>
        <w:tc>
          <w:tcPr>
            <w:tcW w:w="6663" w:type="dxa"/>
            <w:shd w:val="clear" w:color="auto" w:fill="auto"/>
            <w:vAlign w:val="bottom"/>
          </w:tcPr>
          <w:p w14:paraId="3FB748A8" w14:textId="0FD104B7" w:rsidR="00C85522" w:rsidRPr="00CB4A31" w:rsidRDefault="00C85522" w:rsidP="00C85522">
            <w:pPr>
              <w:pStyle w:val="Tabletext"/>
            </w:pPr>
            <w:r w:rsidRPr="00CB4A31">
              <w:t>Realised and unrealised property</w:t>
            </w:r>
            <w:r w:rsidR="00B3554D" w:rsidRPr="00CB4A31">
              <w:t xml:space="preserve"> gain</w:t>
            </w:r>
          </w:p>
        </w:tc>
        <w:tc>
          <w:tcPr>
            <w:tcW w:w="1275" w:type="dxa"/>
            <w:shd w:val="clear" w:color="auto" w:fill="auto"/>
            <w:vAlign w:val="bottom"/>
          </w:tcPr>
          <w:p w14:paraId="756B3011" w14:textId="4B0A178B" w:rsidR="00C85522" w:rsidRPr="00987007" w:rsidRDefault="00C85522" w:rsidP="00823C08">
            <w:pPr>
              <w:pStyle w:val="TableFigures"/>
            </w:pPr>
            <w:r w:rsidRPr="00987007">
              <w:t>7</w:t>
            </w:r>
          </w:p>
        </w:tc>
        <w:tc>
          <w:tcPr>
            <w:tcW w:w="1276" w:type="dxa"/>
            <w:shd w:val="clear" w:color="auto" w:fill="auto"/>
          </w:tcPr>
          <w:p w14:paraId="2C1FF09E" w14:textId="0B956E92" w:rsidR="00C85522" w:rsidRPr="00CB4A31" w:rsidRDefault="00A65F99" w:rsidP="003F14CB">
            <w:pPr>
              <w:pStyle w:val="TableFiguresBold0"/>
            </w:pPr>
            <w:r w:rsidRPr="00CB4A31">
              <w:t>3,669</w:t>
            </w:r>
          </w:p>
        </w:tc>
        <w:tc>
          <w:tcPr>
            <w:tcW w:w="1134" w:type="dxa"/>
            <w:vAlign w:val="bottom"/>
          </w:tcPr>
          <w:p w14:paraId="605E9B5D" w14:textId="556137A9" w:rsidR="00C85522" w:rsidRPr="00CB4A31" w:rsidRDefault="00A65F99" w:rsidP="00C85522">
            <w:pPr>
              <w:pStyle w:val="TableFigures"/>
            </w:pPr>
            <w:r w:rsidRPr="00CB4A31">
              <w:t>989</w:t>
            </w:r>
          </w:p>
        </w:tc>
      </w:tr>
      <w:tr w:rsidR="005F6D8A" w:rsidRPr="00CB4A31" w14:paraId="2E5F8735" w14:textId="77777777" w:rsidTr="00987007">
        <w:trPr>
          <w:trHeight w:hRule="exact" w:val="227"/>
        </w:trPr>
        <w:tc>
          <w:tcPr>
            <w:tcW w:w="6663" w:type="dxa"/>
            <w:shd w:val="clear" w:color="auto" w:fill="auto"/>
            <w:vAlign w:val="bottom"/>
          </w:tcPr>
          <w:p w14:paraId="25C58906" w14:textId="216A1EEA" w:rsidR="00C85522" w:rsidRPr="00CB4A31" w:rsidRDefault="00CB4A31" w:rsidP="00C85522">
            <w:pPr>
              <w:pStyle w:val="Tabletext"/>
            </w:pPr>
            <w:r w:rsidRPr="00CB4A31">
              <w:t xml:space="preserve">Profit </w:t>
            </w:r>
            <w:r w:rsidR="00C85522" w:rsidRPr="00CB4A31">
              <w:t>on sale of trading properties</w:t>
            </w:r>
          </w:p>
        </w:tc>
        <w:tc>
          <w:tcPr>
            <w:tcW w:w="1275" w:type="dxa"/>
            <w:shd w:val="clear" w:color="auto" w:fill="auto"/>
            <w:vAlign w:val="bottom"/>
          </w:tcPr>
          <w:p w14:paraId="26267D14" w14:textId="1530ED84" w:rsidR="00C85522" w:rsidRPr="00987007" w:rsidRDefault="00C85522" w:rsidP="00823C08">
            <w:pPr>
              <w:pStyle w:val="TableFigures"/>
            </w:pPr>
            <w:r w:rsidRPr="00987007">
              <w:t>12</w:t>
            </w:r>
          </w:p>
        </w:tc>
        <w:tc>
          <w:tcPr>
            <w:tcW w:w="1276" w:type="dxa"/>
            <w:shd w:val="clear" w:color="auto" w:fill="auto"/>
          </w:tcPr>
          <w:p w14:paraId="2D993033" w14:textId="08CCCB70" w:rsidR="00C85522" w:rsidRPr="00CB4A31" w:rsidRDefault="00CB4A31" w:rsidP="003F14CB">
            <w:pPr>
              <w:pStyle w:val="TableFiguresBold0"/>
            </w:pPr>
            <w:r w:rsidRPr="00CB4A31">
              <w:t>7</w:t>
            </w:r>
          </w:p>
        </w:tc>
        <w:tc>
          <w:tcPr>
            <w:tcW w:w="1134" w:type="dxa"/>
            <w:vAlign w:val="bottom"/>
          </w:tcPr>
          <w:p w14:paraId="68DAD663" w14:textId="6645BBA2" w:rsidR="00C85522" w:rsidRPr="00CB4A31" w:rsidRDefault="00CB4A31" w:rsidP="00C85522">
            <w:pPr>
              <w:pStyle w:val="TableFigures"/>
            </w:pPr>
            <w:r w:rsidRPr="00CB4A31">
              <w:t>1</w:t>
            </w:r>
          </w:p>
        </w:tc>
      </w:tr>
      <w:tr w:rsidR="005F6D8A" w:rsidRPr="00CB4A31" w14:paraId="217AAFC7" w14:textId="77777777" w:rsidTr="00987007">
        <w:trPr>
          <w:trHeight w:hRule="exact" w:val="227"/>
        </w:trPr>
        <w:tc>
          <w:tcPr>
            <w:tcW w:w="6663" w:type="dxa"/>
            <w:shd w:val="clear" w:color="auto" w:fill="auto"/>
            <w:vAlign w:val="bottom"/>
          </w:tcPr>
          <w:p w14:paraId="05B48E93" w14:textId="5EB209C2" w:rsidR="00C85522" w:rsidRPr="00CB4A31" w:rsidRDefault="00C85522" w:rsidP="00C85522">
            <w:pPr>
              <w:pStyle w:val="Tabletext"/>
            </w:pPr>
            <w:r w:rsidRPr="00CB4A31">
              <w:t>Cost of early close out of debt</w:t>
            </w:r>
          </w:p>
        </w:tc>
        <w:tc>
          <w:tcPr>
            <w:tcW w:w="1275" w:type="dxa"/>
            <w:shd w:val="clear" w:color="auto" w:fill="auto"/>
            <w:vAlign w:val="bottom"/>
          </w:tcPr>
          <w:p w14:paraId="7ACE53CC" w14:textId="29B68EA3" w:rsidR="00C85522" w:rsidRPr="00987007" w:rsidRDefault="00C85522" w:rsidP="00823C08">
            <w:pPr>
              <w:pStyle w:val="TableFigures"/>
            </w:pPr>
            <w:r w:rsidRPr="00987007">
              <w:t>8</w:t>
            </w:r>
          </w:p>
        </w:tc>
        <w:tc>
          <w:tcPr>
            <w:tcW w:w="1276" w:type="dxa"/>
            <w:shd w:val="clear" w:color="auto" w:fill="auto"/>
          </w:tcPr>
          <w:p w14:paraId="5871B45E" w14:textId="49CDACF8" w:rsidR="00C85522" w:rsidRPr="00CB4A31" w:rsidRDefault="00CB4A31" w:rsidP="00987007">
            <w:pPr>
              <w:pStyle w:val="TableFiguresBold0"/>
            </w:pPr>
            <w:r w:rsidRPr="00CB4A31">
              <w:t>–</w:t>
            </w:r>
          </w:p>
        </w:tc>
        <w:tc>
          <w:tcPr>
            <w:tcW w:w="1134" w:type="dxa"/>
            <w:vAlign w:val="bottom"/>
          </w:tcPr>
          <w:p w14:paraId="1D214C59" w14:textId="54771A29" w:rsidR="00C85522" w:rsidRPr="00CB4A31" w:rsidRDefault="00C85522" w:rsidP="00C85522">
            <w:pPr>
              <w:pStyle w:val="TableFiguresBrackets"/>
            </w:pPr>
            <w:r w:rsidRPr="00CB4A31">
              <w:t>(1</w:t>
            </w:r>
            <w:r w:rsidR="00CB4A31" w:rsidRPr="00CB4A31">
              <w:t>1</w:t>
            </w:r>
            <w:r w:rsidRPr="00CB4A31">
              <w:t>)</w:t>
            </w:r>
          </w:p>
        </w:tc>
      </w:tr>
      <w:tr w:rsidR="005F6D8A" w:rsidRPr="00CB4A31" w14:paraId="35418536" w14:textId="77777777" w:rsidTr="00987007">
        <w:trPr>
          <w:trHeight w:hRule="exact" w:val="227"/>
        </w:trPr>
        <w:tc>
          <w:tcPr>
            <w:tcW w:w="6663" w:type="dxa"/>
            <w:shd w:val="clear" w:color="auto" w:fill="auto"/>
            <w:vAlign w:val="bottom"/>
          </w:tcPr>
          <w:p w14:paraId="63584323" w14:textId="10AC8305" w:rsidR="00C85522" w:rsidRPr="00CB4A31" w:rsidRDefault="00C85522" w:rsidP="00C85522">
            <w:pPr>
              <w:pStyle w:val="Tabletext"/>
            </w:pPr>
            <w:r w:rsidRPr="00CB4A31">
              <w:t xml:space="preserve">Net fair value </w:t>
            </w:r>
            <w:r w:rsidR="00CB4A31" w:rsidRPr="00CB4A31">
              <w:t>(loss)/</w:t>
            </w:r>
            <w:r w:rsidRPr="00CB4A31">
              <w:t>gain on interest rate swaps and other derivatives</w:t>
            </w:r>
          </w:p>
        </w:tc>
        <w:tc>
          <w:tcPr>
            <w:tcW w:w="1275" w:type="dxa"/>
            <w:shd w:val="clear" w:color="auto" w:fill="auto"/>
            <w:vAlign w:val="bottom"/>
          </w:tcPr>
          <w:p w14:paraId="4C148B94" w14:textId="227FEC8C" w:rsidR="00C85522" w:rsidRPr="00987007" w:rsidRDefault="00C85522" w:rsidP="00823C08">
            <w:pPr>
              <w:pStyle w:val="TableFigures"/>
            </w:pPr>
            <w:r w:rsidRPr="00987007">
              <w:t>8</w:t>
            </w:r>
          </w:p>
        </w:tc>
        <w:tc>
          <w:tcPr>
            <w:tcW w:w="1276" w:type="dxa"/>
            <w:shd w:val="clear" w:color="auto" w:fill="auto"/>
          </w:tcPr>
          <w:p w14:paraId="4B3B7BE4" w14:textId="5D3D71C1" w:rsidR="00C85522" w:rsidRPr="00CB4A31" w:rsidRDefault="00CB4A31" w:rsidP="00987007">
            <w:pPr>
              <w:pStyle w:val="TableFiguresBracketsBold"/>
            </w:pPr>
            <w:r w:rsidRPr="00CB4A31">
              <w:t>(82)</w:t>
            </w:r>
          </w:p>
        </w:tc>
        <w:tc>
          <w:tcPr>
            <w:tcW w:w="1134" w:type="dxa"/>
            <w:vAlign w:val="bottom"/>
          </w:tcPr>
          <w:p w14:paraId="440CAC79" w14:textId="1E9330B8" w:rsidR="00C85522" w:rsidRPr="00CB4A31" w:rsidRDefault="00CB4A31" w:rsidP="003F14CB">
            <w:pPr>
              <w:pStyle w:val="TableFigures"/>
            </w:pPr>
            <w:r w:rsidRPr="00CB4A31">
              <w:t>14</w:t>
            </w:r>
          </w:p>
        </w:tc>
      </w:tr>
      <w:tr w:rsidR="005F6D8A" w:rsidRPr="00CB4A31" w14:paraId="3252EDA2" w14:textId="77777777" w:rsidTr="00987007">
        <w:trPr>
          <w:trHeight w:hRule="exact" w:val="227"/>
        </w:trPr>
        <w:tc>
          <w:tcPr>
            <w:tcW w:w="6663" w:type="dxa"/>
            <w:tcBorders>
              <w:top w:val="single" w:sz="4" w:space="0" w:color="999999"/>
              <w:bottom w:val="single" w:sz="4" w:space="0" w:color="999999"/>
            </w:tcBorders>
            <w:shd w:val="clear" w:color="auto" w:fill="auto"/>
            <w:vAlign w:val="bottom"/>
          </w:tcPr>
          <w:p w14:paraId="5B5240B4" w14:textId="77777777" w:rsidR="00C85522" w:rsidRPr="00CB4A31" w:rsidRDefault="00C85522" w:rsidP="00C85522">
            <w:pPr>
              <w:pStyle w:val="TabletextBold"/>
              <w:rPr>
                <w:szCs w:val="20"/>
              </w:rPr>
            </w:pPr>
            <w:r w:rsidRPr="00CB4A31">
              <w:rPr>
                <w:szCs w:val="20"/>
              </w:rPr>
              <w:t>Total adjustments</w:t>
            </w:r>
          </w:p>
        </w:tc>
        <w:tc>
          <w:tcPr>
            <w:tcW w:w="1275" w:type="dxa"/>
            <w:tcBorders>
              <w:top w:val="single" w:sz="4" w:space="0" w:color="999999"/>
              <w:bottom w:val="single" w:sz="4" w:space="0" w:color="999999"/>
            </w:tcBorders>
            <w:shd w:val="clear" w:color="auto" w:fill="auto"/>
            <w:vAlign w:val="bottom"/>
          </w:tcPr>
          <w:p w14:paraId="7D892E93" w14:textId="77777777" w:rsidR="00C85522" w:rsidRPr="00987007" w:rsidRDefault="00C85522" w:rsidP="00823C08">
            <w:pPr>
              <w:pStyle w:val="TableFigures"/>
            </w:pPr>
          </w:p>
        </w:tc>
        <w:tc>
          <w:tcPr>
            <w:tcW w:w="1276" w:type="dxa"/>
            <w:tcBorders>
              <w:top w:val="single" w:sz="4" w:space="0" w:color="999999"/>
              <w:bottom w:val="single" w:sz="4" w:space="0" w:color="999999"/>
            </w:tcBorders>
            <w:shd w:val="clear" w:color="auto" w:fill="auto"/>
          </w:tcPr>
          <w:p w14:paraId="12CCC0E8" w14:textId="7561B7A6" w:rsidR="00C85522" w:rsidRPr="00CB4A31" w:rsidRDefault="00CB4A31" w:rsidP="003F14CB">
            <w:pPr>
              <w:pStyle w:val="TableFiguresBold0"/>
            </w:pPr>
            <w:r w:rsidRPr="00CB4A31">
              <w:t>3,999</w:t>
            </w:r>
          </w:p>
        </w:tc>
        <w:tc>
          <w:tcPr>
            <w:tcW w:w="1134" w:type="dxa"/>
            <w:tcBorders>
              <w:top w:val="single" w:sz="4" w:space="0" w:color="999999"/>
              <w:bottom w:val="single" w:sz="4" w:space="0" w:color="999999"/>
            </w:tcBorders>
            <w:shd w:val="clear" w:color="auto" w:fill="auto"/>
            <w:vAlign w:val="bottom"/>
          </w:tcPr>
          <w:p w14:paraId="54112F5D" w14:textId="329EB20D" w:rsidR="00C85522" w:rsidRPr="00CB4A31" w:rsidRDefault="00CB4A31" w:rsidP="00C85522">
            <w:pPr>
              <w:pStyle w:val="TableFigures"/>
            </w:pPr>
            <w:r w:rsidRPr="00CB4A31">
              <w:t>1,168</w:t>
            </w:r>
          </w:p>
        </w:tc>
      </w:tr>
      <w:tr w:rsidR="005F6D8A" w:rsidRPr="00CB4A31" w14:paraId="158508E5" w14:textId="77777777" w:rsidTr="00987007">
        <w:trPr>
          <w:trHeight w:hRule="exact" w:val="227"/>
        </w:trPr>
        <w:tc>
          <w:tcPr>
            <w:tcW w:w="6663" w:type="dxa"/>
            <w:tcBorders>
              <w:top w:val="single" w:sz="4" w:space="0" w:color="999999"/>
              <w:bottom w:val="single" w:sz="4" w:space="0" w:color="999999"/>
            </w:tcBorders>
            <w:shd w:val="clear" w:color="auto" w:fill="auto"/>
            <w:vAlign w:val="bottom"/>
          </w:tcPr>
          <w:p w14:paraId="32733A71" w14:textId="77777777" w:rsidR="00C85522" w:rsidRPr="00CB4A31" w:rsidRDefault="00C85522" w:rsidP="00C85522">
            <w:pPr>
              <w:pStyle w:val="TabletextBold"/>
              <w:rPr>
                <w:szCs w:val="20"/>
              </w:rPr>
            </w:pPr>
            <w:r w:rsidRPr="00CB4A31">
              <w:rPr>
                <w:szCs w:val="20"/>
              </w:rPr>
              <w:t>Profit before tax</w:t>
            </w:r>
          </w:p>
        </w:tc>
        <w:tc>
          <w:tcPr>
            <w:tcW w:w="1275" w:type="dxa"/>
            <w:tcBorders>
              <w:top w:val="single" w:sz="4" w:space="0" w:color="999999"/>
              <w:bottom w:val="single" w:sz="4" w:space="0" w:color="999999"/>
            </w:tcBorders>
            <w:shd w:val="clear" w:color="auto" w:fill="auto"/>
            <w:vAlign w:val="bottom"/>
          </w:tcPr>
          <w:p w14:paraId="0995CBAF" w14:textId="77777777" w:rsidR="00C85522" w:rsidRPr="00987007" w:rsidRDefault="00C85522" w:rsidP="00823C08">
            <w:pPr>
              <w:pStyle w:val="TableFigures"/>
            </w:pPr>
          </w:p>
        </w:tc>
        <w:tc>
          <w:tcPr>
            <w:tcW w:w="1276" w:type="dxa"/>
            <w:tcBorders>
              <w:top w:val="single" w:sz="4" w:space="0" w:color="999999"/>
              <w:bottom w:val="single" w:sz="4" w:space="0" w:color="999999"/>
            </w:tcBorders>
            <w:shd w:val="clear" w:color="auto" w:fill="auto"/>
          </w:tcPr>
          <w:p w14:paraId="52B3A8C1" w14:textId="6D922179" w:rsidR="00C85522" w:rsidRPr="00CB4A31" w:rsidRDefault="00CB4A31" w:rsidP="003F14CB">
            <w:pPr>
              <w:pStyle w:val="TableFiguresBold0"/>
            </w:pPr>
            <w:r w:rsidRPr="00CB4A31">
              <w:t>4,355</w:t>
            </w:r>
          </w:p>
        </w:tc>
        <w:tc>
          <w:tcPr>
            <w:tcW w:w="1134" w:type="dxa"/>
            <w:tcBorders>
              <w:top w:val="single" w:sz="4" w:space="0" w:color="999999"/>
              <w:bottom w:val="single" w:sz="4" w:space="0" w:color="999999"/>
            </w:tcBorders>
            <w:shd w:val="clear" w:color="auto" w:fill="auto"/>
            <w:vAlign w:val="bottom"/>
          </w:tcPr>
          <w:p w14:paraId="515DC616" w14:textId="6A94DB87" w:rsidR="00C85522" w:rsidRPr="00CB4A31" w:rsidRDefault="00CB4A31" w:rsidP="00C85522">
            <w:pPr>
              <w:pStyle w:val="TableFigures"/>
            </w:pPr>
            <w:r w:rsidRPr="00CB4A31">
              <w:rPr>
                <w:szCs w:val="20"/>
              </w:rPr>
              <w:t>1,464</w:t>
            </w:r>
          </w:p>
        </w:tc>
      </w:tr>
      <w:tr w:rsidR="005F6D8A" w:rsidRPr="00CB4A31" w14:paraId="499394DB" w14:textId="77777777" w:rsidTr="00987007">
        <w:trPr>
          <w:trHeight w:hRule="exact" w:val="227"/>
        </w:trPr>
        <w:tc>
          <w:tcPr>
            <w:tcW w:w="6663" w:type="dxa"/>
            <w:tcBorders>
              <w:top w:val="single" w:sz="4" w:space="0" w:color="999999"/>
            </w:tcBorders>
            <w:shd w:val="clear" w:color="auto" w:fill="auto"/>
            <w:vAlign w:val="bottom"/>
          </w:tcPr>
          <w:p w14:paraId="2BB2F6EF" w14:textId="77777777" w:rsidR="00C85522" w:rsidRPr="00CB4A31" w:rsidRDefault="00C85522" w:rsidP="00C85522">
            <w:pPr>
              <w:pStyle w:val="TabletextBold"/>
              <w:rPr>
                <w:szCs w:val="20"/>
              </w:rPr>
            </w:pPr>
            <w:r w:rsidRPr="00CB4A31">
              <w:rPr>
                <w:szCs w:val="20"/>
              </w:rPr>
              <w:t>Tax</w:t>
            </w:r>
          </w:p>
        </w:tc>
        <w:tc>
          <w:tcPr>
            <w:tcW w:w="1275" w:type="dxa"/>
            <w:tcBorders>
              <w:top w:val="single" w:sz="4" w:space="0" w:color="999999"/>
            </w:tcBorders>
            <w:shd w:val="clear" w:color="auto" w:fill="auto"/>
            <w:vAlign w:val="bottom"/>
          </w:tcPr>
          <w:p w14:paraId="0BB7FC14" w14:textId="77777777" w:rsidR="00C85522" w:rsidRPr="00987007" w:rsidRDefault="00C85522" w:rsidP="00823C08">
            <w:pPr>
              <w:pStyle w:val="TableFigures"/>
            </w:pPr>
          </w:p>
        </w:tc>
        <w:tc>
          <w:tcPr>
            <w:tcW w:w="1276" w:type="dxa"/>
            <w:tcBorders>
              <w:top w:val="single" w:sz="4" w:space="0" w:color="999999"/>
            </w:tcBorders>
            <w:shd w:val="clear" w:color="auto" w:fill="auto"/>
          </w:tcPr>
          <w:p w14:paraId="2C4E4928" w14:textId="076243C8" w:rsidR="00C85522" w:rsidRPr="00CB4A31" w:rsidRDefault="00C85522" w:rsidP="00C85522">
            <w:pPr>
              <w:pStyle w:val="TableFigures"/>
              <w:rPr>
                <w:b/>
                <w:bCs/>
                <w:szCs w:val="20"/>
              </w:rPr>
            </w:pPr>
          </w:p>
        </w:tc>
        <w:tc>
          <w:tcPr>
            <w:tcW w:w="1134" w:type="dxa"/>
            <w:tcBorders>
              <w:top w:val="single" w:sz="4" w:space="0" w:color="999999"/>
            </w:tcBorders>
            <w:shd w:val="clear" w:color="auto" w:fill="auto"/>
            <w:vAlign w:val="bottom"/>
          </w:tcPr>
          <w:p w14:paraId="52595EB8" w14:textId="77777777" w:rsidR="00C85522" w:rsidRPr="00CB4A31" w:rsidRDefault="00C85522" w:rsidP="00C85522">
            <w:pPr>
              <w:pStyle w:val="TableFiguresBrackets"/>
            </w:pPr>
          </w:p>
        </w:tc>
      </w:tr>
      <w:tr w:rsidR="005F6D8A" w:rsidRPr="00CB4A31" w14:paraId="303AD94E" w14:textId="77777777" w:rsidTr="00987007">
        <w:trPr>
          <w:trHeight w:hRule="exact" w:val="227"/>
        </w:trPr>
        <w:tc>
          <w:tcPr>
            <w:tcW w:w="6663" w:type="dxa"/>
            <w:shd w:val="clear" w:color="auto" w:fill="auto"/>
            <w:vAlign w:val="bottom"/>
          </w:tcPr>
          <w:p w14:paraId="3DC2717F" w14:textId="77777777" w:rsidR="00C85522" w:rsidRPr="00CB4A31" w:rsidRDefault="00C85522" w:rsidP="00C85522">
            <w:pPr>
              <w:pStyle w:val="Tabletext"/>
              <w:rPr>
                <w:szCs w:val="20"/>
              </w:rPr>
            </w:pPr>
            <w:r w:rsidRPr="00CB4A31">
              <w:rPr>
                <w:szCs w:val="20"/>
              </w:rPr>
              <w:t>On Adjusted profit</w:t>
            </w:r>
          </w:p>
        </w:tc>
        <w:tc>
          <w:tcPr>
            <w:tcW w:w="1275" w:type="dxa"/>
            <w:shd w:val="clear" w:color="auto" w:fill="auto"/>
            <w:vAlign w:val="bottom"/>
          </w:tcPr>
          <w:p w14:paraId="6788EA1A" w14:textId="217048C7" w:rsidR="00C85522" w:rsidRPr="00987007" w:rsidRDefault="00C85522" w:rsidP="00823C08">
            <w:pPr>
              <w:pStyle w:val="TableFigures"/>
            </w:pPr>
            <w:r w:rsidRPr="00987007">
              <w:t>9</w:t>
            </w:r>
          </w:p>
        </w:tc>
        <w:tc>
          <w:tcPr>
            <w:tcW w:w="1276" w:type="dxa"/>
            <w:shd w:val="clear" w:color="auto" w:fill="auto"/>
          </w:tcPr>
          <w:p w14:paraId="0A89E6E7" w14:textId="4C84DE21" w:rsidR="00C85522" w:rsidRPr="00CB4A31" w:rsidRDefault="00C85522" w:rsidP="003F14CB">
            <w:pPr>
              <w:pStyle w:val="TableFiguresBracketsBold"/>
            </w:pPr>
            <w:r w:rsidRPr="00CB4A31">
              <w:t>(</w:t>
            </w:r>
            <w:r w:rsidR="00CB4A31" w:rsidRPr="00CB4A31">
              <w:t>8</w:t>
            </w:r>
            <w:r w:rsidRPr="00CB4A31">
              <w:t>)</w:t>
            </w:r>
          </w:p>
        </w:tc>
        <w:tc>
          <w:tcPr>
            <w:tcW w:w="1134" w:type="dxa"/>
            <w:vAlign w:val="bottom"/>
          </w:tcPr>
          <w:p w14:paraId="676BDE45" w14:textId="492902EF" w:rsidR="00C85522" w:rsidRPr="00CB4A31" w:rsidRDefault="00C85522" w:rsidP="00C85522">
            <w:pPr>
              <w:pStyle w:val="TableFiguresBrackets"/>
            </w:pPr>
            <w:r w:rsidRPr="00CB4A31">
              <w:t>(</w:t>
            </w:r>
            <w:r w:rsidR="00CB4A31" w:rsidRPr="00CB4A31">
              <w:t>4</w:t>
            </w:r>
            <w:r w:rsidRPr="00CB4A31">
              <w:t>)</w:t>
            </w:r>
          </w:p>
        </w:tc>
      </w:tr>
      <w:tr w:rsidR="005F6D8A" w:rsidRPr="00CB4A31" w14:paraId="401FA6CB" w14:textId="77777777" w:rsidTr="00987007">
        <w:trPr>
          <w:trHeight w:hRule="exact" w:val="227"/>
        </w:trPr>
        <w:tc>
          <w:tcPr>
            <w:tcW w:w="6663" w:type="dxa"/>
            <w:tcBorders>
              <w:bottom w:val="single" w:sz="4" w:space="0" w:color="A6A6A6" w:themeColor="background1" w:themeShade="A6"/>
            </w:tcBorders>
            <w:shd w:val="clear" w:color="auto" w:fill="auto"/>
            <w:vAlign w:val="bottom"/>
          </w:tcPr>
          <w:p w14:paraId="5CAF4FD0" w14:textId="77777777" w:rsidR="00C85522" w:rsidRPr="00CB4A31" w:rsidRDefault="00C85522" w:rsidP="00C85522">
            <w:pPr>
              <w:pStyle w:val="Tabletext"/>
              <w:rPr>
                <w:szCs w:val="20"/>
              </w:rPr>
            </w:pPr>
            <w:r w:rsidRPr="00CB4A31">
              <w:rPr>
                <w:szCs w:val="20"/>
              </w:rPr>
              <w:t xml:space="preserve">In respect of adjustments </w:t>
            </w:r>
          </w:p>
        </w:tc>
        <w:tc>
          <w:tcPr>
            <w:tcW w:w="1275" w:type="dxa"/>
            <w:tcBorders>
              <w:bottom w:val="single" w:sz="4" w:space="0" w:color="A6A6A6" w:themeColor="background1" w:themeShade="A6"/>
            </w:tcBorders>
            <w:shd w:val="clear" w:color="auto" w:fill="auto"/>
            <w:vAlign w:val="bottom"/>
          </w:tcPr>
          <w:p w14:paraId="4C95CD88" w14:textId="329967AD" w:rsidR="00C85522" w:rsidRPr="00987007" w:rsidRDefault="00C85522" w:rsidP="00823C08">
            <w:pPr>
              <w:pStyle w:val="TableFigures"/>
            </w:pPr>
            <w:r w:rsidRPr="00987007">
              <w:t>9</w:t>
            </w:r>
          </w:p>
        </w:tc>
        <w:tc>
          <w:tcPr>
            <w:tcW w:w="1276" w:type="dxa"/>
            <w:tcBorders>
              <w:bottom w:val="single" w:sz="4" w:space="0" w:color="A6A6A6" w:themeColor="background1" w:themeShade="A6"/>
            </w:tcBorders>
            <w:shd w:val="clear" w:color="auto" w:fill="auto"/>
          </w:tcPr>
          <w:p w14:paraId="29FAB49F" w14:textId="226EDD80" w:rsidR="00C85522" w:rsidRPr="00CB4A31" w:rsidRDefault="00C85522" w:rsidP="003F14CB">
            <w:pPr>
              <w:pStyle w:val="TableFiguresBracketsBold"/>
            </w:pPr>
            <w:r w:rsidRPr="00CB4A31">
              <w:t>(</w:t>
            </w:r>
            <w:r w:rsidR="00CB4A31" w:rsidRPr="00CB4A31">
              <w:t>280</w:t>
            </w:r>
            <w:r w:rsidRPr="00CB4A31">
              <w:t>)</w:t>
            </w:r>
          </w:p>
        </w:tc>
        <w:tc>
          <w:tcPr>
            <w:tcW w:w="1134" w:type="dxa"/>
            <w:tcBorders>
              <w:bottom w:val="single" w:sz="4" w:space="0" w:color="A6A6A6" w:themeColor="background1" w:themeShade="A6"/>
            </w:tcBorders>
            <w:vAlign w:val="bottom"/>
          </w:tcPr>
          <w:p w14:paraId="11F005EA" w14:textId="0F6F51A9" w:rsidR="00C85522" w:rsidRPr="00CB4A31" w:rsidRDefault="00C85522" w:rsidP="00C85522">
            <w:pPr>
              <w:pStyle w:val="TableFiguresBrackets"/>
            </w:pPr>
            <w:r w:rsidRPr="00CB4A31">
              <w:t>(3</w:t>
            </w:r>
            <w:r w:rsidR="00CB4A31" w:rsidRPr="00CB4A31">
              <w:t>1</w:t>
            </w:r>
            <w:r w:rsidRPr="00CB4A31">
              <w:t>)</w:t>
            </w:r>
          </w:p>
        </w:tc>
      </w:tr>
      <w:tr w:rsidR="005F6D8A" w:rsidRPr="00CB4A31" w14:paraId="56F1A80F" w14:textId="77777777" w:rsidTr="00987007">
        <w:trPr>
          <w:trHeight w:hRule="exact" w:val="227"/>
        </w:trPr>
        <w:tc>
          <w:tcPr>
            <w:tcW w:w="6663" w:type="dxa"/>
            <w:tcBorders>
              <w:top w:val="single" w:sz="4" w:space="0" w:color="A6A6A6" w:themeColor="background1" w:themeShade="A6"/>
            </w:tcBorders>
            <w:shd w:val="clear" w:color="auto" w:fill="auto"/>
            <w:vAlign w:val="bottom"/>
          </w:tcPr>
          <w:p w14:paraId="194E89D9" w14:textId="77777777" w:rsidR="00C85522" w:rsidRPr="00CB4A31" w:rsidRDefault="00C85522" w:rsidP="00C85522">
            <w:pPr>
              <w:pStyle w:val="Tabletext"/>
              <w:rPr>
                <w:b/>
                <w:bCs/>
              </w:rPr>
            </w:pPr>
            <w:r w:rsidRPr="00CB4A31">
              <w:rPr>
                <w:b/>
                <w:bCs/>
              </w:rPr>
              <w:t>Total tax adjustments</w:t>
            </w:r>
          </w:p>
        </w:tc>
        <w:tc>
          <w:tcPr>
            <w:tcW w:w="1275" w:type="dxa"/>
            <w:tcBorders>
              <w:top w:val="single" w:sz="4" w:space="0" w:color="A6A6A6" w:themeColor="background1" w:themeShade="A6"/>
            </w:tcBorders>
            <w:shd w:val="clear" w:color="auto" w:fill="auto"/>
            <w:vAlign w:val="bottom"/>
          </w:tcPr>
          <w:p w14:paraId="750B03F9" w14:textId="77777777" w:rsidR="00C85522" w:rsidRPr="00987007" w:rsidRDefault="00C85522" w:rsidP="00BE37F4">
            <w:pPr>
              <w:pStyle w:val="TableFigures"/>
            </w:pPr>
          </w:p>
        </w:tc>
        <w:tc>
          <w:tcPr>
            <w:tcW w:w="1276" w:type="dxa"/>
            <w:tcBorders>
              <w:top w:val="single" w:sz="4" w:space="0" w:color="A6A6A6" w:themeColor="background1" w:themeShade="A6"/>
            </w:tcBorders>
            <w:shd w:val="clear" w:color="auto" w:fill="auto"/>
          </w:tcPr>
          <w:p w14:paraId="42A465DC" w14:textId="12288552" w:rsidR="00C85522" w:rsidRPr="00CB4A31" w:rsidRDefault="00C85522" w:rsidP="003F14CB">
            <w:pPr>
              <w:pStyle w:val="TableFiguresBracketsBold"/>
            </w:pPr>
            <w:r w:rsidRPr="00CB4A31">
              <w:t>(</w:t>
            </w:r>
            <w:r w:rsidR="00CB4A31" w:rsidRPr="00CB4A31">
              <w:t>288</w:t>
            </w:r>
            <w:r w:rsidRPr="00CB4A31">
              <w:t>)</w:t>
            </w:r>
          </w:p>
        </w:tc>
        <w:tc>
          <w:tcPr>
            <w:tcW w:w="1134" w:type="dxa"/>
            <w:tcBorders>
              <w:top w:val="single" w:sz="4" w:space="0" w:color="A6A6A6" w:themeColor="background1" w:themeShade="A6"/>
            </w:tcBorders>
            <w:shd w:val="clear" w:color="auto" w:fill="auto"/>
            <w:vAlign w:val="bottom"/>
          </w:tcPr>
          <w:p w14:paraId="37E4933F" w14:textId="77F525C1" w:rsidR="00C85522" w:rsidRPr="00CB4A31" w:rsidRDefault="00C85522" w:rsidP="00C85522">
            <w:pPr>
              <w:pStyle w:val="TableFiguresBrackets"/>
            </w:pPr>
            <w:r w:rsidRPr="00CB4A31">
              <w:t>(</w:t>
            </w:r>
            <w:r w:rsidR="00CB4A31" w:rsidRPr="00CB4A31">
              <w:t>35</w:t>
            </w:r>
            <w:r w:rsidRPr="00CB4A31">
              <w:t>)</w:t>
            </w:r>
          </w:p>
        </w:tc>
      </w:tr>
      <w:tr w:rsidR="005F6D8A" w:rsidRPr="00CB4A31" w14:paraId="64865F44" w14:textId="77777777" w:rsidTr="00987007">
        <w:trPr>
          <w:trHeight w:hRule="exact" w:val="227"/>
        </w:trPr>
        <w:tc>
          <w:tcPr>
            <w:tcW w:w="6663" w:type="dxa"/>
            <w:tcBorders>
              <w:top w:val="single" w:sz="4" w:space="0" w:color="A6A6A6" w:themeColor="background1" w:themeShade="A6"/>
              <w:bottom w:val="single" w:sz="4" w:space="0" w:color="A6A6A6" w:themeColor="background1" w:themeShade="A6"/>
            </w:tcBorders>
            <w:vAlign w:val="bottom"/>
          </w:tcPr>
          <w:p w14:paraId="0FC92EEE" w14:textId="77777777" w:rsidR="00C85522" w:rsidRPr="00CB4A31" w:rsidRDefault="00C85522" w:rsidP="00C85522">
            <w:pPr>
              <w:pStyle w:val="Tabletext"/>
              <w:rPr>
                <w:szCs w:val="20"/>
              </w:rPr>
            </w:pPr>
            <w:r w:rsidRPr="00CB4A31">
              <w:rPr>
                <w:rFonts w:cs="Arial"/>
                <w:b/>
                <w:spacing w:val="0"/>
                <w:szCs w:val="18"/>
              </w:rPr>
              <w:t>Profit after tax before non-controlling interests</w:t>
            </w:r>
          </w:p>
        </w:tc>
        <w:tc>
          <w:tcPr>
            <w:tcW w:w="1275" w:type="dxa"/>
            <w:tcBorders>
              <w:top w:val="single" w:sz="4" w:space="0" w:color="A6A6A6" w:themeColor="background1" w:themeShade="A6"/>
              <w:bottom w:val="single" w:sz="4" w:space="0" w:color="A6A6A6" w:themeColor="background1" w:themeShade="A6"/>
            </w:tcBorders>
            <w:shd w:val="clear" w:color="auto" w:fill="auto"/>
            <w:vAlign w:val="bottom"/>
          </w:tcPr>
          <w:p w14:paraId="341A0E05" w14:textId="77777777" w:rsidR="00C85522" w:rsidRPr="00987007" w:rsidRDefault="00C85522" w:rsidP="00BE37F4">
            <w:pPr>
              <w:pStyle w:val="TableFigures"/>
            </w:pPr>
          </w:p>
        </w:tc>
        <w:tc>
          <w:tcPr>
            <w:tcW w:w="1276" w:type="dxa"/>
            <w:tcBorders>
              <w:top w:val="single" w:sz="4" w:space="0" w:color="A6A6A6" w:themeColor="background1" w:themeShade="A6"/>
              <w:bottom w:val="single" w:sz="4" w:space="0" w:color="A6A6A6" w:themeColor="background1" w:themeShade="A6"/>
            </w:tcBorders>
          </w:tcPr>
          <w:p w14:paraId="66989A13" w14:textId="1DE868A9" w:rsidR="00C85522" w:rsidRPr="00CB4A31" w:rsidRDefault="00CB4A31" w:rsidP="003F14CB">
            <w:pPr>
              <w:pStyle w:val="TableFiguresBold0"/>
            </w:pPr>
            <w:r w:rsidRPr="00CB4A31">
              <w:t>4,067</w:t>
            </w:r>
          </w:p>
        </w:tc>
        <w:tc>
          <w:tcPr>
            <w:tcW w:w="1134" w:type="dxa"/>
            <w:tcBorders>
              <w:top w:val="single" w:sz="4" w:space="0" w:color="A6A6A6" w:themeColor="background1" w:themeShade="A6"/>
              <w:bottom w:val="single" w:sz="4" w:space="0" w:color="A6A6A6" w:themeColor="background1" w:themeShade="A6"/>
            </w:tcBorders>
            <w:vAlign w:val="bottom"/>
          </w:tcPr>
          <w:p w14:paraId="075BB6F4" w14:textId="5FB7213E" w:rsidR="00C85522" w:rsidRPr="00CB4A31" w:rsidRDefault="00CB4A31" w:rsidP="00C85522">
            <w:pPr>
              <w:pStyle w:val="TableFigures"/>
            </w:pPr>
            <w:r w:rsidRPr="00CB4A31">
              <w:t>1,429</w:t>
            </w:r>
          </w:p>
        </w:tc>
      </w:tr>
      <w:tr w:rsidR="005F6D8A" w:rsidRPr="00CB4A31" w14:paraId="2D08E456" w14:textId="77777777" w:rsidTr="00987007">
        <w:trPr>
          <w:trHeight w:hRule="exact" w:val="227"/>
        </w:trPr>
        <w:tc>
          <w:tcPr>
            <w:tcW w:w="6663" w:type="dxa"/>
            <w:tcBorders>
              <w:top w:val="single" w:sz="4" w:space="0" w:color="A6A6A6" w:themeColor="background1" w:themeShade="A6"/>
            </w:tcBorders>
            <w:vAlign w:val="bottom"/>
          </w:tcPr>
          <w:p w14:paraId="1201AF7D" w14:textId="77777777" w:rsidR="00C85522" w:rsidRPr="00CB4A31" w:rsidRDefault="00C85522" w:rsidP="00C85522">
            <w:pPr>
              <w:pStyle w:val="Tabletext"/>
              <w:rPr>
                <w:szCs w:val="20"/>
              </w:rPr>
            </w:pPr>
            <w:r w:rsidRPr="00CB4A31">
              <w:t>Non-controlling interests:</w:t>
            </w:r>
          </w:p>
        </w:tc>
        <w:tc>
          <w:tcPr>
            <w:tcW w:w="1275" w:type="dxa"/>
            <w:tcBorders>
              <w:top w:val="single" w:sz="4" w:space="0" w:color="A6A6A6" w:themeColor="background1" w:themeShade="A6"/>
            </w:tcBorders>
            <w:shd w:val="clear" w:color="auto" w:fill="auto"/>
            <w:vAlign w:val="bottom"/>
          </w:tcPr>
          <w:p w14:paraId="65B60495" w14:textId="77777777" w:rsidR="00C85522" w:rsidRPr="00987007" w:rsidRDefault="00C85522" w:rsidP="00BE37F4">
            <w:pPr>
              <w:pStyle w:val="TableFigures"/>
            </w:pPr>
          </w:p>
        </w:tc>
        <w:tc>
          <w:tcPr>
            <w:tcW w:w="1276" w:type="dxa"/>
            <w:tcBorders>
              <w:top w:val="single" w:sz="4" w:space="0" w:color="A6A6A6" w:themeColor="background1" w:themeShade="A6"/>
            </w:tcBorders>
          </w:tcPr>
          <w:p w14:paraId="12DAAE7C" w14:textId="6C275047" w:rsidR="00C85522" w:rsidRPr="00CB4A31" w:rsidRDefault="00C85522" w:rsidP="00C85522">
            <w:pPr>
              <w:pStyle w:val="TableFigures"/>
              <w:rPr>
                <w:b/>
                <w:bCs/>
              </w:rPr>
            </w:pPr>
          </w:p>
        </w:tc>
        <w:tc>
          <w:tcPr>
            <w:tcW w:w="1134" w:type="dxa"/>
            <w:tcBorders>
              <w:top w:val="single" w:sz="4" w:space="0" w:color="A6A6A6" w:themeColor="background1" w:themeShade="A6"/>
            </w:tcBorders>
            <w:vAlign w:val="bottom"/>
          </w:tcPr>
          <w:p w14:paraId="6A64832A" w14:textId="77777777" w:rsidR="00C85522" w:rsidRPr="00CB4A31" w:rsidRDefault="00C85522" w:rsidP="00C85522">
            <w:pPr>
              <w:pStyle w:val="TableFiguresBrackets"/>
            </w:pPr>
          </w:p>
        </w:tc>
      </w:tr>
      <w:tr w:rsidR="005F6D8A" w:rsidRPr="00CB4A31" w14:paraId="0914CCE9" w14:textId="77777777" w:rsidTr="00987007">
        <w:trPr>
          <w:trHeight w:hRule="exact" w:val="227"/>
        </w:trPr>
        <w:tc>
          <w:tcPr>
            <w:tcW w:w="6663" w:type="dxa"/>
            <w:vAlign w:val="bottom"/>
          </w:tcPr>
          <w:p w14:paraId="492C774E" w14:textId="77777777" w:rsidR="00C85522" w:rsidRPr="00CB4A31" w:rsidRDefault="00C85522" w:rsidP="00C85522">
            <w:pPr>
              <w:pStyle w:val="Tabletext"/>
              <w:rPr>
                <w:szCs w:val="20"/>
              </w:rPr>
            </w:pPr>
            <w:r w:rsidRPr="00CB4A31">
              <w:t>Less: share of adjusted profit attributable to non-controlling interests</w:t>
            </w:r>
          </w:p>
        </w:tc>
        <w:tc>
          <w:tcPr>
            <w:tcW w:w="1275" w:type="dxa"/>
            <w:shd w:val="clear" w:color="auto" w:fill="auto"/>
            <w:vAlign w:val="bottom"/>
          </w:tcPr>
          <w:p w14:paraId="49E9D0CA" w14:textId="77777777" w:rsidR="00C85522" w:rsidRPr="00987007" w:rsidRDefault="00C85522" w:rsidP="00823C08">
            <w:pPr>
              <w:pStyle w:val="TableFigures"/>
            </w:pPr>
          </w:p>
        </w:tc>
        <w:tc>
          <w:tcPr>
            <w:tcW w:w="1276" w:type="dxa"/>
          </w:tcPr>
          <w:p w14:paraId="29FBACFA" w14:textId="36EE2413" w:rsidR="00C85522" w:rsidRPr="00CB4A31" w:rsidRDefault="00CB4A31" w:rsidP="00987007">
            <w:pPr>
              <w:pStyle w:val="TableFiguresBold0"/>
            </w:pPr>
            <w:r w:rsidRPr="00CB4A31">
              <w:t>–</w:t>
            </w:r>
          </w:p>
        </w:tc>
        <w:tc>
          <w:tcPr>
            <w:tcW w:w="1134" w:type="dxa"/>
            <w:vAlign w:val="bottom"/>
          </w:tcPr>
          <w:p w14:paraId="3727B342" w14:textId="124473C9" w:rsidR="00C85522" w:rsidRPr="00CB4A31" w:rsidRDefault="00CB4A31" w:rsidP="00987007">
            <w:pPr>
              <w:pStyle w:val="TableFigures"/>
            </w:pPr>
            <w:r w:rsidRPr="00CB4A31">
              <w:t>–</w:t>
            </w:r>
          </w:p>
        </w:tc>
      </w:tr>
      <w:tr w:rsidR="005F6D8A" w:rsidRPr="00CB4A31" w14:paraId="56984A47" w14:textId="77777777" w:rsidTr="00987007">
        <w:trPr>
          <w:trHeight w:hRule="exact" w:val="227"/>
        </w:trPr>
        <w:tc>
          <w:tcPr>
            <w:tcW w:w="6663" w:type="dxa"/>
            <w:tcBorders>
              <w:bottom w:val="single" w:sz="4" w:space="0" w:color="A6A6A6" w:themeColor="background1" w:themeShade="A6"/>
            </w:tcBorders>
            <w:vAlign w:val="bottom"/>
          </w:tcPr>
          <w:p w14:paraId="7E05C9A1" w14:textId="77777777" w:rsidR="00C85522" w:rsidRPr="00CB4A31" w:rsidRDefault="00C85522" w:rsidP="00C85522">
            <w:pPr>
              <w:pStyle w:val="Tabletext"/>
              <w:rPr>
                <w:szCs w:val="20"/>
              </w:rPr>
            </w:pPr>
            <w:r w:rsidRPr="00CB4A31">
              <w:t xml:space="preserve">        : share of adjustments attributable to non-controlling interests</w:t>
            </w:r>
          </w:p>
        </w:tc>
        <w:tc>
          <w:tcPr>
            <w:tcW w:w="1275" w:type="dxa"/>
            <w:tcBorders>
              <w:bottom w:val="single" w:sz="4" w:space="0" w:color="A6A6A6" w:themeColor="background1" w:themeShade="A6"/>
            </w:tcBorders>
            <w:shd w:val="clear" w:color="auto" w:fill="auto"/>
            <w:vAlign w:val="bottom"/>
          </w:tcPr>
          <w:p w14:paraId="3F150E2A" w14:textId="77777777" w:rsidR="00C85522" w:rsidRPr="00987007" w:rsidRDefault="00C85522" w:rsidP="00BE37F4">
            <w:pPr>
              <w:pStyle w:val="TableFigures"/>
            </w:pPr>
          </w:p>
        </w:tc>
        <w:tc>
          <w:tcPr>
            <w:tcW w:w="1276" w:type="dxa"/>
            <w:tcBorders>
              <w:bottom w:val="single" w:sz="4" w:space="0" w:color="A6A6A6" w:themeColor="background1" w:themeShade="A6"/>
            </w:tcBorders>
          </w:tcPr>
          <w:p w14:paraId="25CD31A8" w14:textId="7AFB6959" w:rsidR="00C85522" w:rsidRPr="00CB4A31" w:rsidRDefault="00C85522" w:rsidP="003F14CB">
            <w:pPr>
              <w:pStyle w:val="TableFiguresBracketsBold"/>
            </w:pPr>
            <w:r w:rsidRPr="00CB4A31">
              <w:t>(</w:t>
            </w:r>
            <w:r w:rsidR="00CB4A31" w:rsidRPr="00CB4A31">
              <w:t>7</w:t>
            </w:r>
            <w:r w:rsidRPr="00CB4A31">
              <w:t>)</w:t>
            </w:r>
          </w:p>
        </w:tc>
        <w:tc>
          <w:tcPr>
            <w:tcW w:w="1134" w:type="dxa"/>
            <w:tcBorders>
              <w:bottom w:val="single" w:sz="4" w:space="0" w:color="A6A6A6" w:themeColor="background1" w:themeShade="A6"/>
            </w:tcBorders>
            <w:vAlign w:val="bottom"/>
          </w:tcPr>
          <w:p w14:paraId="4BF6D00C" w14:textId="5D4D4084" w:rsidR="00C85522" w:rsidRPr="00CB4A31" w:rsidRDefault="00C85522" w:rsidP="00C85522">
            <w:pPr>
              <w:pStyle w:val="TableFiguresBrackets"/>
            </w:pPr>
            <w:r w:rsidRPr="00CB4A31">
              <w:t>(2)</w:t>
            </w:r>
          </w:p>
        </w:tc>
      </w:tr>
      <w:tr w:rsidR="005F6D8A" w:rsidRPr="00CB4A31" w14:paraId="64CBA138" w14:textId="77777777" w:rsidTr="00987007">
        <w:trPr>
          <w:trHeight w:hRule="exact" w:val="227"/>
        </w:trPr>
        <w:tc>
          <w:tcPr>
            <w:tcW w:w="6663" w:type="dxa"/>
            <w:tcBorders>
              <w:top w:val="single" w:sz="4" w:space="0" w:color="A6A6A6" w:themeColor="background1" w:themeShade="A6"/>
            </w:tcBorders>
            <w:vAlign w:val="bottom"/>
          </w:tcPr>
          <w:p w14:paraId="2B66718B" w14:textId="77777777" w:rsidR="00C85522" w:rsidRPr="00CB4A31" w:rsidRDefault="00C85522" w:rsidP="00C85522">
            <w:pPr>
              <w:pStyle w:val="Tabletext"/>
              <w:rPr>
                <w:szCs w:val="20"/>
              </w:rPr>
            </w:pPr>
            <w:r w:rsidRPr="00CB4A31">
              <w:t>Profit after tax and non-controlling interests</w:t>
            </w:r>
          </w:p>
        </w:tc>
        <w:tc>
          <w:tcPr>
            <w:tcW w:w="1275" w:type="dxa"/>
            <w:tcBorders>
              <w:top w:val="single" w:sz="4" w:space="0" w:color="A6A6A6" w:themeColor="background1" w:themeShade="A6"/>
            </w:tcBorders>
            <w:shd w:val="clear" w:color="auto" w:fill="auto"/>
            <w:vAlign w:val="bottom"/>
          </w:tcPr>
          <w:p w14:paraId="141E9C9E" w14:textId="77777777" w:rsidR="00C85522" w:rsidRPr="00987007" w:rsidRDefault="00C85522" w:rsidP="00BE37F4">
            <w:pPr>
              <w:pStyle w:val="TableFigures"/>
            </w:pPr>
          </w:p>
        </w:tc>
        <w:tc>
          <w:tcPr>
            <w:tcW w:w="1276" w:type="dxa"/>
            <w:tcBorders>
              <w:top w:val="single" w:sz="4" w:space="0" w:color="A6A6A6" w:themeColor="background1" w:themeShade="A6"/>
            </w:tcBorders>
          </w:tcPr>
          <w:p w14:paraId="756B18EF" w14:textId="1E247076" w:rsidR="00C85522" w:rsidRPr="00CB4A31" w:rsidRDefault="00CB4A31" w:rsidP="003F14CB">
            <w:pPr>
              <w:pStyle w:val="TableFiguresBold0"/>
            </w:pPr>
            <w:r w:rsidRPr="00CB4A31">
              <w:t>4,060</w:t>
            </w:r>
          </w:p>
        </w:tc>
        <w:tc>
          <w:tcPr>
            <w:tcW w:w="1134" w:type="dxa"/>
            <w:tcBorders>
              <w:top w:val="single" w:sz="4" w:space="0" w:color="A6A6A6" w:themeColor="background1" w:themeShade="A6"/>
            </w:tcBorders>
            <w:vAlign w:val="bottom"/>
          </w:tcPr>
          <w:p w14:paraId="28A88A3A" w14:textId="199BFB03" w:rsidR="00C85522" w:rsidRPr="00CB4A31" w:rsidRDefault="00CB4A31" w:rsidP="00C85522">
            <w:pPr>
              <w:pStyle w:val="TableFigures"/>
            </w:pPr>
            <w:r w:rsidRPr="00CB4A31">
              <w:t>1,427</w:t>
            </w:r>
          </w:p>
        </w:tc>
      </w:tr>
      <w:tr w:rsidR="005F6D8A" w:rsidRPr="00CB4A31" w14:paraId="4039C933" w14:textId="77777777" w:rsidTr="00987007">
        <w:trPr>
          <w:trHeight w:hRule="exact" w:val="227"/>
        </w:trPr>
        <w:tc>
          <w:tcPr>
            <w:tcW w:w="6663" w:type="dxa"/>
            <w:shd w:val="clear" w:color="auto" w:fill="auto"/>
            <w:vAlign w:val="bottom"/>
          </w:tcPr>
          <w:p w14:paraId="72F4CC7D" w14:textId="77777777" w:rsidR="00C85522" w:rsidRPr="00CB4A31" w:rsidRDefault="00C85522" w:rsidP="00C85522">
            <w:pPr>
              <w:pStyle w:val="Tabletext"/>
              <w:rPr>
                <w:szCs w:val="20"/>
              </w:rPr>
            </w:pPr>
            <w:r w:rsidRPr="00CB4A31">
              <w:rPr>
                <w:szCs w:val="20"/>
              </w:rPr>
              <w:t>Of which:</w:t>
            </w:r>
          </w:p>
        </w:tc>
        <w:tc>
          <w:tcPr>
            <w:tcW w:w="1275" w:type="dxa"/>
            <w:shd w:val="clear" w:color="auto" w:fill="auto"/>
            <w:vAlign w:val="bottom"/>
          </w:tcPr>
          <w:p w14:paraId="3455CDDF" w14:textId="77777777" w:rsidR="00C85522" w:rsidRPr="00987007" w:rsidRDefault="00C85522" w:rsidP="00BE37F4">
            <w:pPr>
              <w:pStyle w:val="TableFigures"/>
            </w:pPr>
          </w:p>
        </w:tc>
        <w:tc>
          <w:tcPr>
            <w:tcW w:w="1276" w:type="dxa"/>
            <w:shd w:val="clear" w:color="auto" w:fill="auto"/>
          </w:tcPr>
          <w:p w14:paraId="5AC7C498" w14:textId="00B631A1" w:rsidR="00C85522" w:rsidRPr="00CB4A31" w:rsidRDefault="00C85522" w:rsidP="00C85522">
            <w:pPr>
              <w:pStyle w:val="TableFigures"/>
              <w:rPr>
                <w:b/>
                <w:bCs/>
              </w:rPr>
            </w:pPr>
          </w:p>
        </w:tc>
        <w:tc>
          <w:tcPr>
            <w:tcW w:w="1134" w:type="dxa"/>
            <w:shd w:val="clear" w:color="auto" w:fill="auto"/>
            <w:vAlign w:val="bottom"/>
          </w:tcPr>
          <w:p w14:paraId="3CCDDA3A" w14:textId="77777777" w:rsidR="00C85522" w:rsidRPr="00CB4A31" w:rsidRDefault="00C85522" w:rsidP="00C85522">
            <w:pPr>
              <w:pStyle w:val="TableFiguresBrackets"/>
            </w:pPr>
          </w:p>
        </w:tc>
      </w:tr>
      <w:tr w:rsidR="005F6D8A" w:rsidRPr="00CB4A31" w14:paraId="2A6BD172" w14:textId="77777777" w:rsidTr="00987007">
        <w:trPr>
          <w:trHeight w:hRule="exact" w:val="227"/>
        </w:trPr>
        <w:tc>
          <w:tcPr>
            <w:tcW w:w="6663" w:type="dxa"/>
            <w:shd w:val="clear" w:color="auto" w:fill="auto"/>
            <w:vAlign w:val="bottom"/>
          </w:tcPr>
          <w:p w14:paraId="03E8731C" w14:textId="7C23C684" w:rsidR="00C85522" w:rsidRPr="00CB4A31" w:rsidRDefault="00C85522" w:rsidP="00C85522">
            <w:pPr>
              <w:pStyle w:val="Tabletext"/>
              <w:rPr>
                <w:szCs w:val="20"/>
              </w:rPr>
            </w:pPr>
            <w:r w:rsidRPr="00CB4A31">
              <w:rPr>
                <w:szCs w:val="20"/>
              </w:rPr>
              <w:t>Adjusted profit after tax and non-controlling interests</w:t>
            </w:r>
          </w:p>
        </w:tc>
        <w:tc>
          <w:tcPr>
            <w:tcW w:w="1275" w:type="dxa"/>
            <w:shd w:val="clear" w:color="auto" w:fill="auto"/>
            <w:vAlign w:val="bottom"/>
          </w:tcPr>
          <w:p w14:paraId="0794BAE3" w14:textId="77777777" w:rsidR="00C85522" w:rsidRPr="00987007" w:rsidDel="00D97B6E" w:rsidRDefault="00C85522" w:rsidP="00BE37F4">
            <w:pPr>
              <w:pStyle w:val="TableFigures"/>
            </w:pPr>
          </w:p>
        </w:tc>
        <w:tc>
          <w:tcPr>
            <w:tcW w:w="1276" w:type="dxa"/>
            <w:shd w:val="clear" w:color="auto" w:fill="auto"/>
          </w:tcPr>
          <w:p w14:paraId="6FD25567" w14:textId="531A4FF3" w:rsidR="00C85522" w:rsidRPr="00CB4A31" w:rsidRDefault="00CB4A31" w:rsidP="003F14CB">
            <w:pPr>
              <w:pStyle w:val="TableFiguresBold0"/>
            </w:pPr>
            <w:r w:rsidRPr="00CB4A31">
              <w:t>348</w:t>
            </w:r>
          </w:p>
        </w:tc>
        <w:tc>
          <w:tcPr>
            <w:tcW w:w="1134" w:type="dxa"/>
            <w:vAlign w:val="bottom"/>
          </w:tcPr>
          <w:p w14:paraId="7323406F" w14:textId="0CB8DC5F" w:rsidR="00C85522" w:rsidRPr="00CB4A31" w:rsidRDefault="00CB4A31" w:rsidP="00C85522">
            <w:pPr>
              <w:pStyle w:val="TableFigures"/>
            </w:pPr>
            <w:r w:rsidRPr="00CB4A31">
              <w:t>292</w:t>
            </w:r>
          </w:p>
        </w:tc>
      </w:tr>
      <w:tr w:rsidR="005F6D8A" w:rsidRPr="00CB4A31" w14:paraId="27E710B0" w14:textId="77777777" w:rsidTr="00987007">
        <w:trPr>
          <w:trHeight w:hRule="exact" w:val="227"/>
        </w:trPr>
        <w:tc>
          <w:tcPr>
            <w:tcW w:w="6663" w:type="dxa"/>
            <w:tcBorders>
              <w:bottom w:val="single" w:sz="4" w:space="0" w:color="A6A6A6" w:themeColor="background1" w:themeShade="A6"/>
            </w:tcBorders>
            <w:shd w:val="clear" w:color="auto" w:fill="auto"/>
            <w:vAlign w:val="bottom"/>
          </w:tcPr>
          <w:p w14:paraId="054EC448" w14:textId="77777777" w:rsidR="00C85522" w:rsidRPr="00CB4A31" w:rsidRDefault="00C85522" w:rsidP="00C85522">
            <w:pPr>
              <w:pStyle w:val="Tabletext"/>
              <w:rPr>
                <w:szCs w:val="20"/>
              </w:rPr>
            </w:pPr>
            <w:r w:rsidRPr="00CB4A31">
              <w:rPr>
                <w:szCs w:val="20"/>
              </w:rPr>
              <w:t>Total adjustments after tax and non-controlling interests</w:t>
            </w:r>
          </w:p>
        </w:tc>
        <w:tc>
          <w:tcPr>
            <w:tcW w:w="1275" w:type="dxa"/>
            <w:tcBorders>
              <w:bottom w:val="single" w:sz="4" w:space="0" w:color="A6A6A6" w:themeColor="background1" w:themeShade="A6"/>
            </w:tcBorders>
            <w:shd w:val="clear" w:color="auto" w:fill="auto"/>
            <w:vAlign w:val="bottom"/>
          </w:tcPr>
          <w:p w14:paraId="39CCA4AC" w14:textId="0D1AC0B3" w:rsidR="00C85522" w:rsidRPr="00987007" w:rsidRDefault="00C85522" w:rsidP="00C85522">
            <w:pPr>
              <w:pStyle w:val="TableFiguresBold0"/>
            </w:pPr>
          </w:p>
        </w:tc>
        <w:tc>
          <w:tcPr>
            <w:tcW w:w="1276" w:type="dxa"/>
            <w:tcBorders>
              <w:bottom w:val="single" w:sz="4" w:space="0" w:color="A6A6A6" w:themeColor="background1" w:themeShade="A6"/>
            </w:tcBorders>
            <w:shd w:val="clear" w:color="auto" w:fill="auto"/>
          </w:tcPr>
          <w:p w14:paraId="7AD61BE5" w14:textId="3921AA41" w:rsidR="00C85522" w:rsidRPr="00CB4A31" w:rsidRDefault="00CB4A31" w:rsidP="003F14CB">
            <w:pPr>
              <w:pStyle w:val="TableFiguresBold0"/>
            </w:pPr>
            <w:r w:rsidRPr="00CB4A31">
              <w:t>3,712</w:t>
            </w:r>
          </w:p>
        </w:tc>
        <w:tc>
          <w:tcPr>
            <w:tcW w:w="1134" w:type="dxa"/>
            <w:tcBorders>
              <w:bottom w:val="single" w:sz="4" w:space="0" w:color="A6A6A6" w:themeColor="background1" w:themeShade="A6"/>
            </w:tcBorders>
            <w:vAlign w:val="bottom"/>
          </w:tcPr>
          <w:p w14:paraId="02F90FFD" w14:textId="2D4CD549" w:rsidR="00C85522" w:rsidRPr="00CB4A31" w:rsidRDefault="00CB4A31" w:rsidP="00C85522">
            <w:pPr>
              <w:pStyle w:val="TableFigures"/>
            </w:pPr>
            <w:r w:rsidRPr="00CB4A31">
              <w:t>1,135</w:t>
            </w:r>
          </w:p>
        </w:tc>
      </w:tr>
      <w:tr w:rsidR="00C85522" w:rsidRPr="00CB4A31" w14:paraId="5AB60E88" w14:textId="77777777" w:rsidTr="00987007">
        <w:trPr>
          <w:trHeight w:hRule="exact" w:val="227"/>
        </w:trPr>
        <w:tc>
          <w:tcPr>
            <w:tcW w:w="6663" w:type="dxa"/>
            <w:tcBorders>
              <w:top w:val="single" w:sz="4" w:space="0" w:color="A6A6A6" w:themeColor="background1" w:themeShade="A6"/>
              <w:bottom w:val="single" w:sz="4" w:space="0" w:color="A6A6A6" w:themeColor="background1" w:themeShade="A6"/>
            </w:tcBorders>
            <w:shd w:val="clear" w:color="auto" w:fill="auto"/>
            <w:vAlign w:val="bottom"/>
          </w:tcPr>
          <w:p w14:paraId="6677F71F" w14:textId="77777777" w:rsidR="00C85522" w:rsidRPr="00CB4A31" w:rsidRDefault="00C85522" w:rsidP="00C85522">
            <w:pPr>
              <w:pStyle w:val="TabletextBold"/>
              <w:rPr>
                <w:szCs w:val="20"/>
              </w:rPr>
            </w:pPr>
            <w:r w:rsidRPr="00CB4A31">
              <w:rPr>
                <w:szCs w:val="20"/>
              </w:rPr>
              <w:t>Profit attributable to equity shareholders</w:t>
            </w:r>
          </w:p>
        </w:tc>
        <w:tc>
          <w:tcPr>
            <w:tcW w:w="1275" w:type="dxa"/>
            <w:tcBorders>
              <w:top w:val="single" w:sz="4" w:space="0" w:color="A6A6A6" w:themeColor="background1" w:themeShade="A6"/>
              <w:bottom w:val="single" w:sz="4" w:space="0" w:color="A6A6A6" w:themeColor="background1" w:themeShade="A6"/>
            </w:tcBorders>
            <w:shd w:val="clear" w:color="auto" w:fill="auto"/>
            <w:vAlign w:val="bottom"/>
          </w:tcPr>
          <w:p w14:paraId="2350402C" w14:textId="77777777" w:rsidR="00C85522" w:rsidRPr="00987007" w:rsidRDefault="00C85522" w:rsidP="00C85522">
            <w:pPr>
              <w:pStyle w:val="TableFiguresBold0"/>
            </w:pPr>
          </w:p>
        </w:tc>
        <w:tc>
          <w:tcPr>
            <w:tcW w:w="1276" w:type="dxa"/>
            <w:tcBorders>
              <w:top w:val="single" w:sz="4" w:space="0" w:color="A6A6A6" w:themeColor="background1" w:themeShade="A6"/>
              <w:bottom w:val="single" w:sz="4" w:space="0" w:color="A6A6A6" w:themeColor="background1" w:themeShade="A6"/>
            </w:tcBorders>
            <w:shd w:val="clear" w:color="auto" w:fill="auto"/>
          </w:tcPr>
          <w:p w14:paraId="58BA9EA4" w14:textId="30C2201D" w:rsidR="00C85522" w:rsidRPr="00CB4A31" w:rsidRDefault="00CB4A31" w:rsidP="003F14CB">
            <w:pPr>
              <w:pStyle w:val="TableFiguresBold0"/>
            </w:pPr>
            <w:r w:rsidRPr="00CB4A31">
              <w:t>4,060</w:t>
            </w:r>
          </w:p>
        </w:tc>
        <w:tc>
          <w:tcPr>
            <w:tcW w:w="1134" w:type="dxa"/>
            <w:tcBorders>
              <w:top w:val="single" w:sz="4" w:space="0" w:color="A6A6A6" w:themeColor="background1" w:themeShade="A6"/>
              <w:bottom w:val="single" w:sz="4" w:space="0" w:color="A6A6A6" w:themeColor="background1" w:themeShade="A6"/>
            </w:tcBorders>
            <w:shd w:val="clear" w:color="auto" w:fill="auto"/>
            <w:vAlign w:val="bottom"/>
          </w:tcPr>
          <w:p w14:paraId="0A64DE6F" w14:textId="1589D458" w:rsidR="00C85522" w:rsidRPr="00CB4A31" w:rsidRDefault="00CB4A31" w:rsidP="00C85522">
            <w:pPr>
              <w:pStyle w:val="TableFigures"/>
            </w:pPr>
            <w:r w:rsidRPr="00CB4A31">
              <w:t>1,427</w:t>
            </w:r>
          </w:p>
        </w:tc>
      </w:tr>
    </w:tbl>
    <w:p w14:paraId="06D50A12" w14:textId="77777777" w:rsidR="00A841D8" w:rsidRPr="00CB4A31" w:rsidRDefault="00A841D8" w:rsidP="005E793C">
      <w:pPr>
        <w:pStyle w:val="FootnotesNoSpace"/>
        <w:ind w:left="142" w:hanging="142"/>
        <w:rPr>
          <w:i w:val="0"/>
        </w:rPr>
      </w:pPr>
    </w:p>
    <w:p w14:paraId="155858D1" w14:textId="06024A56" w:rsidR="005E793C" w:rsidRPr="00CB4A31" w:rsidRDefault="005E793C" w:rsidP="005E793C">
      <w:pPr>
        <w:pStyle w:val="FootnotesNoSpace"/>
        <w:ind w:left="142" w:hanging="142"/>
        <w:rPr>
          <w:i w:val="0"/>
        </w:rPr>
      </w:pPr>
      <w:r w:rsidRPr="00CB4A31">
        <w:rPr>
          <w:i w:val="0"/>
        </w:rPr>
        <w:t xml:space="preserve">1 A detailed breakdown of the adjustments to the share of profit from joint ventures is included in </w:t>
      </w:r>
      <w:r w:rsidRPr="00987007">
        <w:rPr>
          <w:i w:val="0"/>
        </w:rPr>
        <w:t xml:space="preserve">Note </w:t>
      </w:r>
      <w:r w:rsidR="00A841D8" w:rsidRPr="00987007">
        <w:rPr>
          <w:i w:val="0"/>
        </w:rPr>
        <w:t>6</w:t>
      </w:r>
      <w:r w:rsidRPr="00987007">
        <w:rPr>
          <w:i w:val="0"/>
        </w:rPr>
        <w:t>.</w:t>
      </w:r>
    </w:p>
    <w:p w14:paraId="2A4FFE40" w14:textId="004016FF" w:rsidR="00F927B0" w:rsidRPr="005F6D8A" w:rsidRDefault="00F927B0" w:rsidP="005E793C">
      <w:pPr>
        <w:pStyle w:val="FootnotesNoSpace"/>
        <w:ind w:left="142" w:hanging="142"/>
        <w:rPr>
          <w:i w:val="0"/>
          <w:color w:val="FF0000"/>
        </w:rPr>
      </w:pPr>
    </w:p>
    <w:p w14:paraId="35BEDDEC" w14:textId="765483CB" w:rsidR="00F927B0" w:rsidRPr="005F6D8A" w:rsidRDefault="00F927B0" w:rsidP="005E793C">
      <w:pPr>
        <w:pStyle w:val="FootnotesNoSpace"/>
        <w:ind w:left="142" w:hanging="142"/>
        <w:rPr>
          <w:i w:val="0"/>
          <w:color w:val="FF0000"/>
        </w:rPr>
      </w:pPr>
    </w:p>
    <w:p w14:paraId="235101E7" w14:textId="75C2B7D5" w:rsidR="00F927B0" w:rsidRPr="005F6D8A" w:rsidRDefault="00F927B0" w:rsidP="005E793C">
      <w:pPr>
        <w:pStyle w:val="FootnotesNoSpace"/>
        <w:ind w:left="142" w:hanging="142"/>
        <w:rPr>
          <w:i w:val="0"/>
          <w:color w:val="FF0000"/>
        </w:rPr>
      </w:pPr>
    </w:p>
    <w:p w14:paraId="4A135A11" w14:textId="63732965" w:rsidR="00F927B0" w:rsidRPr="005F6D8A" w:rsidRDefault="00F927B0" w:rsidP="005E793C">
      <w:pPr>
        <w:pStyle w:val="FootnotesNoSpace"/>
        <w:ind w:left="142" w:hanging="142"/>
        <w:rPr>
          <w:i w:val="0"/>
          <w:color w:val="FF0000"/>
        </w:rPr>
      </w:pPr>
    </w:p>
    <w:p w14:paraId="5408051F" w14:textId="52B952A6" w:rsidR="00F927B0" w:rsidRPr="005F6D8A" w:rsidRDefault="00F927B0" w:rsidP="005E793C">
      <w:pPr>
        <w:pStyle w:val="FootnotesNoSpace"/>
        <w:ind w:left="142" w:hanging="142"/>
        <w:rPr>
          <w:i w:val="0"/>
          <w:color w:val="FF0000"/>
        </w:rPr>
      </w:pPr>
    </w:p>
    <w:p w14:paraId="2AA482B9" w14:textId="0437B393" w:rsidR="00F927B0" w:rsidRPr="005F6D8A" w:rsidRDefault="00F927B0" w:rsidP="005E793C">
      <w:pPr>
        <w:pStyle w:val="FootnotesNoSpace"/>
        <w:ind w:left="142" w:hanging="142"/>
        <w:rPr>
          <w:i w:val="0"/>
          <w:color w:val="FF0000"/>
        </w:rPr>
      </w:pPr>
    </w:p>
    <w:p w14:paraId="67F0C300" w14:textId="1A75C479" w:rsidR="00F927B0" w:rsidRPr="005F6D8A" w:rsidRDefault="00F927B0" w:rsidP="005E793C">
      <w:pPr>
        <w:pStyle w:val="FootnotesNoSpace"/>
        <w:ind w:left="142" w:hanging="142"/>
        <w:rPr>
          <w:i w:val="0"/>
          <w:color w:val="FF0000"/>
        </w:rPr>
      </w:pPr>
    </w:p>
    <w:p w14:paraId="32FF17E5" w14:textId="204772F4" w:rsidR="00F927B0" w:rsidRPr="005F6D8A" w:rsidRDefault="00F927B0" w:rsidP="005E793C">
      <w:pPr>
        <w:pStyle w:val="FootnotesNoSpace"/>
        <w:ind w:left="142" w:hanging="142"/>
        <w:rPr>
          <w:i w:val="0"/>
          <w:color w:val="FF0000"/>
        </w:rPr>
      </w:pPr>
    </w:p>
    <w:p w14:paraId="7011C1AC" w14:textId="1C43B013" w:rsidR="00C85522" w:rsidRPr="005F6D8A" w:rsidRDefault="00C85522" w:rsidP="005E793C">
      <w:pPr>
        <w:pStyle w:val="FootnotesNoSpace"/>
        <w:ind w:left="142" w:hanging="142"/>
        <w:rPr>
          <w:i w:val="0"/>
          <w:color w:val="FF0000"/>
        </w:rPr>
      </w:pPr>
    </w:p>
    <w:p w14:paraId="6BC67E40" w14:textId="38E643AE" w:rsidR="00C85522" w:rsidRPr="005F6D8A" w:rsidRDefault="00C85522" w:rsidP="005E793C">
      <w:pPr>
        <w:pStyle w:val="FootnotesNoSpace"/>
        <w:ind w:left="142" w:hanging="142"/>
        <w:rPr>
          <w:i w:val="0"/>
          <w:color w:val="FF0000"/>
        </w:rPr>
      </w:pPr>
    </w:p>
    <w:p w14:paraId="7954027E" w14:textId="77777777" w:rsidR="005E793C" w:rsidRPr="00CB4A31" w:rsidRDefault="005E793C" w:rsidP="005E793C">
      <w:pPr>
        <w:pStyle w:val="Heading3"/>
        <w:rPr>
          <w:rStyle w:val="Heading1Char"/>
          <w:b/>
          <w:szCs w:val="20"/>
        </w:rPr>
      </w:pPr>
      <w:r w:rsidRPr="00CB4A31">
        <w:rPr>
          <w:rStyle w:val="Heading1Char"/>
          <w:b/>
          <w:szCs w:val="20"/>
        </w:rPr>
        <w:t>3. SEGMENTAL ANALYSIS</w:t>
      </w:r>
    </w:p>
    <w:p w14:paraId="09B4218E" w14:textId="433334DB" w:rsidR="00F927B0" w:rsidRPr="005F6D8A" w:rsidRDefault="00CB4A31" w:rsidP="005E793C">
      <w:pPr>
        <w:pStyle w:val="Normal1"/>
        <w:spacing w:after="80"/>
        <w:rPr>
          <w:b/>
          <w:bCs/>
          <w:color w:val="FF0000"/>
          <w:sz w:val="14"/>
          <w:szCs w:val="14"/>
          <w:highlight w:val="yellow"/>
        </w:rPr>
      </w:pPr>
      <w:r>
        <w:t>The Group’s reportable segments are the geographical Business Units: Greater London, Thames Valley, National Logistics, Northern Europe (principally Germany), Southern Europe (principally France and Italy) and Central Europe (principally Poland), which are managed and reported to the Board as separate distinct Business Units.</w:t>
      </w:r>
    </w:p>
    <w:tbl>
      <w:tblPr>
        <w:tblW w:w="0" w:type="auto"/>
        <w:jc w:val="right"/>
        <w:tblLayout w:type="fixed"/>
        <w:tblCellMar>
          <w:left w:w="0" w:type="dxa"/>
          <w:right w:w="0" w:type="dxa"/>
        </w:tblCellMar>
        <w:tblLook w:val="01E0" w:firstRow="1" w:lastRow="1" w:firstColumn="1" w:lastColumn="1" w:noHBand="0" w:noVBand="0"/>
      </w:tblPr>
      <w:tblGrid>
        <w:gridCol w:w="2977"/>
        <w:gridCol w:w="851"/>
        <w:gridCol w:w="935"/>
        <w:gridCol w:w="1036"/>
        <w:gridCol w:w="1147"/>
        <w:gridCol w:w="1292"/>
        <w:gridCol w:w="1097"/>
        <w:gridCol w:w="1132"/>
      </w:tblGrid>
      <w:tr w:rsidR="005F6D8A" w:rsidRPr="00CB4A31" w14:paraId="77287C81" w14:textId="77777777" w:rsidTr="00E30618">
        <w:trPr>
          <w:jc w:val="right"/>
        </w:trPr>
        <w:tc>
          <w:tcPr>
            <w:tcW w:w="2977" w:type="dxa"/>
            <w:tcBorders>
              <w:bottom w:val="single" w:sz="8" w:space="0" w:color="999999"/>
            </w:tcBorders>
            <w:shd w:val="clear" w:color="auto" w:fill="auto"/>
            <w:vAlign w:val="bottom"/>
          </w:tcPr>
          <w:p w14:paraId="2080A9D0" w14:textId="18FFD8B7" w:rsidR="005E793C" w:rsidRPr="00CB4A31" w:rsidRDefault="00F927B0" w:rsidP="00F927B0">
            <w:pPr>
              <w:pStyle w:val="TableColHeadsBold0"/>
              <w:jc w:val="left"/>
            </w:pPr>
            <w:r w:rsidRPr="00CB4A31">
              <w:t>31 December 20</w:t>
            </w:r>
            <w:r w:rsidR="00200C3E" w:rsidRPr="00CB4A31">
              <w:t>2</w:t>
            </w:r>
            <w:r w:rsidR="00CB4A31" w:rsidRPr="00CB4A31">
              <w:t>1</w:t>
            </w:r>
          </w:p>
        </w:tc>
        <w:tc>
          <w:tcPr>
            <w:tcW w:w="851" w:type="dxa"/>
            <w:tcBorders>
              <w:bottom w:val="single" w:sz="8" w:space="0" w:color="999999"/>
            </w:tcBorders>
            <w:shd w:val="clear" w:color="auto" w:fill="auto"/>
            <w:vAlign w:val="bottom"/>
          </w:tcPr>
          <w:p w14:paraId="02FF5726" w14:textId="77777777" w:rsidR="005E793C" w:rsidRPr="00CB4A31" w:rsidRDefault="005E793C" w:rsidP="00E30618">
            <w:pPr>
              <w:pStyle w:val="TableColHeadsBold0"/>
            </w:pPr>
            <w:r w:rsidRPr="00CB4A31">
              <w:t xml:space="preserve">Gross rental income </w:t>
            </w:r>
          </w:p>
          <w:p w14:paraId="18BF0454" w14:textId="77777777" w:rsidR="005E793C" w:rsidRPr="00CB4A31" w:rsidRDefault="005E793C" w:rsidP="00E30618">
            <w:pPr>
              <w:pStyle w:val="TableColHeadsBold0"/>
            </w:pPr>
            <w:r w:rsidRPr="00CB4A31">
              <w:t>£m</w:t>
            </w:r>
          </w:p>
        </w:tc>
        <w:tc>
          <w:tcPr>
            <w:tcW w:w="935" w:type="dxa"/>
            <w:tcBorders>
              <w:bottom w:val="single" w:sz="8" w:space="0" w:color="999999"/>
            </w:tcBorders>
            <w:shd w:val="clear" w:color="auto" w:fill="auto"/>
            <w:vAlign w:val="bottom"/>
          </w:tcPr>
          <w:p w14:paraId="7315D4D8" w14:textId="77777777" w:rsidR="005E793C" w:rsidRPr="00CB4A31" w:rsidRDefault="005E793C" w:rsidP="00E30618">
            <w:pPr>
              <w:pStyle w:val="TableColHeadsBold0"/>
            </w:pPr>
            <w:r w:rsidRPr="00CB4A31">
              <w:t>Net rental</w:t>
            </w:r>
          </w:p>
          <w:p w14:paraId="27935A81" w14:textId="77777777" w:rsidR="005E793C" w:rsidRPr="00CB4A31" w:rsidRDefault="005E793C" w:rsidP="00E30618">
            <w:pPr>
              <w:pStyle w:val="TableColHeadsBold0"/>
            </w:pPr>
            <w:r w:rsidRPr="00CB4A31">
              <w:t xml:space="preserve"> income</w:t>
            </w:r>
          </w:p>
          <w:p w14:paraId="5B03E067" w14:textId="77777777" w:rsidR="005E793C" w:rsidRPr="00CB4A31" w:rsidRDefault="005E793C" w:rsidP="00E30618">
            <w:pPr>
              <w:pStyle w:val="TableColHeadsBold0"/>
            </w:pPr>
            <w:r w:rsidRPr="00CB4A31">
              <w:t xml:space="preserve"> £m</w:t>
            </w:r>
          </w:p>
        </w:tc>
        <w:tc>
          <w:tcPr>
            <w:tcW w:w="1036" w:type="dxa"/>
            <w:tcBorders>
              <w:bottom w:val="single" w:sz="8" w:space="0" w:color="999999"/>
            </w:tcBorders>
            <w:shd w:val="clear" w:color="auto" w:fill="auto"/>
            <w:vAlign w:val="bottom"/>
          </w:tcPr>
          <w:p w14:paraId="3EC4AB95" w14:textId="77777777" w:rsidR="005E793C" w:rsidRPr="00CB4A31" w:rsidRDefault="005E793C" w:rsidP="00E30618">
            <w:pPr>
              <w:pStyle w:val="TableColHeadsBold0"/>
              <w:rPr>
                <w:spacing w:val="-2"/>
              </w:rPr>
            </w:pPr>
            <w:r w:rsidRPr="00CB4A31">
              <w:rPr>
                <w:spacing w:val="-2"/>
              </w:rPr>
              <w:t>Share of joint ventures’ Adjusted profit</w:t>
            </w:r>
          </w:p>
          <w:p w14:paraId="19F736A4" w14:textId="77777777" w:rsidR="005E793C" w:rsidRPr="00CB4A31" w:rsidRDefault="005E793C" w:rsidP="00E30618">
            <w:pPr>
              <w:pStyle w:val="TableColHeadsBold0"/>
            </w:pPr>
            <w:r w:rsidRPr="00CB4A31">
              <w:t xml:space="preserve"> £m</w:t>
            </w:r>
          </w:p>
        </w:tc>
        <w:tc>
          <w:tcPr>
            <w:tcW w:w="1147" w:type="dxa"/>
            <w:tcBorders>
              <w:bottom w:val="single" w:sz="8" w:space="0" w:color="999999"/>
            </w:tcBorders>
            <w:shd w:val="clear" w:color="auto" w:fill="auto"/>
            <w:vAlign w:val="bottom"/>
          </w:tcPr>
          <w:p w14:paraId="3BF7FE4E" w14:textId="1BF13D4D" w:rsidR="005E793C" w:rsidRPr="00CB4A31" w:rsidRDefault="005E793C" w:rsidP="00E30618">
            <w:pPr>
              <w:pStyle w:val="TableColHeadsBold0"/>
            </w:pPr>
            <w:r w:rsidRPr="00CB4A31">
              <w:t>Adjusted  PBIT</w:t>
            </w:r>
            <w:r w:rsidR="00F927B0" w:rsidRPr="00CB4A31">
              <w:rPr>
                <w:vertAlign w:val="superscript"/>
              </w:rPr>
              <w:t>2</w:t>
            </w:r>
          </w:p>
          <w:p w14:paraId="33E3D02D" w14:textId="77777777" w:rsidR="005E793C" w:rsidRPr="00CB4A31" w:rsidRDefault="005E793C" w:rsidP="00E30618">
            <w:pPr>
              <w:pStyle w:val="TableColHeadsBold0"/>
            </w:pPr>
            <w:r w:rsidRPr="00CB4A31">
              <w:t xml:space="preserve"> £m</w:t>
            </w:r>
          </w:p>
        </w:tc>
        <w:tc>
          <w:tcPr>
            <w:tcW w:w="1292" w:type="dxa"/>
            <w:tcBorders>
              <w:bottom w:val="single" w:sz="8" w:space="0" w:color="999999"/>
            </w:tcBorders>
            <w:shd w:val="clear" w:color="auto" w:fill="auto"/>
            <w:vAlign w:val="bottom"/>
          </w:tcPr>
          <w:p w14:paraId="45B62005" w14:textId="77777777" w:rsidR="005E793C" w:rsidRPr="00CB4A31" w:rsidRDefault="005E793C" w:rsidP="00E30618">
            <w:pPr>
              <w:pStyle w:val="TableColHeadsBold0"/>
            </w:pPr>
            <w:r w:rsidRPr="00CB4A31">
              <w:t>Total directly owned property assets</w:t>
            </w:r>
          </w:p>
          <w:p w14:paraId="76F73934" w14:textId="77777777" w:rsidR="005E793C" w:rsidRPr="00CB4A31" w:rsidRDefault="005E793C" w:rsidP="00E30618">
            <w:pPr>
              <w:pStyle w:val="TableColHeadsBold0"/>
            </w:pPr>
            <w:r w:rsidRPr="00CB4A31">
              <w:t xml:space="preserve"> £m</w:t>
            </w:r>
          </w:p>
        </w:tc>
        <w:tc>
          <w:tcPr>
            <w:tcW w:w="1097" w:type="dxa"/>
            <w:tcBorders>
              <w:bottom w:val="single" w:sz="8" w:space="0" w:color="999999"/>
            </w:tcBorders>
            <w:shd w:val="clear" w:color="auto" w:fill="auto"/>
            <w:vAlign w:val="bottom"/>
          </w:tcPr>
          <w:p w14:paraId="055A747C" w14:textId="77777777" w:rsidR="005E793C" w:rsidRPr="00CB4A31" w:rsidRDefault="005E793C" w:rsidP="00E30618">
            <w:pPr>
              <w:pStyle w:val="TableColHeadsBold0"/>
            </w:pPr>
            <w:r w:rsidRPr="00CB4A31">
              <w:t>Investments</w:t>
            </w:r>
          </w:p>
          <w:p w14:paraId="7A335E6F" w14:textId="77777777" w:rsidR="005E793C" w:rsidRPr="00CB4A31" w:rsidRDefault="005E793C" w:rsidP="00E30618">
            <w:pPr>
              <w:pStyle w:val="TableColHeadsBold0"/>
            </w:pPr>
            <w:r w:rsidRPr="00CB4A31">
              <w:t xml:space="preserve"> in joint ventures</w:t>
            </w:r>
          </w:p>
          <w:p w14:paraId="1FBABAAB" w14:textId="77777777" w:rsidR="005E793C" w:rsidRPr="00CB4A31" w:rsidRDefault="005E793C" w:rsidP="00E30618">
            <w:pPr>
              <w:pStyle w:val="TableColHeadsBold0"/>
            </w:pPr>
            <w:r w:rsidRPr="00CB4A31">
              <w:t xml:space="preserve"> £m</w:t>
            </w:r>
          </w:p>
        </w:tc>
        <w:tc>
          <w:tcPr>
            <w:tcW w:w="1132" w:type="dxa"/>
            <w:tcBorders>
              <w:bottom w:val="single" w:sz="8" w:space="0" w:color="999999"/>
            </w:tcBorders>
            <w:shd w:val="clear" w:color="auto" w:fill="auto"/>
            <w:vAlign w:val="bottom"/>
          </w:tcPr>
          <w:p w14:paraId="5997ECCA" w14:textId="1AE78A61" w:rsidR="005E793C" w:rsidRPr="00CB4A31" w:rsidRDefault="005E793C" w:rsidP="00E30618">
            <w:pPr>
              <w:pStyle w:val="TableColHeadsBold0"/>
            </w:pPr>
            <w:r w:rsidRPr="00CB4A31">
              <w:t>Capital expenditure</w:t>
            </w:r>
            <w:r w:rsidR="00F927B0" w:rsidRPr="00CB4A31">
              <w:rPr>
                <w:vertAlign w:val="superscript"/>
              </w:rPr>
              <w:t>3</w:t>
            </w:r>
            <w:r w:rsidRPr="00CB4A31">
              <w:t xml:space="preserve"> </w:t>
            </w:r>
          </w:p>
          <w:p w14:paraId="3463E3D7" w14:textId="77777777" w:rsidR="005E793C" w:rsidRPr="00CB4A31" w:rsidRDefault="005E793C" w:rsidP="00E30618">
            <w:pPr>
              <w:pStyle w:val="TableColHeadsBold0"/>
            </w:pPr>
            <w:r w:rsidRPr="00CB4A31">
              <w:t>£m</w:t>
            </w:r>
          </w:p>
        </w:tc>
      </w:tr>
      <w:tr w:rsidR="005F6D8A" w:rsidRPr="005F6D8A" w14:paraId="2521DA11" w14:textId="77777777" w:rsidTr="00E30618">
        <w:trPr>
          <w:trHeight w:hRule="exact" w:val="111"/>
          <w:jc w:val="right"/>
        </w:trPr>
        <w:tc>
          <w:tcPr>
            <w:tcW w:w="2977" w:type="dxa"/>
            <w:tcBorders>
              <w:top w:val="single" w:sz="4" w:space="0" w:color="999999"/>
            </w:tcBorders>
            <w:shd w:val="clear" w:color="auto" w:fill="auto"/>
            <w:vAlign w:val="bottom"/>
          </w:tcPr>
          <w:p w14:paraId="68EEF6AA" w14:textId="77777777" w:rsidR="005E793C" w:rsidRPr="005F6D8A" w:rsidRDefault="005E793C" w:rsidP="00E30618">
            <w:pPr>
              <w:tabs>
                <w:tab w:val="left" w:pos="142"/>
              </w:tabs>
              <w:spacing w:before="10" w:after="10"/>
              <w:rPr>
                <w:b/>
                <w:bCs/>
                <w:color w:val="FF0000"/>
              </w:rPr>
            </w:pPr>
          </w:p>
        </w:tc>
        <w:tc>
          <w:tcPr>
            <w:tcW w:w="851" w:type="dxa"/>
            <w:tcBorders>
              <w:top w:val="single" w:sz="4" w:space="0" w:color="999999"/>
            </w:tcBorders>
            <w:shd w:val="clear" w:color="auto" w:fill="auto"/>
            <w:vAlign w:val="bottom"/>
          </w:tcPr>
          <w:p w14:paraId="3279D304" w14:textId="77777777" w:rsidR="005E793C" w:rsidRPr="005F6D8A" w:rsidRDefault="005E793C" w:rsidP="00E30618">
            <w:pPr>
              <w:tabs>
                <w:tab w:val="left" w:pos="142"/>
              </w:tabs>
              <w:spacing w:before="10" w:after="10"/>
              <w:ind w:right="57"/>
              <w:jc w:val="right"/>
              <w:rPr>
                <w:b/>
                <w:bCs/>
                <w:color w:val="FF0000"/>
              </w:rPr>
            </w:pPr>
          </w:p>
        </w:tc>
        <w:tc>
          <w:tcPr>
            <w:tcW w:w="935" w:type="dxa"/>
            <w:tcBorders>
              <w:top w:val="single" w:sz="4" w:space="0" w:color="999999"/>
            </w:tcBorders>
            <w:shd w:val="clear" w:color="auto" w:fill="auto"/>
            <w:vAlign w:val="bottom"/>
          </w:tcPr>
          <w:p w14:paraId="06A11294" w14:textId="77777777" w:rsidR="005E793C" w:rsidRPr="005F6D8A" w:rsidRDefault="005E793C" w:rsidP="00E30618">
            <w:pPr>
              <w:tabs>
                <w:tab w:val="left" w:pos="142"/>
              </w:tabs>
              <w:spacing w:before="10" w:after="10"/>
              <w:ind w:right="57"/>
              <w:jc w:val="right"/>
              <w:rPr>
                <w:b/>
                <w:bCs/>
                <w:color w:val="FF0000"/>
              </w:rPr>
            </w:pPr>
          </w:p>
        </w:tc>
        <w:tc>
          <w:tcPr>
            <w:tcW w:w="1036" w:type="dxa"/>
            <w:tcBorders>
              <w:top w:val="single" w:sz="4" w:space="0" w:color="999999"/>
            </w:tcBorders>
            <w:shd w:val="clear" w:color="auto" w:fill="auto"/>
            <w:vAlign w:val="bottom"/>
          </w:tcPr>
          <w:p w14:paraId="6C526E3C" w14:textId="77777777" w:rsidR="005E793C" w:rsidRPr="005F6D8A" w:rsidRDefault="005E793C" w:rsidP="00E30618">
            <w:pPr>
              <w:tabs>
                <w:tab w:val="left" w:pos="142"/>
              </w:tabs>
              <w:spacing w:before="10" w:after="10"/>
              <w:ind w:right="57"/>
              <w:jc w:val="right"/>
              <w:rPr>
                <w:b/>
                <w:bCs/>
                <w:color w:val="FF0000"/>
              </w:rPr>
            </w:pPr>
          </w:p>
        </w:tc>
        <w:tc>
          <w:tcPr>
            <w:tcW w:w="1147" w:type="dxa"/>
            <w:tcBorders>
              <w:top w:val="single" w:sz="4" w:space="0" w:color="999999"/>
            </w:tcBorders>
            <w:shd w:val="clear" w:color="auto" w:fill="auto"/>
            <w:vAlign w:val="bottom"/>
          </w:tcPr>
          <w:p w14:paraId="315BF606" w14:textId="77777777" w:rsidR="005E793C" w:rsidRPr="005F6D8A" w:rsidRDefault="005E793C" w:rsidP="00E30618">
            <w:pPr>
              <w:tabs>
                <w:tab w:val="left" w:pos="142"/>
              </w:tabs>
              <w:spacing w:before="10" w:after="10"/>
              <w:ind w:right="57"/>
              <w:jc w:val="right"/>
              <w:rPr>
                <w:b/>
                <w:bCs/>
                <w:color w:val="FF0000"/>
              </w:rPr>
            </w:pPr>
          </w:p>
        </w:tc>
        <w:tc>
          <w:tcPr>
            <w:tcW w:w="1292" w:type="dxa"/>
            <w:tcBorders>
              <w:top w:val="single" w:sz="4" w:space="0" w:color="999999"/>
            </w:tcBorders>
            <w:shd w:val="clear" w:color="auto" w:fill="auto"/>
            <w:vAlign w:val="bottom"/>
          </w:tcPr>
          <w:p w14:paraId="2FFA1255" w14:textId="77777777" w:rsidR="005E793C" w:rsidRPr="005F6D8A" w:rsidRDefault="005E793C" w:rsidP="00E30618">
            <w:pPr>
              <w:tabs>
                <w:tab w:val="left" w:pos="142"/>
              </w:tabs>
              <w:spacing w:before="10" w:after="10"/>
              <w:ind w:right="57"/>
              <w:jc w:val="right"/>
              <w:rPr>
                <w:b/>
                <w:bCs/>
                <w:color w:val="FF0000"/>
              </w:rPr>
            </w:pPr>
          </w:p>
        </w:tc>
        <w:tc>
          <w:tcPr>
            <w:tcW w:w="1097" w:type="dxa"/>
            <w:tcBorders>
              <w:top w:val="single" w:sz="4" w:space="0" w:color="999999"/>
            </w:tcBorders>
            <w:shd w:val="clear" w:color="auto" w:fill="auto"/>
            <w:vAlign w:val="bottom"/>
          </w:tcPr>
          <w:p w14:paraId="279E0BAA" w14:textId="77777777" w:rsidR="005E793C" w:rsidRPr="005F6D8A" w:rsidRDefault="005E793C" w:rsidP="00E30618">
            <w:pPr>
              <w:tabs>
                <w:tab w:val="left" w:pos="142"/>
              </w:tabs>
              <w:spacing w:before="10" w:after="10"/>
              <w:ind w:right="57"/>
              <w:jc w:val="right"/>
              <w:rPr>
                <w:b/>
                <w:bCs/>
                <w:color w:val="FF0000"/>
              </w:rPr>
            </w:pPr>
          </w:p>
        </w:tc>
        <w:tc>
          <w:tcPr>
            <w:tcW w:w="1132" w:type="dxa"/>
            <w:tcBorders>
              <w:top w:val="single" w:sz="4" w:space="0" w:color="999999"/>
            </w:tcBorders>
            <w:shd w:val="clear" w:color="auto" w:fill="auto"/>
            <w:vAlign w:val="bottom"/>
          </w:tcPr>
          <w:p w14:paraId="753248DA" w14:textId="77777777" w:rsidR="005E793C" w:rsidRPr="005F6D8A" w:rsidRDefault="005E793C" w:rsidP="00E30618">
            <w:pPr>
              <w:tabs>
                <w:tab w:val="left" w:pos="142"/>
              </w:tabs>
              <w:spacing w:before="10" w:after="10"/>
              <w:ind w:right="57"/>
              <w:jc w:val="right"/>
              <w:rPr>
                <w:b/>
                <w:bCs/>
                <w:color w:val="FF0000"/>
              </w:rPr>
            </w:pPr>
          </w:p>
        </w:tc>
      </w:tr>
      <w:tr w:rsidR="005F6D8A" w:rsidRPr="00CB4A31" w14:paraId="347333CB" w14:textId="77777777" w:rsidTr="002B0BDC">
        <w:trPr>
          <w:jc w:val="right"/>
        </w:trPr>
        <w:tc>
          <w:tcPr>
            <w:tcW w:w="2977" w:type="dxa"/>
            <w:shd w:val="clear" w:color="auto" w:fill="auto"/>
            <w:vAlign w:val="bottom"/>
          </w:tcPr>
          <w:p w14:paraId="1EB79638" w14:textId="77777777" w:rsidR="00200C3E" w:rsidRPr="00CB4A31" w:rsidRDefault="00200C3E" w:rsidP="00200C3E">
            <w:pPr>
              <w:pStyle w:val="TabletextBold"/>
              <w:rPr>
                <w:vertAlign w:val="superscript"/>
              </w:rPr>
            </w:pPr>
            <w:r w:rsidRPr="00CB4A31">
              <w:t>Thames Valley</w:t>
            </w:r>
          </w:p>
        </w:tc>
        <w:tc>
          <w:tcPr>
            <w:tcW w:w="851" w:type="dxa"/>
            <w:shd w:val="clear" w:color="auto" w:fill="auto"/>
          </w:tcPr>
          <w:p w14:paraId="040AA63C" w14:textId="6CB695E0" w:rsidR="00200C3E" w:rsidRPr="00CB4A31" w:rsidRDefault="00CB4A31" w:rsidP="00FD1A13">
            <w:pPr>
              <w:pStyle w:val="TableFiguresBold0"/>
            </w:pPr>
            <w:r w:rsidRPr="00CB4A31">
              <w:t>88</w:t>
            </w:r>
          </w:p>
        </w:tc>
        <w:tc>
          <w:tcPr>
            <w:tcW w:w="935" w:type="dxa"/>
            <w:shd w:val="clear" w:color="auto" w:fill="auto"/>
          </w:tcPr>
          <w:p w14:paraId="2797EEA4" w14:textId="1969FB2E" w:rsidR="00200C3E" w:rsidRPr="00CB4A31" w:rsidRDefault="00CB4A31">
            <w:pPr>
              <w:pStyle w:val="TableFiguresBold0"/>
            </w:pPr>
            <w:r w:rsidRPr="00CB4A31">
              <w:t>81</w:t>
            </w:r>
          </w:p>
        </w:tc>
        <w:tc>
          <w:tcPr>
            <w:tcW w:w="1036" w:type="dxa"/>
            <w:shd w:val="clear" w:color="auto" w:fill="auto"/>
          </w:tcPr>
          <w:p w14:paraId="0AAACED1" w14:textId="6BE60721" w:rsidR="00200C3E" w:rsidRPr="00CB4A31" w:rsidRDefault="00200C3E">
            <w:pPr>
              <w:pStyle w:val="TableFiguresBold0"/>
            </w:pPr>
            <w:r w:rsidRPr="00CB4A31">
              <w:t>–</w:t>
            </w:r>
          </w:p>
        </w:tc>
        <w:tc>
          <w:tcPr>
            <w:tcW w:w="1147" w:type="dxa"/>
            <w:shd w:val="clear" w:color="auto" w:fill="auto"/>
          </w:tcPr>
          <w:p w14:paraId="55CCD51B" w14:textId="6C1D925A" w:rsidR="00200C3E" w:rsidRPr="00CB4A31" w:rsidRDefault="00CB4A31">
            <w:pPr>
              <w:pStyle w:val="TableFiguresBold0"/>
            </w:pPr>
            <w:r w:rsidRPr="00CB4A31">
              <w:t>79</w:t>
            </w:r>
          </w:p>
        </w:tc>
        <w:tc>
          <w:tcPr>
            <w:tcW w:w="1292" w:type="dxa"/>
            <w:shd w:val="clear" w:color="auto" w:fill="auto"/>
          </w:tcPr>
          <w:p w14:paraId="2E185AF4" w14:textId="47585A3E" w:rsidR="00200C3E" w:rsidRPr="00CB4A31" w:rsidRDefault="00CB4A31">
            <w:pPr>
              <w:pStyle w:val="TableFiguresBold0"/>
            </w:pPr>
            <w:r w:rsidRPr="00CB4A31">
              <w:t>3,102</w:t>
            </w:r>
          </w:p>
        </w:tc>
        <w:tc>
          <w:tcPr>
            <w:tcW w:w="1097" w:type="dxa"/>
            <w:shd w:val="clear" w:color="auto" w:fill="auto"/>
          </w:tcPr>
          <w:p w14:paraId="77661CED" w14:textId="5A0253D8" w:rsidR="00200C3E" w:rsidRPr="00CB4A31" w:rsidRDefault="00200C3E">
            <w:pPr>
              <w:pStyle w:val="TableFiguresBold0"/>
            </w:pPr>
            <w:r w:rsidRPr="00CB4A31">
              <w:t>–</w:t>
            </w:r>
          </w:p>
        </w:tc>
        <w:tc>
          <w:tcPr>
            <w:tcW w:w="1132" w:type="dxa"/>
            <w:shd w:val="clear" w:color="auto" w:fill="auto"/>
          </w:tcPr>
          <w:p w14:paraId="2370AB95" w14:textId="5E691DEF" w:rsidR="00200C3E" w:rsidRPr="00CB4A31" w:rsidRDefault="00CB4A31">
            <w:pPr>
              <w:pStyle w:val="TableFiguresBold0"/>
            </w:pPr>
            <w:r w:rsidRPr="00CB4A31">
              <w:t>454</w:t>
            </w:r>
          </w:p>
        </w:tc>
      </w:tr>
      <w:tr w:rsidR="005F6D8A" w:rsidRPr="00CB4A31" w14:paraId="76E26A82" w14:textId="77777777" w:rsidTr="002B0BDC">
        <w:trPr>
          <w:jc w:val="right"/>
        </w:trPr>
        <w:tc>
          <w:tcPr>
            <w:tcW w:w="2977" w:type="dxa"/>
            <w:shd w:val="clear" w:color="auto" w:fill="auto"/>
            <w:vAlign w:val="bottom"/>
          </w:tcPr>
          <w:p w14:paraId="4296C338" w14:textId="77777777" w:rsidR="00200C3E" w:rsidRPr="00CB4A31" w:rsidRDefault="00200C3E" w:rsidP="00200C3E">
            <w:pPr>
              <w:pStyle w:val="TabletextBold"/>
            </w:pPr>
            <w:r w:rsidRPr="00CB4A31">
              <w:t>National Logistics</w:t>
            </w:r>
          </w:p>
        </w:tc>
        <w:tc>
          <w:tcPr>
            <w:tcW w:w="851" w:type="dxa"/>
            <w:shd w:val="clear" w:color="auto" w:fill="auto"/>
          </w:tcPr>
          <w:p w14:paraId="2CCC1855" w14:textId="2CC0BD86" w:rsidR="00200C3E" w:rsidRPr="00CB4A31" w:rsidRDefault="00CB4A31" w:rsidP="00FD1A13">
            <w:pPr>
              <w:pStyle w:val="TableFiguresBold0"/>
            </w:pPr>
            <w:r w:rsidRPr="00CB4A31">
              <w:t>37</w:t>
            </w:r>
          </w:p>
        </w:tc>
        <w:tc>
          <w:tcPr>
            <w:tcW w:w="935" w:type="dxa"/>
            <w:shd w:val="clear" w:color="auto" w:fill="auto"/>
          </w:tcPr>
          <w:p w14:paraId="2CCE3851" w14:textId="39C60B73" w:rsidR="00200C3E" w:rsidRPr="00CB4A31" w:rsidRDefault="00CB4A31">
            <w:pPr>
              <w:pStyle w:val="TableFiguresBold0"/>
            </w:pPr>
            <w:r w:rsidRPr="00CB4A31">
              <w:t>34</w:t>
            </w:r>
          </w:p>
        </w:tc>
        <w:tc>
          <w:tcPr>
            <w:tcW w:w="1036" w:type="dxa"/>
            <w:shd w:val="clear" w:color="auto" w:fill="auto"/>
          </w:tcPr>
          <w:p w14:paraId="7E53412E" w14:textId="343DDE07" w:rsidR="00200C3E" w:rsidRPr="00CB4A31" w:rsidRDefault="00CB4A31" w:rsidP="00987007">
            <w:pPr>
              <w:pStyle w:val="TableFiguresBold0"/>
            </w:pPr>
            <w:r w:rsidRPr="00CB4A31">
              <w:t>–</w:t>
            </w:r>
          </w:p>
        </w:tc>
        <w:tc>
          <w:tcPr>
            <w:tcW w:w="1147" w:type="dxa"/>
            <w:shd w:val="clear" w:color="auto" w:fill="auto"/>
          </w:tcPr>
          <w:p w14:paraId="5AF88608" w14:textId="0889EEFA" w:rsidR="00200C3E" w:rsidRPr="00CB4A31" w:rsidRDefault="00CB4A31">
            <w:pPr>
              <w:pStyle w:val="TableFiguresBold0"/>
            </w:pPr>
            <w:r w:rsidRPr="00CB4A31">
              <w:t>34</w:t>
            </w:r>
          </w:p>
        </w:tc>
        <w:tc>
          <w:tcPr>
            <w:tcW w:w="1292" w:type="dxa"/>
            <w:shd w:val="clear" w:color="auto" w:fill="auto"/>
          </w:tcPr>
          <w:p w14:paraId="0B3AD8B8" w14:textId="35420E8D" w:rsidR="00200C3E" w:rsidRPr="00CB4A31" w:rsidRDefault="00CB4A31">
            <w:pPr>
              <w:pStyle w:val="TableFiguresBold0"/>
            </w:pPr>
            <w:r w:rsidRPr="00CB4A31">
              <w:t>1,717</w:t>
            </w:r>
          </w:p>
        </w:tc>
        <w:tc>
          <w:tcPr>
            <w:tcW w:w="1097" w:type="dxa"/>
            <w:shd w:val="clear" w:color="auto" w:fill="auto"/>
          </w:tcPr>
          <w:p w14:paraId="6B98CF53" w14:textId="0697BE9D" w:rsidR="00200C3E" w:rsidRPr="00CB4A31" w:rsidRDefault="00CB4A31">
            <w:pPr>
              <w:pStyle w:val="TableFiguresBold0"/>
            </w:pPr>
            <w:r w:rsidRPr="00CB4A31">
              <w:t>–</w:t>
            </w:r>
          </w:p>
        </w:tc>
        <w:tc>
          <w:tcPr>
            <w:tcW w:w="1132" w:type="dxa"/>
            <w:shd w:val="clear" w:color="auto" w:fill="auto"/>
          </w:tcPr>
          <w:p w14:paraId="6056A41A" w14:textId="2933B5B8" w:rsidR="00200C3E" w:rsidRPr="00CB4A31" w:rsidRDefault="00CB4A31">
            <w:pPr>
              <w:pStyle w:val="TableFiguresBold0"/>
            </w:pPr>
            <w:r w:rsidRPr="00CB4A31">
              <w:t>213</w:t>
            </w:r>
          </w:p>
        </w:tc>
      </w:tr>
      <w:tr w:rsidR="005F6D8A" w:rsidRPr="00CB4A31" w14:paraId="42675C97" w14:textId="77777777" w:rsidTr="002B0BDC">
        <w:trPr>
          <w:jc w:val="right"/>
        </w:trPr>
        <w:tc>
          <w:tcPr>
            <w:tcW w:w="2977" w:type="dxa"/>
            <w:shd w:val="clear" w:color="auto" w:fill="auto"/>
            <w:vAlign w:val="bottom"/>
          </w:tcPr>
          <w:p w14:paraId="671D0119" w14:textId="77777777" w:rsidR="00200C3E" w:rsidRPr="00CB4A31" w:rsidRDefault="00200C3E" w:rsidP="00200C3E">
            <w:pPr>
              <w:pStyle w:val="TabletextBold"/>
            </w:pPr>
            <w:r w:rsidRPr="00CB4A31">
              <w:t>Greater London</w:t>
            </w:r>
          </w:p>
        </w:tc>
        <w:tc>
          <w:tcPr>
            <w:tcW w:w="851" w:type="dxa"/>
            <w:shd w:val="clear" w:color="auto" w:fill="auto"/>
          </w:tcPr>
          <w:p w14:paraId="5EC0104B" w14:textId="5069D174" w:rsidR="00200C3E" w:rsidRPr="00CB4A31" w:rsidRDefault="00CB4A31" w:rsidP="00FD1A13">
            <w:pPr>
              <w:pStyle w:val="TableFiguresBold0"/>
            </w:pPr>
            <w:r w:rsidRPr="00CB4A31">
              <w:t>182</w:t>
            </w:r>
          </w:p>
        </w:tc>
        <w:tc>
          <w:tcPr>
            <w:tcW w:w="935" w:type="dxa"/>
            <w:shd w:val="clear" w:color="auto" w:fill="auto"/>
          </w:tcPr>
          <w:p w14:paraId="093E02E3" w14:textId="5A38DC85" w:rsidR="00200C3E" w:rsidRPr="00CB4A31" w:rsidRDefault="00CB4A31">
            <w:pPr>
              <w:pStyle w:val="TableFiguresBold0"/>
            </w:pPr>
            <w:r w:rsidRPr="00CB4A31">
              <w:t>164</w:t>
            </w:r>
          </w:p>
        </w:tc>
        <w:tc>
          <w:tcPr>
            <w:tcW w:w="1036" w:type="dxa"/>
            <w:shd w:val="clear" w:color="auto" w:fill="auto"/>
          </w:tcPr>
          <w:p w14:paraId="2B0178B0" w14:textId="08250B8D" w:rsidR="00200C3E" w:rsidRPr="00CB4A31" w:rsidRDefault="00200C3E">
            <w:pPr>
              <w:pStyle w:val="TableFiguresBold0"/>
            </w:pPr>
            <w:r w:rsidRPr="00CB4A31">
              <w:t>–</w:t>
            </w:r>
          </w:p>
        </w:tc>
        <w:tc>
          <w:tcPr>
            <w:tcW w:w="1147" w:type="dxa"/>
            <w:shd w:val="clear" w:color="auto" w:fill="auto"/>
          </w:tcPr>
          <w:p w14:paraId="727FB095" w14:textId="6671F03B" w:rsidR="00200C3E" w:rsidRPr="00CB4A31" w:rsidRDefault="00CB4A31">
            <w:pPr>
              <w:pStyle w:val="TableFiguresBold0"/>
            </w:pPr>
            <w:r w:rsidRPr="00CB4A31">
              <w:t>161</w:t>
            </w:r>
          </w:p>
        </w:tc>
        <w:tc>
          <w:tcPr>
            <w:tcW w:w="1292" w:type="dxa"/>
            <w:shd w:val="clear" w:color="auto" w:fill="auto"/>
          </w:tcPr>
          <w:p w14:paraId="27A62A42" w14:textId="2C768C68" w:rsidR="00200C3E" w:rsidRPr="00CB4A31" w:rsidRDefault="00CB4A31">
            <w:pPr>
              <w:pStyle w:val="TableFiguresBold0"/>
            </w:pPr>
            <w:r w:rsidRPr="00CB4A31">
              <w:t>7,325</w:t>
            </w:r>
          </w:p>
        </w:tc>
        <w:tc>
          <w:tcPr>
            <w:tcW w:w="1097" w:type="dxa"/>
            <w:shd w:val="clear" w:color="auto" w:fill="auto"/>
          </w:tcPr>
          <w:p w14:paraId="2CAFEFA2" w14:textId="0BF34C03" w:rsidR="00200C3E" w:rsidRPr="00CB4A31" w:rsidRDefault="00CB4A31">
            <w:pPr>
              <w:pStyle w:val="TableFiguresBold0"/>
            </w:pPr>
            <w:r w:rsidRPr="00CB4A31">
              <w:t>8</w:t>
            </w:r>
          </w:p>
        </w:tc>
        <w:tc>
          <w:tcPr>
            <w:tcW w:w="1132" w:type="dxa"/>
            <w:shd w:val="clear" w:color="auto" w:fill="auto"/>
          </w:tcPr>
          <w:p w14:paraId="7488E287" w14:textId="70D1C1D5" w:rsidR="00200C3E" w:rsidRPr="00CB4A31" w:rsidRDefault="00CB4A31">
            <w:pPr>
              <w:pStyle w:val="TableFiguresBold0"/>
            </w:pPr>
            <w:r w:rsidRPr="00CB4A31">
              <w:t>678</w:t>
            </w:r>
          </w:p>
        </w:tc>
      </w:tr>
      <w:tr w:rsidR="005F6D8A" w:rsidRPr="00CB4A31" w14:paraId="67A69453" w14:textId="77777777" w:rsidTr="002B0BDC">
        <w:trPr>
          <w:trHeight w:hRule="exact" w:val="216"/>
          <w:jc w:val="right"/>
        </w:trPr>
        <w:tc>
          <w:tcPr>
            <w:tcW w:w="2977" w:type="dxa"/>
            <w:shd w:val="clear" w:color="auto" w:fill="auto"/>
            <w:vAlign w:val="bottom"/>
          </w:tcPr>
          <w:p w14:paraId="1257D6F6" w14:textId="77777777" w:rsidR="00200C3E" w:rsidRPr="00CB4A31" w:rsidRDefault="00200C3E" w:rsidP="00200C3E">
            <w:pPr>
              <w:pStyle w:val="TabletextBold"/>
            </w:pPr>
            <w:r w:rsidRPr="00CB4A31">
              <w:t>Northern Europe</w:t>
            </w:r>
          </w:p>
        </w:tc>
        <w:tc>
          <w:tcPr>
            <w:tcW w:w="851" w:type="dxa"/>
            <w:shd w:val="clear" w:color="auto" w:fill="auto"/>
          </w:tcPr>
          <w:p w14:paraId="4EDE677E" w14:textId="065CAD29" w:rsidR="00200C3E" w:rsidRPr="00CB4A31" w:rsidRDefault="00CB4A31" w:rsidP="00FD1A13">
            <w:pPr>
              <w:pStyle w:val="TableFiguresBold0"/>
            </w:pPr>
            <w:r w:rsidRPr="00CB4A31">
              <w:t>31</w:t>
            </w:r>
          </w:p>
        </w:tc>
        <w:tc>
          <w:tcPr>
            <w:tcW w:w="935" w:type="dxa"/>
            <w:shd w:val="clear" w:color="auto" w:fill="auto"/>
          </w:tcPr>
          <w:p w14:paraId="45353B98" w14:textId="7928C29D" w:rsidR="00200C3E" w:rsidRPr="00CB4A31" w:rsidRDefault="00CB4A31">
            <w:pPr>
              <w:pStyle w:val="TableFiguresBold0"/>
            </w:pPr>
            <w:r w:rsidRPr="00CB4A31">
              <w:t>19</w:t>
            </w:r>
          </w:p>
        </w:tc>
        <w:tc>
          <w:tcPr>
            <w:tcW w:w="1036" w:type="dxa"/>
            <w:shd w:val="clear" w:color="auto" w:fill="auto"/>
          </w:tcPr>
          <w:p w14:paraId="263C027F" w14:textId="682A053C" w:rsidR="00200C3E" w:rsidRPr="00CB4A31" w:rsidRDefault="00CB4A31">
            <w:pPr>
              <w:pStyle w:val="TableFiguresBold0"/>
            </w:pPr>
            <w:r w:rsidRPr="00CB4A31">
              <w:t>26</w:t>
            </w:r>
          </w:p>
        </w:tc>
        <w:tc>
          <w:tcPr>
            <w:tcW w:w="1147" w:type="dxa"/>
            <w:shd w:val="clear" w:color="auto" w:fill="auto"/>
          </w:tcPr>
          <w:p w14:paraId="67389887" w14:textId="3EB29888" w:rsidR="00200C3E" w:rsidRPr="00CB4A31" w:rsidRDefault="00CB4A31">
            <w:pPr>
              <w:pStyle w:val="TableFiguresBold0"/>
            </w:pPr>
            <w:r w:rsidRPr="00CB4A31">
              <w:t>52</w:t>
            </w:r>
          </w:p>
        </w:tc>
        <w:tc>
          <w:tcPr>
            <w:tcW w:w="1292" w:type="dxa"/>
            <w:shd w:val="clear" w:color="auto" w:fill="auto"/>
          </w:tcPr>
          <w:p w14:paraId="01405D72" w14:textId="6A5D8DA2" w:rsidR="00200C3E" w:rsidRPr="00CB4A31" w:rsidRDefault="00CB4A31">
            <w:pPr>
              <w:pStyle w:val="TableFiguresBold0"/>
            </w:pPr>
            <w:r w:rsidRPr="00CB4A31">
              <w:t>92</w:t>
            </w:r>
            <w:r w:rsidR="00FF04DA">
              <w:t>8</w:t>
            </w:r>
          </w:p>
        </w:tc>
        <w:tc>
          <w:tcPr>
            <w:tcW w:w="1097" w:type="dxa"/>
            <w:shd w:val="clear" w:color="auto" w:fill="auto"/>
          </w:tcPr>
          <w:p w14:paraId="1D4D8F32" w14:textId="46FC6C01" w:rsidR="00200C3E" w:rsidRPr="00CB4A31" w:rsidRDefault="00CB4A31">
            <w:pPr>
              <w:pStyle w:val="TableFiguresBold0"/>
            </w:pPr>
            <w:r w:rsidRPr="00CB4A31">
              <w:t>911</w:t>
            </w:r>
          </w:p>
        </w:tc>
        <w:tc>
          <w:tcPr>
            <w:tcW w:w="1132" w:type="dxa"/>
            <w:shd w:val="clear" w:color="auto" w:fill="auto"/>
          </w:tcPr>
          <w:p w14:paraId="437B2E28" w14:textId="3D7ACAB2" w:rsidR="00200C3E" w:rsidRPr="00CB4A31" w:rsidRDefault="00CB4A31">
            <w:pPr>
              <w:pStyle w:val="TableFiguresBold0"/>
            </w:pPr>
            <w:r w:rsidRPr="00CB4A31">
              <w:t>93</w:t>
            </w:r>
          </w:p>
        </w:tc>
      </w:tr>
      <w:tr w:rsidR="005F6D8A" w:rsidRPr="00CB4A31" w14:paraId="105435AB" w14:textId="77777777" w:rsidTr="002B0BDC">
        <w:trPr>
          <w:jc w:val="right"/>
        </w:trPr>
        <w:tc>
          <w:tcPr>
            <w:tcW w:w="2977" w:type="dxa"/>
            <w:shd w:val="clear" w:color="auto" w:fill="auto"/>
            <w:vAlign w:val="bottom"/>
          </w:tcPr>
          <w:p w14:paraId="7C9529F0" w14:textId="77777777" w:rsidR="00200C3E" w:rsidRPr="00CB4A31" w:rsidRDefault="00200C3E" w:rsidP="00200C3E">
            <w:pPr>
              <w:pStyle w:val="TabletextBold"/>
            </w:pPr>
            <w:r w:rsidRPr="00CB4A31">
              <w:t>Southern Europe</w:t>
            </w:r>
          </w:p>
        </w:tc>
        <w:tc>
          <w:tcPr>
            <w:tcW w:w="851" w:type="dxa"/>
            <w:shd w:val="clear" w:color="auto" w:fill="auto"/>
          </w:tcPr>
          <w:p w14:paraId="0176CAB6" w14:textId="2197B31C" w:rsidR="00200C3E" w:rsidRPr="00CB4A31" w:rsidRDefault="00CB4A31" w:rsidP="00FD1A13">
            <w:pPr>
              <w:pStyle w:val="TableFiguresBold0"/>
            </w:pPr>
            <w:r w:rsidRPr="00CB4A31">
              <w:t>99</w:t>
            </w:r>
          </w:p>
        </w:tc>
        <w:tc>
          <w:tcPr>
            <w:tcW w:w="935" w:type="dxa"/>
            <w:shd w:val="clear" w:color="auto" w:fill="auto"/>
          </w:tcPr>
          <w:p w14:paraId="454B5899" w14:textId="0BB8FBBB" w:rsidR="00200C3E" w:rsidRPr="00CB4A31" w:rsidRDefault="00CB4A31">
            <w:pPr>
              <w:pStyle w:val="TableFiguresBold0"/>
            </w:pPr>
            <w:r w:rsidRPr="00CB4A31">
              <w:t>58</w:t>
            </w:r>
          </w:p>
        </w:tc>
        <w:tc>
          <w:tcPr>
            <w:tcW w:w="1036" w:type="dxa"/>
            <w:shd w:val="clear" w:color="auto" w:fill="auto"/>
          </w:tcPr>
          <w:p w14:paraId="7692AD10" w14:textId="3FE7ABC4" w:rsidR="00200C3E" w:rsidRPr="00CB4A31" w:rsidRDefault="00CB4A31">
            <w:pPr>
              <w:pStyle w:val="TableFiguresBold0"/>
            </w:pPr>
            <w:r w:rsidRPr="00CB4A31">
              <w:t>35</w:t>
            </w:r>
          </w:p>
        </w:tc>
        <w:tc>
          <w:tcPr>
            <w:tcW w:w="1147" w:type="dxa"/>
            <w:shd w:val="clear" w:color="auto" w:fill="auto"/>
          </w:tcPr>
          <w:p w14:paraId="74062F0D" w14:textId="51A8B780" w:rsidR="00200C3E" w:rsidRPr="00CB4A31" w:rsidRDefault="00CB4A31">
            <w:pPr>
              <w:pStyle w:val="TableFiguresBold0"/>
            </w:pPr>
            <w:r w:rsidRPr="00CB4A31">
              <w:t>100</w:t>
            </w:r>
          </w:p>
        </w:tc>
        <w:tc>
          <w:tcPr>
            <w:tcW w:w="1292" w:type="dxa"/>
            <w:shd w:val="clear" w:color="auto" w:fill="auto"/>
          </w:tcPr>
          <w:p w14:paraId="2C4809D3" w14:textId="226C3149" w:rsidR="00200C3E" w:rsidRPr="00CB4A31" w:rsidRDefault="00CB4A31">
            <w:pPr>
              <w:pStyle w:val="TableFiguresBold0"/>
            </w:pPr>
            <w:r w:rsidRPr="00CB4A31">
              <w:t>2,285</w:t>
            </w:r>
          </w:p>
        </w:tc>
        <w:tc>
          <w:tcPr>
            <w:tcW w:w="1097" w:type="dxa"/>
            <w:shd w:val="clear" w:color="auto" w:fill="auto"/>
          </w:tcPr>
          <w:p w14:paraId="62ADA01E" w14:textId="181982E8" w:rsidR="00200C3E" w:rsidRPr="00CB4A31" w:rsidRDefault="00CB4A31">
            <w:pPr>
              <w:pStyle w:val="TableFiguresBold0"/>
            </w:pPr>
            <w:r w:rsidRPr="00CB4A31">
              <w:t>1,178</w:t>
            </w:r>
          </w:p>
        </w:tc>
        <w:tc>
          <w:tcPr>
            <w:tcW w:w="1132" w:type="dxa"/>
            <w:shd w:val="clear" w:color="auto" w:fill="auto"/>
          </w:tcPr>
          <w:p w14:paraId="39E48F24" w14:textId="0FCBBEB2" w:rsidR="00200C3E" w:rsidRPr="00CB4A31" w:rsidRDefault="00CB4A31">
            <w:pPr>
              <w:pStyle w:val="TableFiguresBold0"/>
            </w:pPr>
            <w:r w:rsidRPr="00CB4A31">
              <w:t>443</w:t>
            </w:r>
          </w:p>
        </w:tc>
      </w:tr>
      <w:tr w:rsidR="005F6D8A" w:rsidRPr="00CB4A31" w14:paraId="43201767" w14:textId="77777777" w:rsidTr="002B0BDC">
        <w:trPr>
          <w:trHeight w:hRule="exact" w:val="216"/>
          <w:jc w:val="right"/>
        </w:trPr>
        <w:tc>
          <w:tcPr>
            <w:tcW w:w="2977" w:type="dxa"/>
            <w:shd w:val="clear" w:color="auto" w:fill="auto"/>
            <w:vAlign w:val="bottom"/>
          </w:tcPr>
          <w:p w14:paraId="2FDFEBEC" w14:textId="6F603F65" w:rsidR="00200C3E" w:rsidRPr="00CB4A31" w:rsidRDefault="00200C3E" w:rsidP="00200C3E">
            <w:pPr>
              <w:pStyle w:val="TabletextBold"/>
            </w:pPr>
            <w:r w:rsidRPr="00CB4A31">
              <w:t>Central Europe</w:t>
            </w:r>
          </w:p>
        </w:tc>
        <w:tc>
          <w:tcPr>
            <w:tcW w:w="851" w:type="dxa"/>
            <w:shd w:val="clear" w:color="auto" w:fill="auto"/>
          </w:tcPr>
          <w:p w14:paraId="3C6A7754" w14:textId="1C16B3AB" w:rsidR="00200C3E" w:rsidRPr="00CB4A31" w:rsidRDefault="00CB4A31" w:rsidP="00FD1A13">
            <w:pPr>
              <w:pStyle w:val="TableFiguresBold0"/>
            </w:pPr>
            <w:r w:rsidRPr="00CB4A31">
              <w:t>10</w:t>
            </w:r>
          </w:p>
        </w:tc>
        <w:tc>
          <w:tcPr>
            <w:tcW w:w="935" w:type="dxa"/>
            <w:shd w:val="clear" w:color="auto" w:fill="auto"/>
          </w:tcPr>
          <w:p w14:paraId="5B70AD00" w14:textId="05333311" w:rsidR="00200C3E" w:rsidRPr="00CB4A31" w:rsidRDefault="00CB4A31">
            <w:pPr>
              <w:pStyle w:val="TableFiguresBold0"/>
            </w:pPr>
            <w:r w:rsidRPr="00CB4A31">
              <w:t>4</w:t>
            </w:r>
          </w:p>
        </w:tc>
        <w:tc>
          <w:tcPr>
            <w:tcW w:w="1036" w:type="dxa"/>
            <w:shd w:val="clear" w:color="auto" w:fill="auto"/>
          </w:tcPr>
          <w:p w14:paraId="0CA9D0E4" w14:textId="478D0D71" w:rsidR="00200C3E" w:rsidRPr="00CB4A31" w:rsidRDefault="00CB4A31">
            <w:pPr>
              <w:pStyle w:val="TableFiguresBold0"/>
            </w:pPr>
            <w:r w:rsidRPr="00CB4A31">
              <w:t>22</w:t>
            </w:r>
          </w:p>
        </w:tc>
        <w:tc>
          <w:tcPr>
            <w:tcW w:w="1147" w:type="dxa"/>
            <w:shd w:val="clear" w:color="auto" w:fill="auto"/>
          </w:tcPr>
          <w:p w14:paraId="69BF5FEA" w14:textId="26D45E09" w:rsidR="00200C3E" w:rsidRPr="00CB4A31" w:rsidRDefault="00CB4A31">
            <w:pPr>
              <w:pStyle w:val="TableFiguresBold0"/>
            </w:pPr>
            <w:r w:rsidRPr="00CB4A31">
              <w:t>31</w:t>
            </w:r>
          </w:p>
        </w:tc>
        <w:tc>
          <w:tcPr>
            <w:tcW w:w="1292" w:type="dxa"/>
            <w:shd w:val="clear" w:color="auto" w:fill="auto"/>
          </w:tcPr>
          <w:p w14:paraId="6DCF90D6" w14:textId="6A8EC418" w:rsidR="00200C3E" w:rsidRPr="00CB4A31" w:rsidRDefault="00CB4A31">
            <w:pPr>
              <w:pStyle w:val="TableFiguresBold0"/>
            </w:pPr>
            <w:r w:rsidRPr="00CB4A31">
              <w:t>180</w:t>
            </w:r>
          </w:p>
        </w:tc>
        <w:tc>
          <w:tcPr>
            <w:tcW w:w="1097" w:type="dxa"/>
            <w:shd w:val="clear" w:color="auto" w:fill="auto"/>
          </w:tcPr>
          <w:p w14:paraId="4EF4531C" w14:textId="7B551538" w:rsidR="00200C3E" w:rsidRPr="00CB4A31" w:rsidRDefault="00CB4A31">
            <w:pPr>
              <w:pStyle w:val="TableFiguresBold0"/>
            </w:pPr>
            <w:r w:rsidRPr="00CB4A31">
              <w:t>559</w:t>
            </w:r>
          </w:p>
        </w:tc>
        <w:tc>
          <w:tcPr>
            <w:tcW w:w="1132" w:type="dxa"/>
            <w:shd w:val="clear" w:color="auto" w:fill="auto"/>
          </w:tcPr>
          <w:p w14:paraId="0E252C45" w14:textId="3FFBE289" w:rsidR="00200C3E" w:rsidRPr="00CB4A31" w:rsidRDefault="00CB4A31">
            <w:pPr>
              <w:pStyle w:val="TableFiguresBold0"/>
            </w:pPr>
            <w:r w:rsidRPr="00CB4A31">
              <w:t>22</w:t>
            </w:r>
          </w:p>
        </w:tc>
      </w:tr>
      <w:tr w:rsidR="005F6D8A" w:rsidRPr="00CB4A31" w14:paraId="200BC584" w14:textId="77777777" w:rsidTr="002B0BDC">
        <w:trPr>
          <w:jc w:val="right"/>
        </w:trPr>
        <w:tc>
          <w:tcPr>
            <w:tcW w:w="2977" w:type="dxa"/>
            <w:tcBorders>
              <w:bottom w:val="single" w:sz="4" w:space="0" w:color="999999"/>
            </w:tcBorders>
            <w:shd w:val="clear" w:color="auto" w:fill="auto"/>
            <w:vAlign w:val="bottom"/>
          </w:tcPr>
          <w:p w14:paraId="412E9712" w14:textId="3D2E85CD" w:rsidR="00200C3E" w:rsidRPr="00CB4A31" w:rsidRDefault="00200C3E" w:rsidP="00200C3E">
            <w:pPr>
              <w:pStyle w:val="TabletextBold"/>
            </w:pPr>
            <w:r w:rsidRPr="00CB4A31">
              <w:t>Other</w:t>
            </w:r>
          </w:p>
        </w:tc>
        <w:tc>
          <w:tcPr>
            <w:tcW w:w="851" w:type="dxa"/>
            <w:tcBorders>
              <w:bottom w:val="single" w:sz="4" w:space="0" w:color="999999"/>
            </w:tcBorders>
            <w:shd w:val="clear" w:color="auto" w:fill="auto"/>
          </w:tcPr>
          <w:p w14:paraId="33666069" w14:textId="6B4BAF54" w:rsidR="00200C3E" w:rsidRPr="00CB4A31" w:rsidRDefault="00200C3E" w:rsidP="000963CD">
            <w:pPr>
              <w:pStyle w:val="TableFiguresBold0"/>
            </w:pPr>
            <w:r w:rsidRPr="00CB4A31">
              <w:t>–</w:t>
            </w:r>
          </w:p>
        </w:tc>
        <w:tc>
          <w:tcPr>
            <w:tcW w:w="935" w:type="dxa"/>
            <w:tcBorders>
              <w:bottom w:val="single" w:sz="4" w:space="0" w:color="999999"/>
            </w:tcBorders>
            <w:shd w:val="clear" w:color="auto" w:fill="auto"/>
          </w:tcPr>
          <w:p w14:paraId="798D71EF" w14:textId="4AC62139" w:rsidR="00200C3E" w:rsidRPr="00CB4A31" w:rsidRDefault="00200C3E" w:rsidP="000963CD">
            <w:pPr>
              <w:pStyle w:val="TableFiguresBracketsBold"/>
            </w:pPr>
            <w:r w:rsidRPr="00CB4A31">
              <w:t>(13)</w:t>
            </w:r>
            <w:r w:rsidR="00CB4A31" w:rsidRPr="00CB4A31">
              <w:rPr>
                <w:vertAlign w:val="superscript"/>
              </w:rPr>
              <w:t>1</w:t>
            </w:r>
          </w:p>
        </w:tc>
        <w:tc>
          <w:tcPr>
            <w:tcW w:w="1036" w:type="dxa"/>
            <w:tcBorders>
              <w:bottom w:val="single" w:sz="4" w:space="0" w:color="999999"/>
            </w:tcBorders>
            <w:shd w:val="clear" w:color="auto" w:fill="auto"/>
          </w:tcPr>
          <w:p w14:paraId="4258DD34" w14:textId="18AC0095" w:rsidR="00200C3E" w:rsidRPr="00CB4A31" w:rsidRDefault="00200C3E" w:rsidP="000963CD">
            <w:pPr>
              <w:pStyle w:val="TableFiguresBracketsBold"/>
            </w:pPr>
            <w:r w:rsidRPr="00CB4A31">
              <w:t>(</w:t>
            </w:r>
            <w:r w:rsidR="00CB4A31" w:rsidRPr="00CB4A31">
              <w:t>27</w:t>
            </w:r>
            <w:r w:rsidRPr="00CB4A31">
              <w:t>)</w:t>
            </w:r>
            <w:r w:rsidR="00CB4A31" w:rsidRPr="00CB4A31">
              <w:rPr>
                <w:vertAlign w:val="superscript"/>
              </w:rPr>
              <w:t>1</w:t>
            </w:r>
          </w:p>
        </w:tc>
        <w:tc>
          <w:tcPr>
            <w:tcW w:w="1147" w:type="dxa"/>
            <w:tcBorders>
              <w:bottom w:val="single" w:sz="4" w:space="0" w:color="999999"/>
            </w:tcBorders>
            <w:shd w:val="clear" w:color="auto" w:fill="auto"/>
          </w:tcPr>
          <w:p w14:paraId="662AE5A3" w14:textId="0C5533FD" w:rsidR="00200C3E" w:rsidRPr="00CB4A31" w:rsidRDefault="00200C3E" w:rsidP="000963CD">
            <w:pPr>
              <w:pStyle w:val="TableFiguresBracketsBold"/>
            </w:pPr>
            <w:r w:rsidRPr="00CB4A31">
              <w:t>(61)</w:t>
            </w:r>
            <w:r w:rsidR="00CB4A31" w:rsidRPr="00CB4A31">
              <w:rPr>
                <w:vertAlign w:val="superscript"/>
              </w:rPr>
              <w:t>1</w:t>
            </w:r>
          </w:p>
        </w:tc>
        <w:tc>
          <w:tcPr>
            <w:tcW w:w="1292" w:type="dxa"/>
            <w:tcBorders>
              <w:bottom w:val="single" w:sz="4" w:space="0" w:color="999999"/>
            </w:tcBorders>
            <w:shd w:val="clear" w:color="auto" w:fill="auto"/>
          </w:tcPr>
          <w:p w14:paraId="16B87E93" w14:textId="0A236B78" w:rsidR="00200C3E" w:rsidRPr="00CB4A31" w:rsidRDefault="00200C3E" w:rsidP="000963CD">
            <w:pPr>
              <w:pStyle w:val="TableFiguresBold0"/>
            </w:pPr>
            <w:r w:rsidRPr="00CB4A31">
              <w:t>–</w:t>
            </w:r>
          </w:p>
        </w:tc>
        <w:tc>
          <w:tcPr>
            <w:tcW w:w="1097" w:type="dxa"/>
            <w:tcBorders>
              <w:bottom w:val="single" w:sz="4" w:space="0" w:color="999999"/>
            </w:tcBorders>
            <w:shd w:val="clear" w:color="auto" w:fill="auto"/>
          </w:tcPr>
          <w:p w14:paraId="3EDC9782" w14:textId="220F6E26" w:rsidR="00200C3E" w:rsidRPr="00CB4A31" w:rsidRDefault="00200C3E" w:rsidP="000963CD">
            <w:pPr>
              <w:pStyle w:val="TableFiguresBracketsBold"/>
            </w:pPr>
            <w:r w:rsidRPr="00CB4A31">
              <w:t>(</w:t>
            </w:r>
            <w:r w:rsidR="00CB4A31" w:rsidRPr="00CB4A31">
              <w:t>861</w:t>
            </w:r>
            <w:r w:rsidRPr="00CB4A31">
              <w:t>)</w:t>
            </w:r>
            <w:r w:rsidR="00960216">
              <w:rPr>
                <w:vertAlign w:val="superscript"/>
              </w:rPr>
              <w:t>4</w:t>
            </w:r>
          </w:p>
        </w:tc>
        <w:tc>
          <w:tcPr>
            <w:tcW w:w="1132" w:type="dxa"/>
            <w:tcBorders>
              <w:bottom w:val="single" w:sz="4" w:space="0" w:color="999999"/>
            </w:tcBorders>
            <w:shd w:val="clear" w:color="auto" w:fill="auto"/>
          </w:tcPr>
          <w:p w14:paraId="2FAD225B" w14:textId="081525D2" w:rsidR="00200C3E" w:rsidRPr="00CB4A31" w:rsidRDefault="00CB4A31" w:rsidP="00200C3E">
            <w:pPr>
              <w:pStyle w:val="TableFiguresBold0"/>
            </w:pPr>
            <w:r w:rsidRPr="00CB4A31">
              <w:t>7</w:t>
            </w:r>
          </w:p>
        </w:tc>
      </w:tr>
      <w:tr w:rsidR="00200C3E" w:rsidRPr="00CB4A31" w14:paraId="7C830D56" w14:textId="77777777" w:rsidTr="002B0BDC">
        <w:trPr>
          <w:jc w:val="right"/>
        </w:trPr>
        <w:tc>
          <w:tcPr>
            <w:tcW w:w="2977" w:type="dxa"/>
            <w:tcBorders>
              <w:top w:val="single" w:sz="4" w:space="0" w:color="999999"/>
              <w:bottom w:val="single" w:sz="8" w:space="0" w:color="999999"/>
            </w:tcBorders>
            <w:shd w:val="clear" w:color="auto" w:fill="auto"/>
            <w:vAlign w:val="bottom"/>
          </w:tcPr>
          <w:p w14:paraId="7EA5253A" w14:textId="77777777" w:rsidR="00200C3E" w:rsidRPr="00CB4A31" w:rsidRDefault="00200C3E" w:rsidP="00200C3E">
            <w:pPr>
              <w:pStyle w:val="TabletextBold"/>
            </w:pPr>
            <w:r w:rsidRPr="00CB4A31">
              <w:t>Total</w:t>
            </w:r>
          </w:p>
        </w:tc>
        <w:tc>
          <w:tcPr>
            <w:tcW w:w="851" w:type="dxa"/>
            <w:tcBorders>
              <w:top w:val="single" w:sz="4" w:space="0" w:color="999999"/>
              <w:bottom w:val="single" w:sz="8" w:space="0" w:color="999999"/>
            </w:tcBorders>
            <w:shd w:val="clear" w:color="auto" w:fill="auto"/>
          </w:tcPr>
          <w:p w14:paraId="20921ED4" w14:textId="5BB65260" w:rsidR="00200C3E" w:rsidRPr="00CB4A31" w:rsidRDefault="00CB4A31" w:rsidP="00200C3E">
            <w:pPr>
              <w:pStyle w:val="TableFiguresBold0"/>
            </w:pPr>
            <w:r w:rsidRPr="00CB4A31">
              <w:t>447</w:t>
            </w:r>
          </w:p>
        </w:tc>
        <w:tc>
          <w:tcPr>
            <w:tcW w:w="935" w:type="dxa"/>
            <w:tcBorders>
              <w:top w:val="single" w:sz="4" w:space="0" w:color="999999"/>
              <w:bottom w:val="single" w:sz="8" w:space="0" w:color="999999"/>
            </w:tcBorders>
            <w:shd w:val="clear" w:color="auto" w:fill="auto"/>
          </w:tcPr>
          <w:p w14:paraId="20B56F21" w14:textId="3B307384" w:rsidR="00200C3E" w:rsidRPr="00CB4A31" w:rsidRDefault="00CB4A31" w:rsidP="00200C3E">
            <w:pPr>
              <w:pStyle w:val="TableFiguresBold0"/>
            </w:pPr>
            <w:r w:rsidRPr="00CB4A31">
              <w:t>347</w:t>
            </w:r>
          </w:p>
        </w:tc>
        <w:tc>
          <w:tcPr>
            <w:tcW w:w="1036" w:type="dxa"/>
            <w:tcBorders>
              <w:top w:val="single" w:sz="4" w:space="0" w:color="999999"/>
              <w:bottom w:val="single" w:sz="8" w:space="0" w:color="999999"/>
            </w:tcBorders>
            <w:shd w:val="clear" w:color="auto" w:fill="auto"/>
          </w:tcPr>
          <w:p w14:paraId="6B74FCBC" w14:textId="3225B343" w:rsidR="00200C3E" w:rsidRPr="00CB4A31" w:rsidRDefault="00CB4A31" w:rsidP="00200C3E">
            <w:pPr>
              <w:pStyle w:val="TableFiguresBold0"/>
            </w:pPr>
            <w:r w:rsidRPr="00CB4A31">
              <w:t>56</w:t>
            </w:r>
          </w:p>
        </w:tc>
        <w:tc>
          <w:tcPr>
            <w:tcW w:w="1147" w:type="dxa"/>
            <w:tcBorders>
              <w:top w:val="single" w:sz="4" w:space="0" w:color="999999"/>
              <w:bottom w:val="single" w:sz="8" w:space="0" w:color="999999"/>
            </w:tcBorders>
            <w:shd w:val="clear" w:color="auto" w:fill="auto"/>
          </w:tcPr>
          <w:p w14:paraId="02109789" w14:textId="766813F0" w:rsidR="00200C3E" w:rsidRPr="00CB4A31" w:rsidRDefault="00CB4A31" w:rsidP="00200C3E">
            <w:pPr>
              <w:pStyle w:val="TableFiguresBold0"/>
            </w:pPr>
            <w:r w:rsidRPr="00CB4A31">
              <w:t>396</w:t>
            </w:r>
          </w:p>
        </w:tc>
        <w:tc>
          <w:tcPr>
            <w:tcW w:w="1292" w:type="dxa"/>
            <w:tcBorders>
              <w:top w:val="single" w:sz="4" w:space="0" w:color="999999"/>
              <w:bottom w:val="single" w:sz="8" w:space="0" w:color="999999"/>
            </w:tcBorders>
            <w:shd w:val="clear" w:color="auto" w:fill="auto"/>
          </w:tcPr>
          <w:p w14:paraId="51921126" w14:textId="5C2C6F32" w:rsidR="00200C3E" w:rsidRPr="00CB4A31" w:rsidRDefault="00CB4A31" w:rsidP="00200C3E">
            <w:pPr>
              <w:pStyle w:val="TableFiguresBold0"/>
            </w:pPr>
            <w:r w:rsidRPr="00CB4A31">
              <w:t>15,537</w:t>
            </w:r>
          </w:p>
        </w:tc>
        <w:tc>
          <w:tcPr>
            <w:tcW w:w="1097" w:type="dxa"/>
            <w:tcBorders>
              <w:top w:val="single" w:sz="4" w:space="0" w:color="999999"/>
              <w:bottom w:val="single" w:sz="8" w:space="0" w:color="999999"/>
            </w:tcBorders>
            <w:shd w:val="clear" w:color="auto" w:fill="auto"/>
          </w:tcPr>
          <w:p w14:paraId="6BA8C95A" w14:textId="11F7613F" w:rsidR="00200C3E" w:rsidRPr="00CB4A31" w:rsidRDefault="00CB4A31" w:rsidP="00200C3E">
            <w:pPr>
              <w:pStyle w:val="TableFiguresBold0"/>
            </w:pPr>
            <w:r w:rsidRPr="00CB4A31">
              <w:t>1,795</w:t>
            </w:r>
          </w:p>
        </w:tc>
        <w:tc>
          <w:tcPr>
            <w:tcW w:w="1132" w:type="dxa"/>
            <w:tcBorders>
              <w:top w:val="single" w:sz="4" w:space="0" w:color="999999"/>
              <w:bottom w:val="single" w:sz="8" w:space="0" w:color="999999"/>
            </w:tcBorders>
            <w:shd w:val="clear" w:color="auto" w:fill="auto"/>
          </w:tcPr>
          <w:p w14:paraId="45417DC7" w14:textId="57D78683" w:rsidR="00200C3E" w:rsidRPr="00CB4A31" w:rsidRDefault="00CB4A31" w:rsidP="00200C3E">
            <w:pPr>
              <w:pStyle w:val="TableFiguresBold0"/>
            </w:pPr>
            <w:r w:rsidRPr="00CB4A31">
              <w:t>1,910</w:t>
            </w:r>
          </w:p>
        </w:tc>
      </w:tr>
    </w:tbl>
    <w:p w14:paraId="3CD32E0F" w14:textId="0BB01C71" w:rsidR="005E793C" w:rsidRDefault="005E793C" w:rsidP="005E793C">
      <w:pPr>
        <w:pStyle w:val="FootnotesNoSpace"/>
        <w:ind w:left="142" w:hanging="142"/>
        <w:rPr>
          <w:i w:val="0"/>
          <w:iCs/>
          <w:color w:val="FF0000"/>
          <w:highlight w:val="yellow"/>
        </w:rPr>
      </w:pPr>
    </w:p>
    <w:tbl>
      <w:tblPr>
        <w:tblW w:w="0" w:type="auto"/>
        <w:jc w:val="right"/>
        <w:tblLayout w:type="fixed"/>
        <w:tblCellMar>
          <w:left w:w="0" w:type="dxa"/>
          <w:right w:w="0" w:type="dxa"/>
        </w:tblCellMar>
        <w:tblLook w:val="01E0" w:firstRow="1" w:lastRow="1" w:firstColumn="1" w:lastColumn="1" w:noHBand="0" w:noVBand="0"/>
      </w:tblPr>
      <w:tblGrid>
        <w:gridCol w:w="2977"/>
        <w:gridCol w:w="851"/>
        <w:gridCol w:w="935"/>
        <w:gridCol w:w="1036"/>
        <w:gridCol w:w="1147"/>
        <w:gridCol w:w="1292"/>
        <w:gridCol w:w="1097"/>
        <w:gridCol w:w="1132"/>
      </w:tblGrid>
      <w:tr w:rsidR="00CB4A31" w:rsidRPr="00CB4A31" w14:paraId="3B24FD95" w14:textId="77777777" w:rsidTr="002F4806">
        <w:trPr>
          <w:jc w:val="right"/>
        </w:trPr>
        <w:tc>
          <w:tcPr>
            <w:tcW w:w="2977" w:type="dxa"/>
            <w:tcBorders>
              <w:bottom w:val="single" w:sz="8" w:space="0" w:color="999999"/>
            </w:tcBorders>
            <w:shd w:val="clear" w:color="auto" w:fill="auto"/>
            <w:vAlign w:val="bottom"/>
          </w:tcPr>
          <w:p w14:paraId="1D3F8FCF" w14:textId="77777777" w:rsidR="00CB4A31" w:rsidRPr="00CB4A31" w:rsidRDefault="00CB4A31" w:rsidP="002F4806">
            <w:pPr>
              <w:pStyle w:val="TableColHeadsBold0"/>
              <w:jc w:val="left"/>
              <w:rPr>
                <w:b w:val="0"/>
                <w:bCs w:val="0"/>
              </w:rPr>
            </w:pPr>
            <w:r w:rsidRPr="00CB4A31">
              <w:rPr>
                <w:b w:val="0"/>
                <w:bCs w:val="0"/>
              </w:rPr>
              <w:t>31 December 2020</w:t>
            </w:r>
          </w:p>
        </w:tc>
        <w:tc>
          <w:tcPr>
            <w:tcW w:w="851" w:type="dxa"/>
            <w:tcBorders>
              <w:bottom w:val="single" w:sz="8" w:space="0" w:color="999999"/>
            </w:tcBorders>
            <w:shd w:val="clear" w:color="auto" w:fill="auto"/>
            <w:vAlign w:val="bottom"/>
          </w:tcPr>
          <w:p w14:paraId="2A7CAEF9" w14:textId="77777777" w:rsidR="00CB4A31" w:rsidRPr="00CB4A31" w:rsidRDefault="00CB4A31" w:rsidP="002F4806">
            <w:pPr>
              <w:pStyle w:val="TableColHeadsBold0"/>
              <w:rPr>
                <w:b w:val="0"/>
                <w:bCs w:val="0"/>
              </w:rPr>
            </w:pPr>
            <w:r w:rsidRPr="00CB4A31">
              <w:rPr>
                <w:b w:val="0"/>
                <w:bCs w:val="0"/>
              </w:rPr>
              <w:t xml:space="preserve">Gross rental income </w:t>
            </w:r>
          </w:p>
          <w:p w14:paraId="0C5157D5" w14:textId="77777777" w:rsidR="00CB4A31" w:rsidRPr="00CB4A31" w:rsidRDefault="00CB4A31" w:rsidP="002F4806">
            <w:pPr>
              <w:pStyle w:val="TableColHeadsBold0"/>
              <w:rPr>
                <w:b w:val="0"/>
                <w:bCs w:val="0"/>
              </w:rPr>
            </w:pPr>
            <w:r w:rsidRPr="00CB4A31">
              <w:rPr>
                <w:b w:val="0"/>
                <w:bCs w:val="0"/>
              </w:rPr>
              <w:t>£m</w:t>
            </w:r>
          </w:p>
        </w:tc>
        <w:tc>
          <w:tcPr>
            <w:tcW w:w="935" w:type="dxa"/>
            <w:tcBorders>
              <w:bottom w:val="single" w:sz="8" w:space="0" w:color="999999"/>
            </w:tcBorders>
            <w:shd w:val="clear" w:color="auto" w:fill="auto"/>
            <w:vAlign w:val="bottom"/>
          </w:tcPr>
          <w:p w14:paraId="27A343E6" w14:textId="77777777" w:rsidR="00CB4A31" w:rsidRPr="00CB4A31" w:rsidRDefault="00CB4A31" w:rsidP="002F4806">
            <w:pPr>
              <w:pStyle w:val="TableColHeadsBold0"/>
              <w:rPr>
                <w:b w:val="0"/>
                <w:bCs w:val="0"/>
              </w:rPr>
            </w:pPr>
            <w:r w:rsidRPr="00CB4A31">
              <w:rPr>
                <w:b w:val="0"/>
                <w:bCs w:val="0"/>
              </w:rPr>
              <w:t>Net rental</w:t>
            </w:r>
          </w:p>
          <w:p w14:paraId="3D7086E7" w14:textId="77777777" w:rsidR="00CB4A31" w:rsidRPr="00CB4A31" w:rsidRDefault="00CB4A31" w:rsidP="002F4806">
            <w:pPr>
              <w:pStyle w:val="TableColHeadsBold0"/>
              <w:rPr>
                <w:b w:val="0"/>
                <w:bCs w:val="0"/>
              </w:rPr>
            </w:pPr>
            <w:r w:rsidRPr="00CB4A31">
              <w:rPr>
                <w:b w:val="0"/>
                <w:bCs w:val="0"/>
              </w:rPr>
              <w:t xml:space="preserve"> income</w:t>
            </w:r>
          </w:p>
          <w:p w14:paraId="20F4162D" w14:textId="77777777" w:rsidR="00CB4A31" w:rsidRPr="00CB4A31" w:rsidRDefault="00CB4A31" w:rsidP="002F4806">
            <w:pPr>
              <w:pStyle w:val="TableColHeadsBold0"/>
              <w:rPr>
                <w:b w:val="0"/>
                <w:bCs w:val="0"/>
              </w:rPr>
            </w:pPr>
            <w:r w:rsidRPr="00CB4A31">
              <w:rPr>
                <w:b w:val="0"/>
                <w:bCs w:val="0"/>
              </w:rPr>
              <w:t xml:space="preserve"> £m</w:t>
            </w:r>
          </w:p>
        </w:tc>
        <w:tc>
          <w:tcPr>
            <w:tcW w:w="1036" w:type="dxa"/>
            <w:tcBorders>
              <w:bottom w:val="single" w:sz="8" w:space="0" w:color="999999"/>
            </w:tcBorders>
            <w:shd w:val="clear" w:color="auto" w:fill="auto"/>
            <w:vAlign w:val="bottom"/>
          </w:tcPr>
          <w:p w14:paraId="4F03700C" w14:textId="77777777" w:rsidR="00CB4A31" w:rsidRPr="00CB4A31" w:rsidRDefault="00CB4A31" w:rsidP="002F4806">
            <w:pPr>
              <w:pStyle w:val="TableColHeadsBold0"/>
              <w:rPr>
                <w:b w:val="0"/>
                <w:bCs w:val="0"/>
                <w:spacing w:val="-2"/>
              </w:rPr>
            </w:pPr>
            <w:r w:rsidRPr="00CB4A31">
              <w:rPr>
                <w:b w:val="0"/>
                <w:bCs w:val="0"/>
                <w:spacing w:val="-2"/>
              </w:rPr>
              <w:t>Share of joint ventures’ Adjusted profit</w:t>
            </w:r>
          </w:p>
          <w:p w14:paraId="51EE62EF" w14:textId="77777777" w:rsidR="00CB4A31" w:rsidRPr="00CB4A31" w:rsidRDefault="00CB4A31" w:rsidP="002F4806">
            <w:pPr>
              <w:pStyle w:val="TableColHeadsBold0"/>
              <w:rPr>
                <w:b w:val="0"/>
                <w:bCs w:val="0"/>
              </w:rPr>
            </w:pPr>
            <w:r w:rsidRPr="00CB4A31">
              <w:rPr>
                <w:b w:val="0"/>
                <w:bCs w:val="0"/>
              </w:rPr>
              <w:t xml:space="preserve"> £m</w:t>
            </w:r>
          </w:p>
        </w:tc>
        <w:tc>
          <w:tcPr>
            <w:tcW w:w="1147" w:type="dxa"/>
            <w:tcBorders>
              <w:bottom w:val="single" w:sz="8" w:space="0" w:color="999999"/>
            </w:tcBorders>
            <w:shd w:val="clear" w:color="auto" w:fill="auto"/>
            <w:vAlign w:val="bottom"/>
          </w:tcPr>
          <w:p w14:paraId="41565E37" w14:textId="77777777" w:rsidR="00CB4A31" w:rsidRPr="00CB4A31" w:rsidRDefault="00CB4A31" w:rsidP="002F4806">
            <w:pPr>
              <w:pStyle w:val="TableColHeadsBold0"/>
              <w:rPr>
                <w:b w:val="0"/>
                <w:bCs w:val="0"/>
              </w:rPr>
            </w:pPr>
            <w:r w:rsidRPr="00CB4A31">
              <w:rPr>
                <w:b w:val="0"/>
                <w:bCs w:val="0"/>
              </w:rPr>
              <w:t>Adjusted  PBIT</w:t>
            </w:r>
            <w:r w:rsidRPr="00CB4A31">
              <w:rPr>
                <w:b w:val="0"/>
                <w:bCs w:val="0"/>
                <w:vertAlign w:val="superscript"/>
              </w:rPr>
              <w:t>2</w:t>
            </w:r>
          </w:p>
          <w:p w14:paraId="29693355" w14:textId="77777777" w:rsidR="00CB4A31" w:rsidRPr="00CB4A31" w:rsidRDefault="00CB4A31" w:rsidP="002F4806">
            <w:pPr>
              <w:pStyle w:val="TableColHeadsBold0"/>
              <w:rPr>
                <w:b w:val="0"/>
                <w:bCs w:val="0"/>
              </w:rPr>
            </w:pPr>
            <w:r w:rsidRPr="00CB4A31">
              <w:rPr>
                <w:b w:val="0"/>
                <w:bCs w:val="0"/>
              </w:rPr>
              <w:t xml:space="preserve"> £m</w:t>
            </w:r>
          </w:p>
        </w:tc>
        <w:tc>
          <w:tcPr>
            <w:tcW w:w="1292" w:type="dxa"/>
            <w:tcBorders>
              <w:bottom w:val="single" w:sz="8" w:space="0" w:color="999999"/>
            </w:tcBorders>
            <w:shd w:val="clear" w:color="auto" w:fill="auto"/>
            <w:vAlign w:val="bottom"/>
          </w:tcPr>
          <w:p w14:paraId="43E30511" w14:textId="77777777" w:rsidR="00CB4A31" w:rsidRPr="00CB4A31" w:rsidRDefault="00CB4A31" w:rsidP="002F4806">
            <w:pPr>
              <w:pStyle w:val="TableColHeadsBold0"/>
              <w:rPr>
                <w:b w:val="0"/>
                <w:bCs w:val="0"/>
              </w:rPr>
            </w:pPr>
            <w:r w:rsidRPr="00CB4A31">
              <w:rPr>
                <w:b w:val="0"/>
                <w:bCs w:val="0"/>
              </w:rPr>
              <w:t>Total directly owned property assets</w:t>
            </w:r>
          </w:p>
          <w:p w14:paraId="77463810" w14:textId="77777777" w:rsidR="00CB4A31" w:rsidRPr="00CB4A31" w:rsidRDefault="00CB4A31" w:rsidP="002F4806">
            <w:pPr>
              <w:pStyle w:val="TableColHeadsBold0"/>
              <w:rPr>
                <w:b w:val="0"/>
                <w:bCs w:val="0"/>
              </w:rPr>
            </w:pPr>
            <w:r w:rsidRPr="00CB4A31">
              <w:rPr>
                <w:b w:val="0"/>
                <w:bCs w:val="0"/>
              </w:rPr>
              <w:t xml:space="preserve"> £m</w:t>
            </w:r>
          </w:p>
        </w:tc>
        <w:tc>
          <w:tcPr>
            <w:tcW w:w="1097" w:type="dxa"/>
            <w:tcBorders>
              <w:bottom w:val="single" w:sz="8" w:space="0" w:color="999999"/>
            </w:tcBorders>
            <w:shd w:val="clear" w:color="auto" w:fill="auto"/>
            <w:vAlign w:val="bottom"/>
          </w:tcPr>
          <w:p w14:paraId="5BE1A450" w14:textId="77777777" w:rsidR="00CB4A31" w:rsidRPr="00CB4A31" w:rsidRDefault="00CB4A31" w:rsidP="002F4806">
            <w:pPr>
              <w:pStyle w:val="TableColHeadsBold0"/>
              <w:rPr>
                <w:b w:val="0"/>
                <w:bCs w:val="0"/>
              </w:rPr>
            </w:pPr>
            <w:r w:rsidRPr="00CB4A31">
              <w:rPr>
                <w:b w:val="0"/>
                <w:bCs w:val="0"/>
              </w:rPr>
              <w:t>Investments</w:t>
            </w:r>
          </w:p>
          <w:p w14:paraId="7A697D7B" w14:textId="77777777" w:rsidR="00CB4A31" w:rsidRPr="00CB4A31" w:rsidRDefault="00CB4A31" w:rsidP="002F4806">
            <w:pPr>
              <w:pStyle w:val="TableColHeadsBold0"/>
              <w:rPr>
                <w:b w:val="0"/>
                <w:bCs w:val="0"/>
              </w:rPr>
            </w:pPr>
            <w:r w:rsidRPr="00CB4A31">
              <w:rPr>
                <w:b w:val="0"/>
                <w:bCs w:val="0"/>
              </w:rPr>
              <w:t xml:space="preserve"> in joint ventures</w:t>
            </w:r>
          </w:p>
          <w:p w14:paraId="3BFFD185" w14:textId="77777777" w:rsidR="00CB4A31" w:rsidRPr="00CB4A31" w:rsidRDefault="00CB4A31" w:rsidP="002F4806">
            <w:pPr>
              <w:pStyle w:val="TableColHeadsBold0"/>
              <w:rPr>
                <w:b w:val="0"/>
                <w:bCs w:val="0"/>
              </w:rPr>
            </w:pPr>
            <w:r w:rsidRPr="00CB4A31">
              <w:rPr>
                <w:b w:val="0"/>
                <w:bCs w:val="0"/>
              </w:rPr>
              <w:t xml:space="preserve"> £m</w:t>
            </w:r>
          </w:p>
        </w:tc>
        <w:tc>
          <w:tcPr>
            <w:tcW w:w="1132" w:type="dxa"/>
            <w:tcBorders>
              <w:bottom w:val="single" w:sz="8" w:space="0" w:color="999999"/>
            </w:tcBorders>
            <w:shd w:val="clear" w:color="auto" w:fill="auto"/>
            <w:vAlign w:val="bottom"/>
          </w:tcPr>
          <w:p w14:paraId="60159C47" w14:textId="77777777" w:rsidR="00CB4A31" w:rsidRPr="00CB4A31" w:rsidRDefault="00CB4A31" w:rsidP="002F4806">
            <w:pPr>
              <w:pStyle w:val="TableColHeadsBold0"/>
              <w:rPr>
                <w:b w:val="0"/>
                <w:bCs w:val="0"/>
              </w:rPr>
            </w:pPr>
            <w:r w:rsidRPr="00CB4A31">
              <w:rPr>
                <w:b w:val="0"/>
                <w:bCs w:val="0"/>
              </w:rPr>
              <w:t>Capital expenditure</w:t>
            </w:r>
            <w:r w:rsidRPr="00CB4A31">
              <w:rPr>
                <w:b w:val="0"/>
                <w:bCs w:val="0"/>
                <w:vertAlign w:val="superscript"/>
              </w:rPr>
              <w:t>3</w:t>
            </w:r>
            <w:r w:rsidRPr="00CB4A31">
              <w:rPr>
                <w:b w:val="0"/>
                <w:bCs w:val="0"/>
              </w:rPr>
              <w:t xml:space="preserve"> </w:t>
            </w:r>
          </w:p>
          <w:p w14:paraId="38193C24" w14:textId="77777777" w:rsidR="00CB4A31" w:rsidRPr="00CB4A31" w:rsidRDefault="00CB4A31" w:rsidP="002F4806">
            <w:pPr>
              <w:pStyle w:val="TableColHeadsBold0"/>
              <w:rPr>
                <w:b w:val="0"/>
                <w:bCs w:val="0"/>
              </w:rPr>
            </w:pPr>
            <w:r w:rsidRPr="00CB4A31">
              <w:rPr>
                <w:b w:val="0"/>
                <w:bCs w:val="0"/>
              </w:rPr>
              <w:t>£m</w:t>
            </w:r>
          </w:p>
        </w:tc>
      </w:tr>
      <w:tr w:rsidR="00CB4A31" w:rsidRPr="00CB4A31" w14:paraId="1A3504CD" w14:textId="77777777" w:rsidTr="002F4806">
        <w:trPr>
          <w:trHeight w:hRule="exact" w:val="111"/>
          <w:jc w:val="right"/>
        </w:trPr>
        <w:tc>
          <w:tcPr>
            <w:tcW w:w="2977" w:type="dxa"/>
            <w:tcBorders>
              <w:top w:val="single" w:sz="4" w:space="0" w:color="999999"/>
            </w:tcBorders>
            <w:shd w:val="clear" w:color="auto" w:fill="auto"/>
            <w:vAlign w:val="bottom"/>
          </w:tcPr>
          <w:p w14:paraId="15210211" w14:textId="77777777" w:rsidR="00CB4A31" w:rsidRPr="00CB4A31" w:rsidRDefault="00CB4A31" w:rsidP="002F4806">
            <w:pPr>
              <w:tabs>
                <w:tab w:val="left" w:pos="142"/>
              </w:tabs>
              <w:spacing w:before="10" w:after="10"/>
              <w:rPr>
                <w:color w:val="FF0000"/>
              </w:rPr>
            </w:pPr>
          </w:p>
        </w:tc>
        <w:tc>
          <w:tcPr>
            <w:tcW w:w="851" w:type="dxa"/>
            <w:tcBorders>
              <w:top w:val="single" w:sz="4" w:space="0" w:color="999999"/>
            </w:tcBorders>
            <w:shd w:val="clear" w:color="auto" w:fill="auto"/>
            <w:vAlign w:val="bottom"/>
          </w:tcPr>
          <w:p w14:paraId="2E58FDD9" w14:textId="77777777" w:rsidR="00CB4A31" w:rsidRPr="00CB4A31" w:rsidRDefault="00CB4A31" w:rsidP="002F4806">
            <w:pPr>
              <w:tabs>
                <w:tab w:val="left" w:pos="142"/>
              </w:tabs>
              <w:spacing w:before="10" w:after="10"/>
              <w:ind w:right="57"/>
              <w:jc w:val="right"/>
              <w:rPr>
                <w:color w:val="FF0000"/>
              </w:rPr>
            </w:pPr>
          </w:p>
        </w:tc>
        <w:tc>
          <w:tcPr>
            <w:tcW w:w="935" w:type="dxa"/>
            <w:tcBorders>
              <w:top w:val="single" w:sz="4" w:space="0" w:color="999999"/>
            </w:tcBorders>
            <w:shd w:val="clear" w:color="auto" w:fill="auto"/>
            <w:vAlign w:val="bottom"/>
          </w:tcPr>
          <w:p w14:paraId="270F4619" w14:textId="77777777" w:rsidR="00CB4A31" w:rsidRPr="00CB4A31" w:rsidRDefault="00CB4A31" w:rsidP="002F4806">
            <w:pPr>
              <w:tabs>
                <w:tab w:val="left" w:pos="142"/>
              </w:tabs>
              <w:spacing w:before="10" w:after="10"/>
              <w:ind w:right="57"/>
              <w:jc w:val="right"/>
              <w:rPr>
                <w:color w:val="FF0000"/>
              </w:rPr>
            </w:pPr>
          </w:p>
        </w:tc>
        <w:tc>
          <w:tcPr>
            <w:tcW w:w="1036" w:type="dxa"/>
            <w:tcBorders>
              <w:top w:val="single" w:sz="4" w:space="0" w:color="999999"/>
            </w:tcBorders>
            <w:shd w:val="clear" w:color="auto" w:fill="auto"/>
            <w:vAlign w:val="bottom"/>
          </w:tcPr>
          <w:p w14:paraId="100105E0" w14:textId="77777777" w:rsidR="00CB4A31" w:rsidRPr="00CB4A31" w:rsidRDefault="00CB4A31" w:rsidP="002F4806">
            <w:pPr>
              <w:tabs>
                <w:tab w:val="left" w:pos="142"/>
              </w:tabs>
              <w:spacing w:before="10" w:after="10"/>
              <w:ind w:right="57"/>
              <w:jc w:val="right"/>
              <w:rPr>
                <w:color w:val="FF0000"/>
              </w:rPr>
            </w:pPr>
          </w:p>
        </w:tc>
        <w:tc>
          <w:tcPr>
            <w:tcW w:w="1147" w:type="dxa"/>
            <w:tcBorders>
              <w:top w:val="single" w:sz="4" w:space="0" w:color="999999"/>
            </w:tcBorders>
            <w:shd w:val="clear" w:color="auto" w:fill="auto"/>
            <w:vAlign w:val="bottom"/>
          </w:tcPr>
          <w:p w14:paraId="124B1F38" w14:textId="77777777" w:rsidR="00CB4A31" w:rsidRPr="00CB4A31" w:rsidRDefault="00CB4A31" w:rsidP="002F4806">
            <w:pPr>
              <w:tabs>
                <w:tab w:val="left" w:pos="142"/>
              </w:tabs>
              <w:spacing w:before="10" w:after="10"/>
              <w:ind w:right="57"/>
              <w:jc w:val="right"/>
              <w:rPr>
                <w:color w:val="FF0000"/>
              </w:rPr>
            </w:pPr>
          </w:p>
        </w:tc>
        <w:tc>
          <w:tcPr>
            <w:tcW w:w="1292" w:type="dxa"/>
            <w:tcBorders>
              <w:top w:val="single" w:sz="4" w:space="0" w:color="999999"/>
            </w:tcBorders>
            <w:shd w:val="clear" w:color="auto" w:fill="auto"/>
            <w:vAlign w:val="bottom"/>
          </w:tcPr>
          <w:p w14:paraId="66F96DB3" w14:textId="77777777" w:rsidR="00CB4A31" w:rsidRPr="00CB4A31" w:rsidRDefault="00CB4A31" w:rsidP="002F4806">
            <w:pPr>
              <w:tabs>
                <w:tab w:val="left" w:pos="142"/>
              </w:tabs>
              <w:spacing w:before="10" w:after="10"/>
              <w:ind w:right="57"/>
              <w:jc w:val="right"/>
              <w:rPr>
                <w:color w:val="FF0000"/>
              </w:rPr>
            </w:pPr>
          </w:p>
        </w:tc>
        <w:tc>
          <w:tcPr>
            <w:tcW w:w="1097" w:type="dxa"/>
            <w:tcBorders>
              <w:top w:val="single" w:sz="4" w:space="0" w:color="999999"/>
            </w:tcBorders>
            <w:shd w:val="clear" w:color="auto" w:fill="auto"/>
            <w:vAlign w:val="bottom"/>
          </w:tcPr>
          <w:p w14:paraId="09F25B60" w14:textId="77777777" w:rsidR="00CB4A31" w:rsidRPr="00CB4A31" w:rsidRDefault="00CB4A31" w:rsidP="002F4806">
            <w:pPr>
              <w:tabs>
                <w:tab w:val="left" w:pos="142"/>
              </w:tabs>
              <w:spacing w:before="10" w:after="10"/>
              <w:ind w:right="57"/>
              <w:jc w:val="right"/>
              <w:rPr>
                <w:color w:val="FF0000"/>
              </w:rPr>
            </w:pPr>
          </w:p>
        </w:tc>
        <w:tc>
          <w:tcPr>
            <w:tcW w:w="1132" w:type="dxa"/>
            <w:tcBorders>
              <w:top w:val="single" w:sz="4" w:space="0" w:color="999999"/>
            </w:tcBorders>
            <w:shd w:val="clear" w:color="auto" w:fill="auto"/>
            <w:vAlign w:val="bottom"/>
          </w:tcPr>
          <w:p w14:paraId="31A82234" w14:textId="77777777" w:rsidR="00CB4A31" w:rsidRPr="00CB4A31" w:rsidRDefault="00CB4A31" w:rsidP="002F4806">
            <w:pPr>
              <w:tabs>
                <w:tab w:val="left" w:pos="142"/>
              </w:tabs>
              <w:spacing w:before="10" w:after="10"/>
              <w:ind w:right="57"/>
              <w:jc w:val="right"/>
              <w:rPr>
                <w:color w:val="FF0000"/>
              </w:rPr>
            </w:pPr>
          </w:p>
        </w:tc>
      </w:tr>
      <w:tr w:rsidR="00CB4A31" w:rsidRPr="00CB4A31" w14:paraId="613BF0F3" w14:textId="77777777" w:rsidTr="002F4806">
        <w:trPr>
          <w:jc w:val="right"/>
        </w:trPr>
        <w:tc>
          <w:tcPr>
            <w:tcW w:w="2977" w:type="dxa"/>
            <w:shd w:val="clear" w:color="auto" w:fill="auto"/>
            <w:vAlign w:val="bottom"/>
          </w:tcPr>
          <w:p w14:paraId="7F05F320" w14:textId="77777777" w:rsidR="00CB4A31" w:rsidRPr="00CB4A31" w:rsidRDefault="00CB4A31" w:rsidP="002F4806">
            <w:pPr>
              <w:pStyle w:val="TabletextBold"/>
              <w:rPr>
                <w:b w:val="0"/>
                <w:bCs w:val="0"/>
                <w:vertAlign w:val="superscript"/>
              </w:rPr>
            </w:pPr>
            <w:r w:rsidRPr="00CB4A31">
              <w:rPr>
                <w:b w:val="0"/>
                <w:bCs w:val="0"/>
              </w:rPr>
              <w:t>Thames Valley</w:t>
            </w:r>
          </w:p>
        </w:tc>
        <w:tc>
          <w:tcPr>
            <w:tcW w:w="851" w:type="dxa"/>
            <w:shd w:val="clear" w:color="auto" w:fill="auto"/>
          </w:tcPr>
          <w:p w14:paraId="224D1DD8" w14:textId="0ED6F29C" w:rsidR="00CB4A31" w:rsidRPr="00CB4A31" w:rsidRDefault="00CB4A31" w:rsidP="00987007">
            <w:pPr>
              <w:pStyle w:val="TableFigures"/>
            </w:pPr>
            <w:r w:rsidRPr="00CB4A31">
              <w:t>84</w:t>
            </w:r>
          </w:p>
        </w:tc>
        <w:tc>
          <w:tcPr>
            <w:tcW w:w="935" w:type="dxa"/>
            <w:shd w:val="clear" w:color="auto" w:fill="auto"/>
          </w:tcPr>
          <w:p w14:paraId="037EADD5" w14:textId="7406271E" w:rsidR="00CB4A31" w:rsidRPr="00CB4A31" w:rsidRDefault="00CB4A31" w:rsidP="00987007">
            <w:pPr>
              <w:pStyle w:val="TableFigures"/>
            </w:pPr>
            <w:r w:rsidRPr="00CB4A31">
              <w:t>78</w:t>
            </w:r>
          </w:p>
        </w:tc>
        <w:tc>
          <w:tcPr>
            <w:tcW w:w="1036" w:type="dxa"/>
            <w:shd w:val="clear" w:color="auto" w:fill="auto"/>
          </w:tcPr>
          <w:p w14:paraId="2DDF66FF" w14:textId="77777777" w:rsidR="00CB4A31" w:rsidRPr="00CB4A31" w:rsidRDefault="00CB4A31" w:rsidP="00987007">
            <w:pPr>
              <w:pStyle w:val="TableFigures"/>
            </w:pPr>
            <w:r w:rsidRPr="00CB4A31">
              <w:t>–</w:t>
            </w:r>
          </w:p>
        </w:tc>
        <w:tc>
          <w:tcPr>
            <w:tcW w:w="1147" w:type="dxa"/>
            <w:shd w:val="clear" w:color="auto" w:fill="auto"/>
          </w:tcPr>
          <w:p w14:paraId="6E7F1B54" w14:textId="03A35D54" w:rsidR="00CB4A31" w:rsidRPr="00CB4A31" w:rsidRDefault="00CB4A31" w:rsidP="00987007">
            <w:pPr>
              <w:pStyle w:val="TableFigures"/>
            </w:pPr>
            <w:r w:rsidRPr="00CB4A31">
              <w:t>76</w:t>
            </w:r>
          </w:p>
        </w:tc>
        <w:tc>
          <w:tcPr>
            <w:tcW w:w="1292" w:type="dxa"/>
            <w:shd w:val="clear" w:color="auto" w:fill="auto"/>
          </w:tcPr>
          <w:p w14:paraId="1D48456D" w14:textId="5F02EE9C" w:rsidR="00CB4A31" w:rsidRPr="00CB4A31" w:rsidRDefault="00CB4A31" w:rsidP="00987007">
            <w:pPr>
              <w:pStyle w:val="TableFigures"/>
            </w:pPr>
            <w:r w:rsidRPr="00CB4A31">
              <w:t>1,997</w:t>
            </w:r>
          </w:p>
        </w:tc>
        <w:tc>
          <w:tcPr>
            <w:tcW w:w="1097" w:type="dxa"/>
            <w:shd w:val="clear" w:color="auto" w:fill="auto"/>
          </w:tcPr>
          <w:p w14:paraId="789C2D40" w14:textId="77777777" w:rsidR="00CB4A31" w:rsidRPr="00CB4A31" w:rsidRDefault="00CB4A31" w:rsidP="00987007">
            <w:pPr>
              <w:pStyle w:val="TableFigures"/>
            </w:pPr>
            <w:r w:rsidRPr="00CB4A31">
              <w:t>–</w:t>
            </w:r>
          </w:p>
        </w:tc>
        <w:tc>
          <w:tcPr>
            <w:tcW w:w="1132" w:type="dxa"/>
            <w:shd w:val="clear" w:color="auto" w:fill="auto"/>
          </w:tcPr>
          <w:p w14:paraId="1A80FB78" w14:textId="60742C32" w:rsidR="00CB4A31" w:rsidRPr="00CB4A31" w:rsidRDefault="00CB4A31" w:rsidP="00987007">
            <w:pPr>
              <w:pStyle w:val="TableFigures"/>
            </w:pPr>
            <w:r w:rsidRPr="00CB4A31">
              <w:t>57</w:t>
            </w:r>
          </w:p>
        </w:tc>
      </w:tr>
      <w:tr w:rsidR="00CB4A31" w:rsidRPr="00CB4A31" w14:paraId="1AD7BB45" w14:textId="77777777" w:rsidTr="002F4806">
        <w:trPr>
          <w:jc w:val="right"/>
        </w:trPr>
        <w:tc>
          <w:tcPr>
            <w:tcW w:w="2977" w:type="dxa"/>
            <w:shd w:val="clear" w:color="auto" w:fill="auto"/>
            <w:vAlign w:val="bottom"/>
          </w:tcPr>
          <w:p w14:paraId="5397899F" w14:textId="77777777" w:rsidR="00CB4A31" w:rsidRPr="00CB4A31" w:rsidRDefault="00CB4A31" w:rsidP="002F4806">
            <w:pPr>
              <w:pStyle w:val="TabletextBold"/>
              <w:rPr>
                <w:b w:val="0"/>
                <w:bCs w:val="0"/>
              </w:rPr>
            </w:pPr>
            <w:r w:rsidRPr="00CB4A31">
              <w:rPr>
                <w:b w:val="0"/>
                <w:bCs w:val="0"/>
              </w:rPr>
              <w:t>National Logistics</w:t>
            </w:r>
          </w:p>
        </w:tc>
        <w:tc>
          <w:tcPr>
            <w:tcW w:w="851" w:type="dxa"/>
            <w:shd w:val="clear" w:color="auto" w:fill="auto"/>
          </w:tcPr>
          <w:p w14:paraId="77876F73" w14:textId="4B9880F6" w:rsidR="00CB4A31" w:rsidRPr="00CB4A31" w:rsidRDefault="00CB4A31" w:rsidP="00987007">
            <w:pPr>
              <w:pStyle w:val="TableFigures"/>
            </w:pPr>
            <w:r w:rsidRPr="00CB4A31">
              <w:t>34</w:t>
            </w:r>
          </w:p>
        </w:tc>
        <w:tc>
          <w:tcPr>
            <w:tcW w:w="935" w:type="dxa"/>
            <w:shd w:val="clear" w:color="auto" w:fill="auto"/>
          </w:tcPr>
          <w:p w14:paraId="21CB950D" w14:textId="5F566CEB" w:rsidR="00CB4A31" w:rsidRPr="00CB4A31" w:rsidRDefault="00CB4A31" w:rsidP="00987007">
            <w:pPr>
              <w:pStyle w:val="TableFigures"/>
            </w:pPr>
            <w:r w:rsidRPr="00CB4A31">
              <w:t>34</w:t>
            </w:r>
          </w:p>
        </w:tc>
        <w:tc>
          <w:tcPr>
            <w:tcW w:w="1036" w:type="dxa"/>
            <w:shd w:val="clear" w:color="auto" w:fill="auto"/>
          </w:tcPr>
          <w:p w14:paraId="1A21DA62" w14:textId="5D00A742" w:rsidR="00CB4A31" w:rsidRPr="00CB4A31" w:rsidRDefault="00CB4A31" w:rsidP="00987007">
            <w:pPr>
              <w:pStyle w:val="TableFigures"/>
            </w:pPr>
            <w:r w:rsidRPr="00CB4A31">
              <w:t>–</w:t>
            </w:r>
          </w:p>
        </w:tc>
        <w:tc>
          <w:tcPr>
            <w:tcW w:w="1147" w:type="dxa"/>
            <w:shd w:val="clear" w:color="auto" w:fill="auto"/>
          </w:tcPr>
          <w:p w14:paraId="1FC3A018" w14:textId="06E0E5FC" w:rsidR="00CB4A31" w:rsidRPr="00CB4A31" w:rsidRDefault="00CB4A31" w:rsidP="00987007">
            <w:pPr>
              <w:pStyle w:val="TableFigures"/>
            </w:pPr>
            <w:r w:rsidRPr="00CB4A31">
              <w:t>33</w:t>
            </w:r>
          </w:p>
        </w:tc>
        <w:tc>
          <w:tcPr>
            <w:tcW w:w="1292" w:type="dxa"/>
            <w:shd w:val="clear" w:color="auto" w:fill="auto"/>
          </w:tcPr>
          <w:p w14:paraId="2EE17EEE" w14:textId="1CE8E555" w:rsidR="00CB4A31" w:rsidRPr="00CB4A31" w:rsidRDefault="00CB4A31" w:rsidP="00987007">
            <w:pPr>
              <w:pStyle w:val="TableFigures"/>
            </w:pPr>
            <w:r w:rsidRPr="00CB4A31">
              <w:t>1,223</w:t>
            </w:r>
          </w:p>
        </w:tc>
        <w:tc>
          <w:tcPr>
            <w:tcW w:w="1097" w:type="dxa"/>
            <w:shd w:val="clear" w:color="auto" w:fill="auto"/>
          </w:tcPr>
          <w:p w14:paraId="1BCF2B82" w14:textId="3ADEF1F9" w:rsidR="00CB4A31" w:rsidRPr="00CB4A31" w:rsidRDefault="00CB4A31" w:rsidP="00987007">
            <w:pPr>
              <w:pStyle w:val="TableFigures"/>
            </w:pPr>
            <w:r w:rsidRPr="00CB4A31">
              <w:t>1</w:t>
            </w:r>
          </w:p>
        </w:tc>
        <w:tc>
          <w:tcPr>
            <w:tcW w:w="1132" w:type="dxa"/>
            <w:shd w:val="clear" w:color="auto" w:fill="auto"/>
          </w:tcPr>
          <w:p w14:paraId="75C4D2CB" w14:textId="5A447011" w:rsidR="00CB4A31" w:rsidRPr="00CB4A31" w:rsidRDefault="00CB4A31" w:rsidP="00987007">
            <w:pPr>
              <w:pStyle w:val="TableFigures"/>
            </w:pPr>
            <w:r w:rsidRPr="00CB4A31">
              <w:t>267</w:t>
            </w:r>
          </w:p>
        </w:tc>
      </w:tr>
      <w:tr w:rsidR="00CB4A31" w:rsidRPr="00CB4A31" w14:paraId="62DDD58C" w14:textId="77777777" w:rsidTr="002F4806">
        <w:trPr>
          <w:jc w:val="right"/>
        </w:trPr>
        <w:tc>
          <w:tcPr>
            <w:tcW w:w="2977" w:type="dxa"/>
            <w:shd w:val="clear" w:color="auto" w:fill="auto"/>
            <w:vAlign w:val="bottom"/>
          </w:tcPr>
          <w:p w14:paraId="613813EA" w14:textId="77777777" w:rsidR="00CB4A31" w:rsidRPr="00CB4A31" w:rsidRDefault="00CB4A31" w:rsidP="002F4806">
            <w:pPr>
              <w:pStyle w:val="TabletextBold"/>
              <w:rPr>
                <w:b w:val="0"/>
                <w:bCs w:val="0"/>
              </w:rPr>
            </w:pPr>
            <w:r w:rsidRPr="00CB4A31">
              <w:rPr>
                <w:b w:val="0"/>
                <w:bCs w:val="0"/>
              </w:rPr>
              <w:t>Greater London</w:t>
            </w:r>
          </w:p>
        </w:tc>
        <w:tc>
          <w:tcPr>
            <w:tcW w:w="851" w:type="dxa"/>
            <w:shd w:val="clear" w:color="auto" w:fill="auto"/>
          </w:tcPr>
          <w:p w14:paraId="3F60EDA5" w14:textId="22D24DB8" w:rsidR="00CB4A31" w:rsidRPr="00CB4A31" w:rsidRDefault="00CB4A31" w:rsidP="00987007">
            <w:pPr>
              <w:pStyle w:val="TableFigures"/>
            </w:pPr>
            <w:r w:rsidRPr="00CB4A31">
              <w:t>160</w:t>
            </w:r>
          </w:p>
        </w:tc>
        <w:tc>
          <w:tcPr>
            <w:tcW w:w="935" w:type="dxa"/>
            <w:shd w:val="clear" w:color="auto" w:fill="auto"/>
          </w:tcPr>
          <w:p w14:paraId="0489B387" w14:textId="1F9F3D25" w:rsidR="00CB4A31" w:rsidRPr="00CB4A31" w:rsidRDefault="00CB4A31" w:rsidP="00987007">
            <w:pPr>
              <w:pStyle w:val="TableFigures"/>
            </w:pPr>
            <w:r w:rsidRPr="00CB4A31">
              <w:t>140</w:t>
            </w:r>
          </w:p>
        </w:tc>
        <w:tc>
          <w:tcPr>
            <w:tcW w:w="1036" w:type="dxa"/>
            <w:shd w:val="clear" w:color="auto" w:fill="auto"/>
          </w:tcPr>
          <w:p w14:paraId="31B8FAB1" w14:textId="77777777" w:rsidR="00CB4A31" w:rsidRPr="00CB4A31" w:rsidRDefault="00CB4A31" w:rsidP="00987007">
            <w:pPr>
              <w:pStyle w:val="TableFigures"/>
            </w:pPr>
            <w:r w:rsidRPr="00CB4A31">
              <w:t>–</w:t>
            </w:r>
          </w:p>
        </w:tc>
        <w:tc>
          <w:tcPr>
            <w:tcW w:w="1147" w:type="dxa"/>
            <w:shd w:val="clear" w:color="auto" w:fill="auto"/>
          </w:tcPr>
          <w:p w14:paraId="20761811" w14:textId="7F55FA0B" w:rsidR="00CB4A31" w:rsidRPr="00CB4A31" w:rsidRDefault="00CB4A31" w:rsidP="00987007">
            <w:pPr>
              <w:pStyle w:val="TableFigures"/>
            </w:pPr>
            <w:r w:rsidRPr="00CB4A31">
              <w:t>138</w:t>
            </w:r>
          </w:p>
        </w:tc>
        <w:tc>
          <w:tcPr>
            <w:tcW w:w="1292" w:type="dxa"/>
            <w:shd w:val="clear" w:color="auto" w:fill="auto"/>
          </w:tcPr>
          <w:p w14:paraId="6D860DC1" w14:textId="4D8992FB" w:rsidR="00CB4A31" w:rsidRPr="00CB4A31" w:rsidRDefault="00CB4A31" w:rsidP="00987007">
            <w:pPr>
              <w:pStyle w:val="TableFigures"/>
            </w:pPr>
            <w:r w:rsidRPr="00CB4A31">
              <w:t>4,867</w:t>
            </w:r>
          </w:p>
        </w:tc>
        <w:tc>
          <w:tcPr>
            <w:tcW w:w="1097" w:type="dxa"/>
            <w:shd w:val="clear" w:color="auto" w:fill="auto"/>
          </w:tcPr>
          <w:p w14:paraId="4ACA8D30" w14:textId="77777777" w:rsidR="00CB4A31" w:rsidRPr="00CB4A31" w:rsidRDefault="00CB4A31" w:rsidP="00987007">
            <w:pPr>
              <w:pStyle w:val="TableFigures"/>
            </w:pPr>
            <w:r w:rsidRPr="00CB4A31">
              <w:t>–</w:t>
            </w:r>
          </w:p>
        </w:tc>
        <w:tc>
          <w:tcPr>
            <w:tcW w:w="1132" w:type="dxa"/>
            <w:shd w:val="clear" w:color="auto" w:fill="auto"/>
          </w:tcPr>
          <w:p w14:paraId="57974FD0" w14:textId="7E50AF1C" w:rsidR="00CB4A31" w:rsidRPr="00CB4A31" w:rsidRDefault="00CB4A31" w:rsidP="00987007">
            <w:pPr>
              <w:pStyle w:val="TableFigures"/>
            </w:pPr>
            <w:r w:rsidRPr="00CB4A31">
              <w:t>454</w:t>
            </w:r>
          </w:p>
        </w:tc>
      </w:tr>
      <w:tr w:rsidR="00CB4A31" w:rsidRPr="00CB4A31" w14:paraId="35B2BC37" w14:textId="77777777" w:rsidTr="002F4806">
        <w:trPr>
          <w:trHeight w:hRule="exact" w:val="216"/>
          <w:jc w:val="right"/>
        </w:trPr>
        <w:tc>
          <w:tcPr>
            <w:tcW w:w="2977" w:type="dxa"/>
            <w:shd w:val="clear" w:color="auto" w:fill="auto"/>
            <w:vAlign w:val="bottom"/>
          </w:tcPr>
          <w:p w14:paraId="735646C7" w14:textId="77777777" w:rsidR="00CB4A31" w:rsidRPr="00CB4A31" w:rsidRDefault="00CB4A31" w:rsidP="002F4806">
            <w:pPr>
              <w:pStyle w:val="TabletextBold"/>
              <w:rPr>
                <w:b w:val="0"/>
                <w:bCs w:val="0"/>
              </w:rPr>
            </w:pPr>
            <w:r w:rsidRPr="00CB4A31">
              <w:rPr>
                <w:b w:val="0"/>
                <w:bCs w:val="0"/>
              </w:rPr>
              <w:t>Northern Europe</w:t>
            </w:r>
          </w:p>
        </w:tc>
        <w:tc>
          <w:tcPr>
            <w:tcW w:w="851" w:type="dxa"/>
            <w:shd w:val="clear" w:color="auto" w:fill="auto"/>
          </w:tcPr>
          <w:p w14:paraId="4FE64836" w14:textId="65B18C9D" w:rsidR="00CB4A31" w:rsidRPr="00CB4A31" w:rsidRDefault="00CB4A31" w:rsidP="00987007">
            <w:pPr>
              <w:pStyle w:val="TableFigures"/>
            </w:pPr>
            <w:r w:rsidRPr="00CB4A31">
              <w:t>29</w:t>
            </w:r>
          </w:p>
        </w:tc>
        <w:tc>
          <w:tcPr>
            <w:tcW w:w="935" w:type="dxa"/>
            <w:shd w:val="clear" w:color="auto" w:fill="auto"/>
          </w:tcPr>
          <w:p w14:paraId="506D2CA3" w14:textId="39B6994D" w:rsidR="00CB4A31" w:rsidRPr="00CB4A31" w:rsidRDefault="00CB4A31" w:rsidP="00987007">
            <w:pPr>
              <w:pStyle w:val="TableFigures"/>
            </w:pPr>
            <w:r w:rsidRPr="00CB4A31">
              <w:t>18</w:t>
            </w:r>
          </w:p>
        </w:tc>
        <w:tc>
          <w:tcPr>
            <w:tcW w:w="1036" w:type="dxa"/>
            <w:shd w:val="clear" w:color="auto" w:fill="auto"/>
          </w:tcPr>
          <w:p w14:paraId="07564E12" w14:textId="22A6F5E0" w:rsidR="00CB4A31" w:rsidRPr="00CB4A31" w:rsidRDefault="00CB4A31" w:rsidP="00987007">
            <w:pPr>
              <w:pStyle w:val="TableFigures"/>
            </w:pPr>
            <w:r w:rsidRPr="00CB4A31">
              <w:t>25</w:t>
            </w:r>
          </w:p>
        </w:tc>
        <w:tc>
          <w:tcPr>
            <w:tcW w:w="1147" w:type="dxa"/>
            <w:shd w:val="clear" w:color="auto" w:fill="auto"/>
          </w:tcPr>
          <w:p w14:paraId="14FDCEC0" w14:textId="4AFC7682" w:rsidR="00CB4A31" w:rsidRPr="00CB4A31" w:rsidRDefault="00CB4A31" w:rsidP="00987007">
            <w:pPr>
              <w:pStyle w:val="TableFigures"/>
            </w:pPr>
            <w:r w:rsidRPr="00CB4A31">
              <w:t>48</w:t>
            </w:r>
          </w:p>
        </w:tc>
        <w:tc>
          <w:tcPr>
            <w:tcW w:w="1292" w:type="dxa"/>
            <w:shd w:val="clear" w:color="auto" w:fill="auto"/>
          </w:tcPr>
          <w:p w14:paraId="67F156CB" w14:textId="6F55A0E2" w:rsidR="00CB4A31" w:rsidRPr="00CB4A31" w:rsidRDefault="00CB4A31" w:rsidP="00987007">
            <w:pPr>
              <w:pStyle w:val="TableFigures"/>
            </w:pPr>
            <w:r w:rsidRPr="00CB4A31">
              <w:t>682</w:t>
            </w:r>
          </w:p>
        </w:tc>
        <w:tc>
          <w:tcPr>
            <w:tcW w:w="1097" w:type="dxa"/>
            <w:shd w:val="clear" w:color="auto" w:fill="auto"/>
          </w:tcPr>
          <w:p w14:paraId="309B88AE" w14:textId="5ACD38E3" w:rsidR="00CB4A31" w:rsidRPr="00CB4A31" w:rsidRDefault="00CB4A31" w:rsidP="00987007">
            <w:pPr>
              <w:pStyle w:val="TableFigures"/>
            </w:pPr>
            <w:r w:rsidRPr="00CB4A31">
              <w:t>803</w:t>
            </w:r>
          </w:p>
        </w:tc>
        <w:tc>
          <w:tcPr>
            <w:tcW w:w="1132" w:type="dxa"/>
            <w:shd w:val="clear" w:color="auto" w:fill="auto"/>
          </w:tcPr>
          <w:p w14:paraId="59D75A5E" w14:textId="57D611BA" w:rsidR="00CB4A31" w:rsidRPr="00CB4A31" w:rsidRDefault="00CB4A31" w:rsidP="00987007">
            <w:pPr>
              <w:pStyle w:val="TableFigures"/>
            </w:pPr>
            <w:r w:rsidRPr="00CB4A31">
              <w:t>29</w:t>
            </w:r>
          </w:p>
        </w:tc>
      </w:tr>
      <w:tr w:rsidR="00CB4A31" w:rsidRPr="00CB4A31" w14:paraId="5672B96B" w14:textId="77777777" w:rsidTr="002F4806">
        <w:trPr>
          <w:jc w:val="right"/>
        </w:trPr>
        <w:tc>
          <w:tcPr>
            <w:tcW w:w="2977" w:type="dxa"/>
            <w:shd w:val="clear" w:color="auto" w:fill="auto"/>
            <w:vAlign w:val="bottom"/>
          </w:tcPr>
          <w:p w14:paraId="24EB4B52" w14:textId="77777777" w:rsidR="00CB4A31" w:rsidRPr="00CB4A31" w:rsidRDefault="00CB4A31" w:rsidP="002F4806">
            <w:pPr>
              <w:pStyle w:val="TabletextBold"/>
              <w:rPr>
                <w:b w:val="0"/>
                <w:bCs w:val="0"/>
              </w:rPr>
            </w:pPr>
            <w:r w:rsidRPr="00CB4A31">
              <w:rPr>
                <w:b w:val="0"/>
                <w:bCs w:val="0"/>
              </w:rPr>
              <w:t>Southern Europe</w:t>
            </w:r>
          </w:p>
        </w:tc>
        <w:tc>
          <w:tcPr>
            <w:tcW w:w="851" w:type="dxa"/>
            <w:shd w:val="clear" w:color="auto" w:fill="auto"/>
          </w:tcPr>
          <w:p w14:paraId="71B54B3F" w14:textId="6B825753" w:rsidR="00CB4A31" w:rsidRPr="00CB4A31" w:rsidRDefault="00CB4A31" w:rsidP="00987007">
            <w:pPr>
              <w:pStyle w:val="TableFigures"/>
            </w:pPr>
            <w:r w:rsidRPr="00CB4A31">
              <w:t>75</w:t>
            </w:r>
          </w:p>
        </w:tc>
        <w:tc>
          <w:tcPr>
            <w:tcW w:w="935" w:type="dxa"/>
            <w:shd w:val="clear" w:color="auto" w:fill="auto"/>
          </w:tcPr>
          <w:p w14:paraId="5314B482" w14:textId="6F220246" w:rsidR="00CB4A31" w:rsidRPr="00CB4A31" w:rsidRDefault="00CB4A31" w:rsidP="00987007">
            <w:pPr>
              <w:pStyle w:val="TableFigures"/>
            </w:pPr>
            <w:r w:rsidRPr="00CB4A31">
              <w:t>44</w:t>
            </w:r>
          </w:p>
        </w:tc>
        <w:tc>
          <w:tcPr>
            <w:tcW w:w="1036" w:type="dxa"/>
            <w:shd w:val="clear" w:color="auto" w:fill="auto"/>
          </w:tcPr>
          <w:p w14:paraId="5C5DCC8C" w14:textId="36C78033" w:rsidR="00CB4A31" w:rsidRPr="00CB4A31" w:rsidRDefault="00CB4A31" w:rsidP="00987007">
            <w:pPr>
              <w:pStyle w:val="TableFigures"/>
            </w:pPr>
            <w:r w:rsidRPr="00CB4A31">
              <w:t>30</w:t>
            </w:r>
          </w:p>
        </w:tc>
        <w:tc>
          <w:tcPr>
            <w:tcW w:w="1147" w:type="dxa"/>
            <w:shd w:val="clear" w:color="auto" w:fill="auto"/>
          </w:tcPr>
          <w:p w14:paraId="157CF13A" w14:textId="0D633D55" w:rsidR="00CB4A31" w:rsidRPr="00CB4A31" w:rsidRDefault="00CB4A31" w:rsidP="00987007">
            <w:pPr>
              <w:pStyle w:val="TableFigures"/>
            </w:pPr>
            <w:r w:rsidRPr="00CB4A31">
              <w:t>79</w:t>
            </w:r>
          </w:p>
        </w:tc>
        <w:tc>
          <w:tcPr>
            <w:tcW w:w="1292" w:type="dxa"/>
            <w:shd w:val="clear" w:color="auto" w:fill="auto"/>
          </w:tcPr>
          <w:p w14:paraId="753EF3CA" w14:textId="0404C4A3" w:rsidR="00CB4A31" w:rsidRPr="00CB4A31" w:rsidRDefault="00CB4A31" w:rsidP="00987007">
            <w:pPr>
              <w:pStyle w:val="TableFigures"/>
            </w:pPr>
            <w:r w:rsidRPr="00CB4A31">
              <w:t>1,803</w:t>
            </w:r>
          </w:p>
        </w:tc>
        <w:tc>
          <w:tcPr>
            <w:tcW w:w="1097" w:type="dxa"/>
            <w:shd w:val="clear" w:color="auto" w:fill="auto"/>
          </w:tcPr>
          <w:p w14:paraId="0B1B95A8" w14:textId="176304A4" w:rsidR="00CB4A31" w:rsidRPr="00CB4A31" w:rsidRDefault="00CB4A31" w:rsidP="00987007">
            <w:pPr>
              <w:pStyle w:val="TableFigures"/>
            </w:pPr>
            <w:r w:rsidRPr="00CB4A31">
              <w:t>914</w:t>
            </w:r>
          </w:p>
        </w:tc>
        <w:tc>
          <w:tcPr>
            <w:tcW w:w="1132" w:type="dxa"/>
            <w:shd w:val="clear" w:color="auto" w:fill="auto"/>
          </w:tcPr>
          <w:p w14:paraId="3C48F884" w14:textId="373A0ADB" w:rsidR="00CB4A31" w:rsidRPr="00CB4A31" w:rsidRDefault="00CB4A31" w:rsidP="00987007">
            <w:pPr>
              <w:pStyle w:val="TableFigures"/>
            </w:pPr>
            <w:r w:rsidRPr="00CB4A31">
              <w:t>566</w:t>
            </w:r>
          </w:p>
        </w:tc>
      </w:tr>
      <w:tr w:rsidR="00CB4A31" w:rsidRPr="00CB4A31" w14:paraId="5621966B" w14:textId="77777777" w:rsidTr="002F4806">
        <w:trPr>
          <w:trHeight w:hRule="exact" w:val="216"/>
          <w:jc w:val="right"/>
        </w:trPr>
        <w:tc>
          <w:tcPr>
            <w:tcW w:w="2977" w:type="dxa"/>
            <w:shd w:val="clear" w:color="auto" w:fill="auto"/>
            <w:vAlign w:val="bottom"/>
          </w:tcPr>
          <w:p w14:paraId="0A401311" w14:textId="77777777" w:rsidR="00CB4A31" w:rsidRPr="00CB4A31" w:rsidRDefault="00CB4A31" w:rsidP="002F4806">
            <w:pPr>
              <w:pStyle w:val="TabletextBold"/>
              <w:rPr>
                <w:b w:val="0"/>
                <w:bCs w:val="0"/>
              </w:rPr>
            </w:pPr>
            <w:r w:rsidRPr="00CB4A31">
              <w:rPr>
                <w:b w:val="0"/>
                <w:bCs w:val="0"/>
              </w:rPr>
              <w:t>Central Europe</w:t>
            </w:r>
          </w:p>
        </w:tc>
        <w:tc>
          <w:tcPr>
            <w:tcW w:w="851" w:type="dxa"/>
            <w:shd w:val="clear" w:color="auto" w:fill="auto"/>
          </w:tcPr>
          <w:p w14:paraId="57283ACE" w14:textId="43E08D56" w:rsidR="00CB4A31" w:rsidRPr="00CB4A31" w:rsidRDefault="00CB4A31" w:rsidP="00987007">
            <w:pPr>
              <w:pStyle w:val="TableFigures"/>
            </w:pPr>
            <w:r w:rsidRPr="00CB4A31">
              <w:t>11</w:t>
            </w:r>
          </w:p>
        </w:tc>
        <w:tc>
          <w:tcPr>
            <w:tcW w:w="935" w:type="dxa"/>
            <w:shd w:val="clear" w:color="auto" w:fill="auto"/>
          </w:tcPr>
          <w:p w14:paraId="3D64E38D" w14:textId="0B7D99B4" w:rsidR="00CB4A31" w:rsidRPr="00CB4A31" w:rsidRDefault="00CB4A31" w:rsidP="00987007">
            <w:pPr>
              <w:pStyle w:val="TableFigures"/>
            </w:pPr>
            <w:r w:rsidRPr="00CB4A31">
              <w:t>4</w:t>
            </w:r>
          </w:p>
        </w:tc>
        <w:tc>
          <w:tcPr>
            <w:tcW w:w="1036" w:type="dxa"/>
            <w:shd w:val="clear" w:color="auto" w:fill="auto"/>
          </w:tcPr>
          <w:p w14:paraId="627A7595" w14:textId="739D0E72" w:rsidR="00CB4A31" w:rsidRPr="00CB4A31" w:rsidRDefault="00CB4A31" w:rsidP="00987007">
            <w:pPr>
              <w:pStyle w:val="TableFigures"/>
            </w:pPr>
            <w:r w:rsidRPr="00CB4A31">
              <w:t>22</w:t>
            </w:r>
          </w:p>
        </w:tc>
        <w:tc>
          <w:tcPr>
            <w:tcW w:w="1147" w:type="dxa"/>
            <w:shd w:val="clear" w:color="auto" w:fill="auto"/>
          </w:tcPr>
          <w:p w14:paraId="0EFDBB69" w14:textId="26A040F7" w:rsidR="00CB4A31" w:rsidRPr="00CB4A31" w:rsidRDefault="00CB4A31" w:rsidP="00987007">
            <w:pPr>
              <w:pStyle w:val="TableFigures"/>
            </w:pPr>
            <w:r w:rsidRPr="00CB4A31">
              <w:t>30</w:t>
            </w:r>
          </w:p>
        </w:tc>
        <w:tc>
          <w:tcPr>
            <w:tcW w:w="1292" w:type="dxa"/>
            <w:shd w:val="clear" w:color="auto" w:fill="auto"/>
          </w:tcPr>
          <w:p w14:paraId="370B5C4C" w14:textId="2F7EED80" w:rsidR="00CB4A31" w:rsidRPr="00CB4A31" w:rsidRDefault="00CB4A31" w:rsidP="00987007">
            <w:pPr>
              <w:pStyle w:val="TableFigures"/>
            </w:pPr>
            <w:r w:rsidRPr="00CB4A31">
              <w:t>151</w:t>
            </w:r>
          </w:p>
        </w:tc>
        <w:tc>
          <w:tcPr>
            <w:tcW w:w="1097" w:type="dxa"/>
            <w:shd w:val="clear" w:color="auto" w:fill="auto"/>
          </w:tcPr>
          <w:p w14:paraId="49E0AF71" w14:textId="0908D6FC" w:rsidR="00CB4A31" w:rsidRPr="00CB4A31" w:rsidRDefault="00CB4A31" w:rsidP="00987007">
            <w:pPr>
              <w:pStyle w:val="TableFigures"/>
            </w:pPr>
            <w:r w:rsidRPr="00CB4A31">
              <w:t>496</w:t>
            </w:r>
          </w:p>
        </w:tc>
        <w:tc>
          <w:tcPr>
            <w:tcW w:w="1132" w:type="dxa"/>
            <w:shd w:val="clear" w:color="auto" w:fill="auto"/>
          </w:tcPr>
          <w:p w14:paraId="4BB7681A" w14:textId="429BF19C" w:rsidR="00CB4A31" w:rsidRPr="00CB4A31" w:rsidRDefault="00CB4A31" w:rsidP="00987007">
            <w:pPr>
              <w:pStyle w:val="TableFigures"/>
            </w:pPr>
            <w:r w:rsidRPr="00CB4A31">
              <w:t>4</w:t>
            </w:r>
          </w:p>
        </w:tc>
      </w:tr>
      <w:tr w:rsidR="00CB4A31" w:rsidRPr="00CB4A31" w14:paraId="7823135A" w14:textId="77777777" w:rsidTr="002F4806">
        <w:trPr>
          <w:jc w:val="right"/>
        </w:trPr>
        <w:tc>
          <w:tcPr>
            <w:tcW w:w="2977" w:type="dxa"/>
            <w:tcBorders>
              <w:bottom w:val="single" w:sz="4" w:space="0" w:color="999999"/>
            </w:tcBorders>
            <w:shd w:val="clear" w:color="auto" w:fill="auto"/>
            <w:vAlign w:val="bottom"/>
          </w:tcPr>
          <w:p w14:paraId="61947311" w14:textId="42F2C825" w:rsidR="00CB4A31" w:rsidRPr="00CB4A31" w:rsidRDefault="00CB4A31" w:rsidP="002F4806">
            <w:pPr>
              <w:pStyle w:val="TabletextBold"/>
              <w:rPr>
                <w:b w:val="0"/>
                <w:bCs w:val="0"/>
              </w:rPr>
            </w:pPr>
            <w:r w:rsidRPr="00CB4A31">
              <w:rPr>
                <w:b w:val="0"/>
                <w:bCs w:val="0"/>
              </w:rPr>
              <w:t>Other</w:t>
            </w:r>
          </w:p>
        </w:tc>
        <w:tc>
          <w:tcPr>
            <w:tcW w:w="851" w:type="dxa"/>
            <w:tcBorders>
              <w:bottom w:val="single" w:sz="4" w:space="0" w:color="999999"/>
            </w:tcBorders>
            <w:shd w:val="clear" w:color="auto" w:fill="auto"/>
          </w:tcPr>
          <w:p w14:paraId="170F381B" w14:textId="77777777" w:rsidR="00CB4A31" w:rsidRPr="00CB4A31" w:rsidRDefault="00CB4A31" w:rsidP="002F4806">
            <w:pPr>
              <w:pStyle w:val="TableFiguresBold0"/>
              <w:rPr>
                <w:b w:val="0"/>
                <w:bCs w:val="0"/>
              </w:rPr>
            </w:pPr>
            <w:r w:rsidRPr="00CB4A31">
              <w:rPr>
                <w:b w:val="0"/>
                <w:bCs w:val="0"/>
              </w:rPr>
              <w:t>–</w:t>
            </w:r>
          </w:p>
        </w:tc>
        <w:tc>
          <w:tcPr>
            <w:tcW w:w="935" w:type="dxa"/>
            <w:tcBorders>
              <w:bottom w:val="single" w:sz="4" w:space="0" w:color="999999"/>
            </w:tcBorders>
            <w:shd w:val="clear" w:color="auto" w:fill="auto"/>
          </w:tcPr>
          <w:p w14:paraId="3DE830FC" w14:textId="57B01F42" w:rsidR="00CB4A31" w:rsidRPr="00CB4A31" w:rsidRDefault="00CB4A31" w:rsidP="002F4806">
            <w:pPr>
              <w:pStyle w:val="TableFiguresBracketsBold"/>
              <w:rPr>
                <w:b w:val="0"/>
                <w:bCs w:val="0"/>
              </w:rPr>
            </w:pPr>
            <w:r w:rsidRPr="00CB4A31">
              <w:rPr>
                <w:b w:val="0"/>
                <w:bCs w:val="0"/>
              </w:rPr>
              <w:t>(13)</w:t>
            </w:r>
            <w:r w:rsidRPr="00CB4A31">
              <w:rPr>
                <w:b w:val="0"/>
                <w:bCs w:val="0"/>
                <w:vertAlign w:val="superscript"/>
              </w:rPr>
              <w:t>1</w:t>
            </w:r>
          </w:p>
        </w:tc>
        <w:tc>
          <w:tcPr>
            <w:tcW w:w="1036" w:type="dxa"/>
            <w:tcBorders>
              <w:bottom w:val="single" w:sz="4" w:space="0" w:color="999999"/>
            </w:tcBorders>
            <w:shd w:val="clear" w:color="auto" w:fill="auto"/>
          </w:tcPr>
          <w:p w14:paraId="0FAC10D6" w14:textId="4CEF863D" w:rsidR="00CB4A31" w:rsidRPr="00CB4A31" w:rsidRDefault="00CB4A31" w:rsidP="002F4806">
            <w:pPr>
              <w:pStyle w:val="TableFiguresBracketsBold"/>
              <w:rPr>
                <w:b w:val="0"/>
                <w:bCs w:val="0"/>
              </w:rPr>
            </w:pPr>
            <w:r w:rsidRPr="00CB4A31">
              <w:rPr>
                <w:b w:val="0"/>
                <w:bCs w:val="0"/>
              </w:rPr>
              <w:t>(16)</w:t>
            </w:r>
            <w:r w:rsidRPr="00CB4A31">
              <w:rPr>
                <w:b w:val="0"/>
                <w:bCs w:val="0"/>
                <w:vertAlign w:val="superscript"/>
              </w:rPr>
              <w:t>1</w:t>
            </w:r>
          </w:p>
        </w:tc>
        <w:tc>
          <w:tcPr>
            <w:tcW w:w="1147" w:type="dxa"/>
            <w:tcBorders>
              <w:bottom w:val="single" w:sz="4" w:space="0" w:color="999999"/>
            </w:tcBorders>
            <w:shd w:val="clear" w:color="auto" w:fill="auto"/>
          </w:tcPr>
          <w:p w14:paraId="570E9AB0" w14:textId="3A5FC03A" w:rsidR="00CB4A31" w:rsidRPr="00CB4A31" w:rsidRDefault="00CB4A31" w:rsidP="002F4806">
            <w:pPr>
              <w:pStyle w:val="TableFiguresBracketsBold"/>
              <w:rPr>
                <w:b w:val="0"/>
                <w:bCs w:val="0"/>
              </w:rPr>
            </w:pPr>
            <w:r w:rsidRPr="00CB4A31">
              <w:rPr>
                <w:b w:val="0"/>
                <w:bCs w:val="0"/>
              </w:rPr>
              <w:t>(68)</w:t>
            </w:r>
            <w:r w:rsidRPr="00CB4A31">
              <w:rPr>
                <w:b w:val="0"/>
                <w:bCs w:val="0"/>
                <w:vertAlign w:val="superscript"/>
              </w:rPr>
              <w:t>1</w:t>
            </w:r>
          </w:p>
        </w:tc>
        <w:tc>
          <w:tcPr>
            <w:tcW w:w="1292" w:type="dxa"/>
            <w:tcBorders>
              <w:bottom w:val="single" w:sz="4" w:space="0" w:color="999999"/>
            </w:tcBorders>
            <w:shd w:val="clear" w:color="auto" w:fill="auto"/>
          </w:tcPr>
          <w:p w14:paraId="66512D93" w14:textId="77777777" w:rsidR="00CB4A31" w:rsidRPr="00CB4A31" w:rsidRDefault="00CB4A31" w:rsidP="002F4806">
            <w:pPr>
              <w:pStyle w:val="TableFiguresBold0"/>
              <w:rPr>
                <w:b w:val="0"/>
                <w:bCs w:val="0"/>
              </w:rPr>
            </w:pPr>
            <w:r w:rsidRPr="00CB4A31">
              <w:rPr>
                <w:b w:val="0"/>
                <w:bCs w:val="0"/>
              </w:rPr>
              <w:t>–</w:t>
            </w:r>
          </w:p>
        </w:tc>
        <w:tc>
          <w:tcPr>
            <w:tcW w:w="1097" w:type="dxa"/>
            <w:tcBorders>
              <w:bottom w:val="single" w:sz="4" w:space="0" w:color="999999"/>
            </w:tcBorders>
            <w:shd w:val="clear" w:color="auto" w:fill="auto"/>
          </w:tcPr>
          <w:p w14:paraId="534E3FDC" w14:textId="2BAF42E8" w:rsidR="00CB4A31" w:rsidRPr="00CB4A31" w:rsidRDefault="00CB4A31" w:rsidP="002F4806">
            <w:pPr>
              <w:pStyle w:val="TableFiguresBracketsBold"/>
              <w:rPr>
                <w:b w:val="0"/>
                <w:bCs w:val="0"/>
              </w:rPr>
            </w:pPr>
            <w:r w:rsidRPr="00CB4A31">
              <w:rPr>
                <w:b w:val="0"/>
                <w:bCs w:val="0"/>
              </w:rPr>
              <w:t>(791)</w:t>
            </w:r>
            <w:r w:rsidRPr="00CB4A31">
              <w:rPr>
                <w:b w:val="0"/>
                <w:bCs w:val="0"/>
                <w:vertAlign w:val="superscript"/>
              </w:rPr>
              <w:t>4</w:t>
            </w:r>
          </w:p>
        </w:tc>
        <w:tc>
          <w:tcPr>
            <w:tcW w:w="1132" w:type="dxa"/>
            <w:tcBorders>
              <w:bottom w:val="single" w:sz="4" w:space="0" w:color="999999"/>
            </w:tcBorders>
            <w:shd w:val="clear" w:color="auto" w:fill="auto"/>
          </w:tcPr>
          <w:p w14:paraId="7BF4C47E" w14:textId="78D68992" w:rsidR="00CB4A31" w:rsidRPr="00CB4A31" w:rsidRDefault="00CB4A31" w:rsidP="002F4806">
            <w:pPr>
              <w:pStyle w:val="TableFiguresBold0"/>
              <w:rPr>
                <w:b w:val="0"/>
                <w:bCs w:val="0"/>
              </w:rPr>
            </w:pPr>
            <w:r w:rsidRPr="00CB4A31">
              <w:rPr>
                <w:b w:val="0"/>
                <w:bCs w:val="0"/>
              </w:rPr>
              <w:t>5</w:t>
            </w:r>
          </w:p>
        </w:tc>
      </w:tr>
      <w:tr w:rsidR="00CB4A31" w:rsidRPr="00CB4A31" w14:paraId="2FE3A6EC" w14:textId="77777777" w:rsidTr="002F4806">
        <w:trPr>
          <w:jc w:val="right"/>
        </w:trPr>
        <w:tc>
          <w:tcPr>
            <w:tcW w:w="2977" w:type="dxa"/>
            <w:tcBorders>
              <w:top w:val="single" w:sz="4" w:space="0" w:color="999999"/>
              <w:bottom w:val="single" w:sz="8" w:space="0" w:color="999999"/>
            </w:tcBorders>
            <w:shd w:val="clear" w:color="auto" w:fill="auto"/>
            <w:vAlign w:val="bottom"/>
          </w:tcPr>
          <w:p w14:paraId="74AA4E04" w14:textId="77777777" w:rsidR="00CB4A31" w:rsidRPr="00CB4A31" w:rsidRDefault="00CB4A31" w:rsidP="002F4806">
            <w:pPr>
              <w:pStyle w:val="TabletextBold"/>
              <w:rPr>
                <w:b w:val="0"/>
                <w:bCs w:val="0"/>
              </w:rPr>
            </w:pPr>
            <w:r w:rsidRPr="00CB4A31">
              <w:rPr>
                <w:b w:val="0"/>
                <w:bCs w:val="0"/>
              </w:rPr>
              <w:t>Total</w:t>
            </w:r>
          </w:p>
        </w:tc>
        <w:tc>
          <w:tcPr>
            <w:tcW w:w="851" w:type="dxa"/>
            <w:tcBorders>
              <w:top w:val="single" w:sz="4" w:space="0" w:color="999999"/>
              <w:bottom w:val="single" w:sz="8" w:space="0" w:color="999999"/>
            </w:tcBorders>
            <w:shd w:val="clear" w:color="auto" w:fill="auto"/>
          </w:tcPr>
          <w:p w14:paraId="447FE611" w14:textId="785C20DD" w:rsidR="00CB4A31" w:rsidRPr="00CB4A31" w:rsidRDefault="00CB4A31" w:rsidP="002F4806">
            <w:pPr>
              <w:pStyle w:val="TableFiguresBold0"/>
              <w:rPr>
                <w:b w:val="0"/>
                <w:bCs w:val="0"/>
              </w:rPr>
            </w:pPr>
            <w:r w:rsidRPr="00CB4A31">
              <w:rPr>
                <w:b w:val="0"/>
                <w:bCs w:val="0"/>
              </w:rPr>
              <w:t>393</w:t>
            </w:r>
          </w:p>
        </w:tc>
        <w:tc>
          <w:tcPr>
            <w:tcW w:w="935" w:type="dxa"/>
            <w:tcBorders>
              <w:top w:val="single" w:sz="4" w:space="0" w:color="999999"/>
              <w:bottom w:val="single" w:sz="8" w:space="0" w:color="999999"/>
            </w:tcBorders>
            <w:shd w:val="clear" w:color="auto" w:fill="auto"/>
          </w:tcPr>
          <w:p w14:paraId="79A9E254" w14:textId="1A944580" w:rsidR="00CB4A31" w:rsidRPr="00CB4A31" w:rsidRDefault="00CB4A31" w:rsidP="002F4806">
            <w:pPr>
              <w:pStyle w:val="TableFiguresBold0"/>
              <w:rPr>
                <w:b w:val="0"/>
                <w:bCs w:val="0"/>
              </w:rPr>
            </w:pPr>
            <w:r w:rsidRPr="00CB4A31">
              <w:rPr>
                <w:b w:val="0"/>
                <w:bCs w:val="0"/>
              </w:rPr>
              <w:t>305</w:t>
            </w:r>
          </w:p>
        </w:tc>
        <w:tc>
          <w:tcPr>
            <w:tcW w:w="1036" w:type="dxa"/>
            <w:tcBorders>
              <w:top w:val="single" w:sz="4" w:space="0" w:color="999999"/>
              <w:bottom w:val="single" w:sz="8" w:space="0" w:color="999999"/>
            </w:tcBorders>
            <w:shd w:val="clear" w:color="auto" w:fill="auto"/>
          </w:tcPr>
          <w:p w14:paraId="055CADA6" w14:textId="31ACEC22" w:rsidR="00CB4A31" w:rsidRPr="00CB4A31" w:rsidRDefault="00CB4A31" w:rsidP="002F4806">
            <w:pPr>
              <w:pStyle w:val="TableFiguresBold0"/>
              <w:rPr>
                <w:b w:val="0"/>
                <w:bCs w:val="0"/>
              </w:rPr>
            </w:pPr>
            <w:r w:rsidRPr="00CB4A31">
              <w:rPr>
                <w:b w:val="0"/>
                <w:bCs w:val="0"/>
              </w:rPr>
              <w:t>61</w:t>
            </w:r>
          </w:p>
        </w:tc>
        <w:tc>
          <w:tcPr>
            <w:tcW w:w="1147" w:type="dxa"/>
            <w:tcBorders>
              <w:top w:val="single" w:sz="4" w:space="0" w:color="999999"/>
              <w:bottom w:val="single" w:sz="8" w:space="0" w:color="999999"/>
            </w:tcBorders>
            <w:shd w:val="clear" w:color="auto" w:fill="auto"/>
          </w:tcPr>
          <w:p w14:paraId="4F7E79F8" w14:textId="240D6633" w:rsidR="00CB4A31" w:rsidRPr="00CB4A31" w:rsidRDefault="00CB4A31" w:rsidP="002F4806">
            <w:pPr>
              <w:pStyle w:val="TableFiguresBold0"/>
              <w:rPr>
                <w:b w:val="0"/>
                <w:bCs w:val="0"/>
              </w:rPr>
            </w:pPr>
            <w:r w:rsidRPr="00CB4A31">
              <w:rPr>
                <w:b w:val="0"/>
                <w:bCs w:val="0"/>
              </w:rPr>
              <w:t>336</w:t>
            </w:r>
          </w:p>
        </w:tc>
        <w:tc>
          <w:tcPr>
            <w:tcW w:w="1292" w:type="dxa"/>
            <w:tcBorders>
              <w:top w:val="single" w:sz="4" w:space="0" w:color="999999"/>
              <w:bottom w:val="single" w:sz="8" w:space="0" w:color="999999"/>
            </w:tcBorders>
            <w:shd w:val="clear" w:color="auto" w:fill="auto"/>
          </w:tcPr>
          <w:p w14:paraId="4219EF91" w14:textId="1D5F8959" w:rsidR="00CB4A31" w:rsidRPr="00CB4A31" w:rsidRDefault="00CB4A31" w:rsidP="002F4806">
            <w:pPr>
              <w:pStyle w:val="TableFiguresBold0"/>
              <w:rPr>
                <w:b w:val="0"/>
                <w:bCs w:val="0"/>
              </w:rPr>
            </w:pPr>
            <w:r w:rsidRPr="00CB4A31">
              <w:rPr>
                <w:b w:val="0"/>
                <w:bCs w:val="0"/>
              </w:rPr>
              <w:t>10,723</w:t>
            </w:r>
          </w:p>
        </w:tc>
        <w:tc>
          <w:tcPr>
            <w:tcW w:w="1097" w:type="dxa"/>
            <w:tcBorders>
              <w:top w:val="single" w:sz="4" w:space="0" w:color="999999"/>
              <w:bottom w:val="single" w:sz="8" w:space="0" w:color="999999"/>
            </w:tcBorders>
            <w:shd w:val="clear" w:color="auto" w:fill="auto"/>
          </w:tcPr>
          <w:p w14:paraId="78086AA9" w14:textId="1F8E927E" w:rsidR="00CB4A31" w:rsidRPr="00CB4A31" w:rsidRDefault="00CB4A31" w:rsidP="002F4806">
            <w:pPr>
              <w:pStyle w:val="TableFiguresBold0"/>
              <w:rPr>
                <w:b w:val="0"/>
                <w:bCs w:val="0"/>
              </w:rPr>
            </w:pPr>
            <w:r w:rsidRPr="00CB4A31">
              <w:rPr>
                <w:b w:val="0"/>
                <w:bCs w:val="0"/>
              </w:rPr>
              <w:t>1,423</w:t>
            </w:r>
          </w:p>
        </w:tc>
        <w:tc>
          <w:tcPr>
            <w:tcW w:w="1132" w:type="dxa"/>
            <w:tcBorders>
              <w:top w:val="single" w:sz="4" w:space="0" w:color="999999"/>
              <w:bottom w:val="single" w:sz="8" w:space="0" w:color="999999"/>
            </w:tcBorders>
            <w:shd w:val="clear" w:color="auto" w:fill="auto"/>
          </w:tcPr>
          <w:p w14:paraId="75F0BF31" w14:textId="450169AB" w:rsidR="00CB4A31" w:rsidRPr="00CB4A31" w:rsidRDefault="00CB4A31" w:rsidP="002F4806">
            <w:pPr>
              <w:pStyle w:val="TableFiguresBold0"/>
              <w:rPr>
                <w:b w:val="0"/>
                <w:bCs w:val="0"/>
              </w:rPr>
            </w:pPr>
            <w:r w:rsidRPr="00CB4A31">
              <w:rPr>
                <w:b w:val="0"/>
                <w:bCs w:val="0"/>
              </w:rPr>
              <w:t>1</w:t>
            </w:r>
            <w:r w:rsidR="00FF04DA">
              <w:rPr>
                <w:b w:val="0"/>
                <w:bCs w:val="0"/>
              </w:rPr>
              <w:t>,</w:t>
            </w:r>
            <w:r w:rsidRPr="00CB4A31">
              <w:rPr>
                <w:b w:val="0"/>
                <w:bCs w:val="0"/>
              </w:rPr>
              <w:t>382</w:t>
            </w:r>
          </w:p>
        </w:tc>
      </w:tr>
    </w:tbl>
    <w:p w14:paraId="7E3FC83B" w14:textId="6FF16D93" w:rsidR="00CB4A31" w:rsidRDefault="00CB4A31" w:rsidP="005E793C">
      <w:pPr>
        <w:pStyle w:val="FootnotesNoSpace"/>
        <w:ind w:left="142" w:hanging="142"/>
        <w:rPr>
          <w:i w:val="0"/>
          <w:iCs/>
          <w:color w:val="FF0000"/>
          <w:highlight w:val="yellow"/>
        </w:rPr>
      </w:pPr>
    </w:p>
    <w:p w14:paraId="5A48A7EE" w14:textId="623F91FF" w:rsidR="00CB4A31" w:rsidRPr="00CB4A31" w:rsidRDefault="00CB4A31" w:rsidP="00CB4A31">
      <w:pPr>
        <w:pStyle w:val="FootnotesNoSpace"/>
        <w:numPr>
          <w:ilvl w:val="0"/>
          <w:numId w:val="42"/>
        </w:numPr>
        <w:rPr>
          <w:color w:val="FF0000"/>
        </w:rPr>
      </w:pPr>
      <w:r>
        <w:t>‘Other’ category includes the corporate centre, SELP holding companies and costs relating to the operational business which are not specifically allocated to a geographical Business Unit. Additionally</w:t>
      </w:r>
      <w:r w:rsidR="00BE017A">
        <w:t>,</w:t>
      </w:r>
      <w:r>
        <w:t xml:space="preserve"> in 2021 the impact of the SELP performance fee (detailed in Note </w:t>
      </w:r>
      <w:r w:rsidR="00E7751B">
        <w:t>6</w:t>
      </w:r>
      <w:r>
        <w:t xml:space="preserve">) on Share of joint ventures Adjusted profit (being the performance fee expense recognised by SELP of £13 million) and Adjusted PBIT (being the net profit impact to the Group of £13 million) is shown within Other. </w:t>
      </w:r>
    </w:p>
    <w:p w14:paraId="5734FFBD" w14:textId="77777777" w:rsidR="00CB4A31" w:rsidRPr="00CB4A31" w:rsidRDefault="00CB4A31" w:rsidP="00CB4A31">
      <w:pPr>
        <w:pStyle w:val="FootnotesNoSpace"/>
        <w:numPr>
          <w:ilvl w:val="0"/>
          <w:numId w:val="42"/>
        </w:numPr>
        <w:rPr>
          <w:color w:val="FF0000"/>
        </w:rPr>
      </w:pPr>
      <w:r>
        <w:t xml:space="preserve">A reconciliation of total Adjusted PBIT to the IFRS profit before tax is provided in Note 2. </w:t>
      </w:r>
    </w:p>
    <w:p w14:paraId="702E6B27" w14:textId="3BD0CB6A" w:rsidR="00CB4A31" w:rsidRPr="00CB4A31" w:rsidRDefault="00CB4A31" w:rsidP="00CB4A31">
      <w:pPr>
        <w:pStyle w:val="FootnotesNoSpace"/>
        <w:numPr>
          <w:ilvl w:val="0"/>
          <w:numId w:val="42"/>
        </w:numPr>
        <w:rPr>
          <w:color w:val="FF0000"/>
        </w:rPr>
      </w:pPr>
      <w:r>
        <w:t>Capital expenditure includes additions and acquisitions of investment and trading properties but does not include tenant incentives, letting fees and rental guarantees. Part of the capital expenditure incurred is in response to climate change including the reduction of the carbon footprint of the Group’s existing investment properties and developments.</w:t>
      </w:r>
      <w:r w:rsidR="00E7751B">
        <w:t xml:space="preserve"> </w:t>
      </w:r>
      <w:r>
        <w:t xml:space="preserve">The ‘Other’ category includes non-property related spend, primarily IT. </w:t>
      </w:r>
    </w:p>
    <w:p w14:paraId="77BA4614" w14:textId="038FAC99" w:rsidR="00930BAC" w:rsidRPr="005F6D8A" w:rsidRDefault="00CB4A31" w:rsidP="00CB4A31">
      <w:pPr>
        <w:pStyle w:val="FootnotesNoSpace"/>
        <w:numPr>
          <w:ilvl w:val="0"/>
          <w:numId w:val="42"/>
        </w:numPr>
        <w:rPr>
          <w:color w:val="FF0000"/>
        </w:rPr>
      </w:pPr>
      <w:r>
        <w:t>Includes the bonds held by SELP Finance S.à r.l, a Luxembourg entity.</w:t>
      </w:r>
    </w:p>
    <w:p w14:paraId="73F56B81" w14:textId="77777777" w:rsidR="00CB4A31" w:rsidRDefault="00CB4A31" w:rsidP="005E793C">
      <w:pPr>
        <w:spacing w:after="0" w:line="240" w:lineRule="auto"/>
        <w:rPr>
          <w:color w:val="FF0000"/>
          <w:highlight w:val="yellow"/>
        </w:rPr>
      </w:pPr>
    </w:p>
    <w:p w14:paraId="44EB5F35" w14:textId="4554F8B7" w:rsidR="005E793C" w:rsidRPr="005F6D8A" w:rsidRDefault="00CB4A31" w:rsidP="00CB4A31">
      <w:pPr>
        <w:pStyle w:val="Normal1"/>
        <w:rPr>
          <w:color w:val="FF0000"/>
          <w:highlight w:val="yellow"/>
        </w:rPr>
      </w:pPr>
      <w:r>
        <w:t>Revenues from the most significant countries within the Group were</w:t>
      </w:r>
      <w:r w:rsidR="00E7751B">
        <w:t>:</w:t>
      </w:r>
      <w:r>
        <w:t xml:space="preserve"> UK £374 million (2020: £278 million), France £71 million (2020: £56 million), Italy £35 million (2020: £39 million), Germany £38 million (2020: £34 million) and Poland £15 million (2020: £15 million).</w:t>
      </w:r>
      <w:r w:rsidR="005E793C" w:rsidRPr="005F6D8A">
        <w:rPr>
          <w:color w:val="FF0000"/>
          <w:highlight w:val="yellow"/>
        </w:rPr>
        <w:br w:type="page"/>
      </w:r>
    </w:p>
    <w:p w14:paraId="14B057E9" w14:textId="77777777" w:rsidR="005E793C" w:rsidRPr="0097732E" w:rsidRDefault="005E793C" w:rsidP="005E793C">
      <w:pPr>
        <w:pStyle w:val="Heading1"/>
        <w:rPr>
          <w:szCs w:val="20"/>
        </w:rPr>
      </w:pPr>
      <w:r w:rsidRPr="0097732E">
        <w:rPr>
          <w:szCs w:val="20"/>
        </w:rPr>
        <w:lastRenderedPageBreak/>
        <w:t>4. REVENUE</w:t>
      </w:r>
    </w:p>
    <w:tbl>
      <w:tblPr>
        <w:tblW w:w="10490" w:type="dxa"/>
        <w:tblLayout w:type="fixed"/>
        <w:tblCellMar>
          <w:left w:w="0" w:type="dxa"/>
          <w:right w:w="0" w:type="dxa"/>
        </w:tblCellMar>
        <w:tblLook w:val="01E0" w:firstRow="1" w:lastRow="1" w:firstColumn="1" w:lastColumn="1" w:noHBand="0" w:noVBand="0"/>
      </w:tblPr>
      <w:tblGrid>
        <w:gridCol w:w="5408"/>
        <w:gridCol w:w="2672"/>
        <w:gridCol w:w="1276"/>
        <w:gridCol w:w="1134"/>
      </w:tblGrid>
      <w:tr w:rsidR="005F6D8A" w:rsidRPr="00DB55A0" w14:paraId="38B1B909" w14:textId="77777777" w:rsidTr="00FA7C8E">
        <w:trPr>
          <w:trHeight w:val="462"/>
        </w:trPr>
        <w:tc>
          <w:tcPr>
            <w:tcW w:w="5408" w:type="dxa"/>
            <w:tcBorders>
              <w:bottom w:val="single" w:sz="8" w:space="0" w:color="999999"/>
            </w:tcBorders>
            <w:shd w:val="clear" w:color="auto" w:fill="auto"/>
            <w:vAlign w:val="bottom"/>
          </w:tcPr>
          <w:p w14:paraId="4C294F73" w14:textId="77777777" w:rsidR="005E793C" w:rsidRPr="00DB55A0" w:rsidRDefault="005E793C" w:rsidP="00E30618">
            <w:pPr>
              <w:pStyle w:val="TableColHeads"/>
              <w:spacing w:line="-180" w:lineRule="auto"/>
            </w:pPr>
          </w:p>
        </w:tc>
        <w:tc>
          <w:tcPr>
            <w:tcW w:w="2672" w:type="dxa"/>
            <w:tcBorders>
              <w:bottom w:val="single" w:sz="8" w:space="0" w:color="999999"/>
            </w:tcBorders>
            <w:shd w:val="clear" w:color="auto" w:fill="auto"/>
            <w:vAlign w:val="bottom"/>
          </w:tcPr>
          <w:p w14:paraId="67D9C564" w14:textId="77777777" w:rsidR="005E793C" w:rsidRPr="00DB55A0" w:rsidRDefault="005E793C" w:rsidP="00E30618">
            <w:pPr>
              <w:pStyle w:val="TableColHeadsBold0"/>
            </w:pPr>
          </w:p>
          <w:p w14:paraId="28768CA2" w14:textId="77777777" w:rsidR="005E793C" w:rsidRPr="00DB55A0" w:rsidRDefault="005E793C" w:rsidP="00E30618">
            <w:pPr>
              <w:pStyle w:val="TableColHeadsBold0"/>
            </w:pPr>
          </w:p>
        </w:tc>
        <w:tc>
          <w:tcPr>
            <w:tcW w:w="1276" w:type="dxa"/>
            <w:tcBorders>
              <w:bottom w:val="single" w:sz="8" w:space="0" w:color="999999"/>
            </w:tcBorders>
            <w:shd w:val="clear" w:color="auto" w:fill="auto"/>
            <w:vAlign w:val="bottom"/>
          </w:tcPr>
          <w:p w14:paraId="66FDEDA1" w14:textId="259F3682" w:rsidR="005E793C" w:rsidRPr="00DB55A0" w:rsidRDefault="005E793C" w:rsidP="00E30618">
            <w:pPr>
              <w:pStyle w:val="TableColHeadsBold0"/>
            </w:pPr>
            <w:r w:rsidRPr="00DB55A0">
              <w:t>20</w:t>
            </w:r>
            <w:r w:rsidR="00200C3E" w:rsidRPr="00DB55A0">
              <w:t>2</w:t>
            </w:r>
            <w:r w:rsidR="0097732E" w:rsidRPr="00DB55A0">
              <w:t>1</w:t>
            </w:r>
          </w:p>
          <w:p w14:paraId="36921DF8" w14:textId="77777777" w:rsidR="005E793C" w:rsidRPr="00DB55A0" w:rsidRDefault="005E793C" w:rsidP="00E30618">
            <w:pPr>
              <w:pStyle w:val="TableColHeadsBold0"/>
              <w:rPr>
                <w:b w:val="0"/>
              </w:rPr>
            </w:pPr>
            <w:r w:rsidRPr="00DB55A0">
              <w:t>£m</w:t>
            </w:r>
          </w:p>
        </w:tc>
        <w:tc>
          <w:tcPr>
            <w:tcW w:w="1134" w:type="dxa"/>
            <w:tcBorders>
              <w:bottom w:val="single" w:sz="8" w:space="0" w:color="999999"/>
            </w:tcBorders>
            <w:shd w:val="clear" w:color="auto" w:fill="auto"/>
            <w:vAlign w:val="bottom"/>
          </w:tcPr>
          <w:p w14:paraId="1E947CD3" w14:textId="3D53DE6F" w:rsidR="005E793C" w:rsidRPr="00DB55A0" w:rsidRDefault="005E793C" w:rsidP="00E30618">
            <w:pPr>
              <w:pStyle w:val="TableColHeadsBold0"/>
              <w:rPr>
                <w:b w:val="0"/>
              </w:rPr>
            </w:pPr>
            <w:r w:rsidRPr="00DB55A0">
              <w:rPr>
                <w:b w:val="0"/>
              </w:rPr>
              <w:t>20</w:t>
            </w:r>
            <w:r w:rsidR="0097732E" w:rsidRPr="00DB55A0">
              <w:rPr>
                <w:b w:val="0"/>
              </w:rPr>
              <w:t>20</w:t>
            </w:r>
          </w:p>
          <w:p w14:paraId="41857A4D" w14:textId="77777777" w:rsidR="005E793C" w:rsidRPr="00DB55A0" w:rsidRDefault="005E793C" w:rsidP="00E30618">
            <w:pPr>
              <w:pStyle w:val="TableColHeadsBold0"/>
              <w:rPr>
                <w:b w:val="0"/>
              </w:rPr>
            </w:pPr>
            <w:r w:rsidRPr="00DB55A0">
              <w:rPr>
                <w:b w:val="0"/>
              </w:rPr>
              <w:t>£m</w:t>
            </w:r>
          </w:p>
        </w:tc>
      </w:tr>
      <w:tr w:rsidR="005F6D8A" w:rsidRPr="00DB55A0" w14:paraId="67F343B1" w14:textId="77777777" w:rsidTr="002B0BDC">
        <w:tc>
          <w:tcPr>
            <w:tcW w:w="5408" w:type="dxa"/>
            <w:tcBorders>
              <w:top w:val="single" w:sz="8" w:space="0" w:color="999999"/>
            </w:tcBorders>
            <w:shd w:val="clear" w:color="auto" w:fill="auto"/>
            <w:vAlign w:val="bottom"/>
          </w:tcPr>
          <w:p w14:paraId="151458AD" w14:textId="77777777" w:rsidR="00200C3E" w:rsidRPr="00DB55A0" w:rsidRDefault="00200C3E" w:rsidP="00200C3E">
            <w:pPr>
              <w:pStyle w:val="Tabletext"/>
            </w:pPr>
            <w:r w:rsidRPr="00DB55A0">
              <w:t>Rental income from investment and trading properties</w:t>
            </w:r>
          </w:p>
        </w:tc>
        <w:tc>
          <w:tcPr>
            <w:tcW w:w="2672" w:type="dxa"/>
            <w:tcBorders>
              <w:top w:val="single" w:sz="8" w:space="0" w:color="999999"/>
            </w:tcBorders>
            <w:shd w:val="clear" w:color="auto" w:fill="auto"/>
            <w:vAlign w:val="bottom"/>
          </w:tcPr>
          <w:p w14:paraId="489AA67C" w14:textId="77777777" w:rsidR="00200C3E" w:rsidRPr="00DB55A0" w:rsidRDefault="00200C3E" w:rsidP="00200C3E">
            <w:pPr>
              <w:pStyle w:val="TableFiguresBold0"/>
            </w:pPr>
          </w:p>
        </w:tc>
        <w:tc>
          <w:tcPr>
            <w:tcW w:w="1276" w:type="dxa"/>
            <w:tcBorders>
              <w:top w:val="single" w:sz="8" w:space="0" w:color="999999"/>
            </w:tcBorders>
            <w:shd w:val="clear" w:color="auto" w:fill="auto"/>
          </w:tcPr>
          <w:p w14:paraId="6FF1C161" w14:textId="4D02C6A4" w:rsidR="00200C3E" w:rsidRPr="00DB55A0" w:rsidRDefault="0097732E" w:rsidP="00FD1A13">
            <w:pPr>
              <w:pStyle w:val="TableFiguresBold0"/>
            </w:pPr>
            <w:r w:rsidRPr="00DB55A0">
              <w:t>386</w:t>
            </w:r>
          </w:p>
        </w:tc>
        <w:tc>
          <w:tcPr>
            <w:tcW w:w="1134" w:type="dxa"/>
            <w:tcBorders>
              <w:top w:val="single" w:sz="8" w:space="0" w:color="999999"/>
            </w:tcBorders>
            <w:shd w:val="clear" w:color="auto" w:fill="auto"/>
            <w:vAlign w:val="bottom"/>
          </w:tcPr>
          <w:p w14:paraId="28949A61" w14:textId="3214D701" w:rsidR="00200C3E" w:rsidRPr="00FD1A13" w:rsidRDefault="0097732E" w:rsidP="00FD1A13">
            <w:pPr>
              <w:pStyle w:val="TableFigures"/>
            </w:pPr>
            <w:r w:rsidRPr="00FD1A13">
              <w:t>336</w:t>
            </w:r>
          </w:p>
        </w:tc>
      </w:tr>
      <w:tr w:rsidR="005F6D8A" w:rsidRPr="00DB55A0" w14:paraId="054E301F" w14:textId="77777777" w:rsidTr="002B0BDC">
        <w:tc>
          <w:tcPr>
            <w:tcW w:w="5408" w:type="dxa"/>
            <w:shd w:val="clear" w:color="auto" w:fill="auto"/>
            <w:vAlign w:val="bottom"/>
          </w:tcPr>
          <w:p w14:paraId="7A78CFF0" w14:textId="77777777" w:rsidR="00200C3E" w:rsidRPr="00DB55A0" w:rsidRDefault="00200C3E" w:rsidP="00200C3E">
            <w:pPr>
              <w:pStyle w:val="Tabletext"/>
            </w:pPr>
            <w:r w:rsidRPr="00DB55A0">
              <w:t>Rent averaging</w:t>
            </w:r>
          </w:p>
        </w:tc>
        <w:tc>
          <w:tcPr>
            <w:tcW w:w="2672" w:type="dxa"/>
            <w:shd w:val="clear" w:color="auto" w:fill="auto"/>
            <w:vAlign w:val="bottom"/>
          </w:tcPr>
          <w:p w14:paraId="07CE26F2" w14:textId="77777777" w:rsidR="00200C3E" w:rsidRPr="00DB55A0" w:rsidRDefault="00200C3E" w:rsidP="00200C3E">
            <w:pPr>
              <w:pStyle w:val="TableFiguresBold0"/>
            </w:pPr>
          </w:p>
        </w:tc>
        <w:tc>
          <w:tcPr>
            <w:tcW w:w="1276" w:type="dxa"/>
            <w:shd w:val="clear" w:color="auto" w:fill="auto"/>
          </w:tcPr>
          <w:p w14:paraId="0AB8D607" w14:textId="058F1034" w:rsidR="00200C3E" w:rsidRPr="00DB55A0" w:rsidRDefault="0097732E" w:rsidP="00FD1A13">
            <w:pPr>
              <w:pStyle w:val="TableFiguresBold0"/>
            </w:pPr>
            <w:r w:rsidRPr="00DB55A0">
              <w:t>13</w:t>
            </w:r>
          </w:p>
        </w:tc>
        <w:tc>
          <w:tcPr>
            <w:tcW w:w="1134" w:type="dxa"/>
            <w:shd w:val="clear" w:color="auto" w:fill="auto"/>
            <w:vAlign w:val="bottom"/>
          </w:tcPr>
          <w:p w14:paraId="6FF78249" w14:textId="331A6108" w:rsidR="00200C3E" w:rsidRPr="00FD1A13" w:rsidRDefault="0097732E" w:rsidP="00FD1A13">
            <w:pPr>
              <w:pStyle w:val="TableFigures"/>
            </w:pPr>
            <w:r w:rsidRPr="00FD1A13">
              <w:t>18</w:t>
            </w:r>
          </w:p>
        </w:tc>
      </w:tr>
      <w:tr w:rsidR="005F6D8A" w:rsidRPr="00DB55A0" w14:paraId="03446D2C" w14:textId="77777777" w:rsidTr="002B0BDC">
        <w:tc>
          <w:tcPr>
            <w:tcW w:w="5408" w:type="dxa"/>
            <w:shd w:val="clear" w:color="auto" w:fill="auto"/>
            <w:vAlign w:val="bottom"/>
          </w:tcPr>
          <w:p w14:paraId="78357624" w14:textId="5A15D353" w:rsidR="00200C3E" w:rsidRPr="00DB55A0" w:rsidRDefault="00200C3E" w:rsidP="00200C3E">
            <w:pPr>
              <w:pStyle w:val="Tabletext"/>
            </w:pPr>
            <w:r w:rsidRPr="00DB55A0">
              <w:t>Service charge income*</w:t>
            </w:r>
          </w:p>
        </w:tc>
        <w:tc>
          <w:tcPr>
            <w:tcW w:w="2672" w:type="dxa"/>
            <w:shd w:val="clear" w:color="auto" w:fill="auto"/>
            <w:vAlign w:val="bottom"/>
          </w:tcPr>
          <w:p w14:paraId="360231F9" w14:textId="77777777" w:rsidR="00200C3E" w:rsidRPr="00DB55A0" w:rsidRDefault="00200C3E" w:rsidP="00200C3E">
            <w:pPr>
              <w:pStyle w:val="TableFiguresBold0"/>
            </w:pPr>
          </w:p>
        </w:tc>
        <w:tc>
          <w:tcPr>
            <w:tcW w:w="1276" w:type="dxa"/>
            <w:shd w:val="clear" w:color="auto" w:fill="auto"/>
          </w:tcPr>
          <w:p w14:paraId="0D43F0B5" w14:textId="55164981" w:rsidR="00200C3E" w:rsidRPr="00DB55A0" w:rsidRDefault="0097732E" w:rsidP="00FD1A13">
            <w:pPr>
              <w:pStyle w:val="TableFiguresBold0"/>
            </w:pPr>
            <w:r w:rsidRPr="00DB55A0">
              <w:t>42</w:t>
            </w:r>
          </w:p>
        </w:tc>
        <w:tc>
          <w:tcPr>
            <w:tcW w:w="1134" w:type="dxa"/>
            <w:shd w:val="clear" w:color="auto" w:fill="auto"/>
            <w:vAlign w:val="bottom"/>
          </w:tcPr>
          <w:p w14:paraId="0275FBAA" w14:textId="0B9D51DC" w:rsidR="00200C3E" w:rsidRPr="00FD1A13" w:rsidRDefault="00DB55A0" w:rsidP="00FD1A13">
            <w:pPr>
              <w:pStyle w:val="TableFigures"/>
            </w:pPr>
            <w:r w:rsidRPr="00FD1A13">
              <w:t>35</w:t>
            </w:r>
          </w:p>
        </w:tc>
      </w:tr>
      <w:tr w:rsidR="005F6D8A" w:rsidRPr="00DB55A0" w14:paraId="143B06E9" w14:textId="77777777" w:rsidTr="008E56FC">
        <w:tc>
          <w:tcPr>
            <w:tcW w:w="5408" w:type="dxa"/>
            <w:shd w:val="clear" w:color="auto" w:fill="auto"/>
            <w:vAlign w:val="bottom"/>
          </w:tcPr>
          <w:p w14:paraId="2398C3A5" w14:textId="7C50ACF3" w:rsidR="00200C3E" w:rsidRPr="00DB55A0" w:rsidRDefault="00200C3E" w:rsidP="00200C3E">
            <w:pPr>
              <w:pStyle w:val="Tabletext"/>
            </w:pPr>
            <w:r w:rsidRPr="00DB55A0">
              <w:t>Management fees*</w:t>
            </w:r>
          </w:p>
        </w:tc>
        <w:tc>
          <w:tcPr>
            <w:tcW w:w="2672" w:type="dxa"/>
            <w:shd w:val="clear" w:color="auto" w:fill="auto"/>
            <w:vAlign w:val="bottom"/>
          </w:tcPr>
          <w:p w14:paraId="36965521" w14:textId="77777777" w:rsidR="00200C3E" w:rsidRPr="00DB55A0" w:rsidRDefault="00200C3E" w:rsidP="00200C3E">
            <w:pPr>
              <w:pStyle w:val="TableFiguresBold0"/>
            </w:pPr>
          </w:p>
        </w:tc>
        <w:tc>
          <w:tcPr>
            <w:tcW w:w="1276" w:type="dxa"/>
            <w:shd w:val="clear" w:color="auto" w:fill="auto"/>
          </w:tcPr>
          <w:p w14:paraId="404C91B4" w14:textId="778BAE83" w:rsidR="00200C3E" w:rsidRPr="00DB55A0" w:rsidRDefault="00DB55A0" w:rsidP="00FD1A13">
            <w:pPr>
              <w:pStyle w:val="TableFiguresBold0"/>
            </w:pPr>
            <w:r w:rsidRPr="00DB55A0">
              <w:t>3</w:t>
            </w:r>
          </w:p>
        </w:tc>
        <w:tc>
          <w:tcPr>
            <w:tcW w:w="1134" w:type="dxa"/>
            <w:shd w:val="clear" w:color="auto" w:fill="auto"/>
            <w:vAlign w:val="bottom"/>
          </w:tcPr>
          <w:p w14:paraId="547E8181" w14:textId="1B891E72" w:rsidR="00200C3E" w:rsidRPr="00FD1A13" w:rsidRDefault="00DB55A0" w:rsidP="00FD1A13">
            <w:pPr>
              <w:pStyle w:val="TableFigures"/>
            </w:pPr>
            <w:r w:rsidRPr="00FD1A13">
              <w:t>3</w:t>
            </w:r>
          </w:p>
        </w:tc>
      </w:tr>
      <w:tr w:rsidR="005F6D8A" w:rsidRPr="00DB55A0" w14:paraId="6E887108" w14:textId="77777777" w:rsidTr="008E56FC">
        <w:tc>
          <w:tcPr>
            <w:tcW w:w="8080" w:type="dxa"/>
            <w:gridSpan w:val="2"/>
            <w:tcBorders>
              <w:bottom w:val="single" w:sz="4" w:space="0" w:color="A6A6A6" w:themeColor="background1" w:themeShade="A6"/>
            </w:tcBorders>
            <w:shd w:val="clear" w:color="auto" w:fill="auto"/>
            <w:vAlign w:val="bottom"/>
          </w:tcPr>
          <w:p w14:paraId="3784D257" w14:textId="77777777" w:rsidR="00200C3E" w:rsidRPr="00DB55A0" w:rsidRDefault="00200C3E" w:rsidP="00200C3E">
            <w:pPr>
              <w:pStyle w:val="TableFiguresBold0"/>
              <w:jc w:val="left"/>
              <w:rPr>
                <w:b w:val="0"/>
              </w:rPr>
            </w:pPr>
            <w:r w:rsidRPr="00DB55A0">
              <w:rPr>
                <w:b w:val="0"/>
              </w:rPr>
              <w:t>Surrender premiums and dividend income from property related investments</w:t>
            </w:r>
          </w:p>
        </w:tc>
        <w:tc>
          <w:tcPr>
            <w:tcW w:w="1276" w:type="dxa"/>
            <w:tcBorders>
              <w:bottom w:val="single" w:sz="4" w:space="0" w:color="A6A6A6" w:themeColor="background1" w:themeShade="A6"/>
            </w:tcBorders>
            <w:shd w:val="clear" w:color="auto" w:fill="auto"/>
            <w:vAlign w:val="bottom"/>
          </w:tcPr>
          <w:p w14:paraId="7D862832" w14:textId="1D230B21" w:rsidR="00200C3E" w:rsidRPr="00DB55A0" w:rsidRDefault="00DB55A0" w:rsidP="00FD1A13">
            <w:pPr>
              <w:pStyle w:val="TableFiguresBold0"/>
            </w:pPr>
            <w:r w:rsidRPr="00DB55A0">
              <w:t>3</w:t>
            </w:r>
          </w:p>
        </w:tc>
        <w:tc>
          <w:tcPr>
            <w:tcW w:w="1134" w:type="dxa"/>
            <w:tcBorders>
              <w:bottom w:val="single" w:sz="4" w:space="0" w:color="A6A6A6" w:themeColor="background1" w:themeShade="A6"/>
            </w:tcBorders>
            <w:shd w:val="clear" w:color="auto" w:fill="auto"/>
          </w:tcPr>
          <w:p w14:paraId="1EC10924" w14:textId="08A4817C" w:rsidR="00200C3E" w:rsidRPr="00FD1A13" w:rsidRDefault="00DB55A0" w:rsidP="00FD1A13">
            <w:pPr>
              <w:pStyle w:val="TableFigures"/>
            </w:pPr>
            <w:r w:rsidRPr="00FD1A13">
              <w:t>1</w:t>
            </w:r>
          </w:p>
        </w:tc>
      </w:tr>
      <w:tr w:rsidR="005F6D8A" w:rsidRPr="00DB55A0" w14:paraId="09476D8D" w14:textId="77777777" w:rsidTr="00987007">
        <w:tc>
          <w:tcPr>
            <w:tcW w:w="5408" w:type="dxa"/>
            <w:tcBorders>
              <w:top w:val="single" w:sz="4" w:space="0" w:color="A6A6A6" w:themeColor="background1" w:themeShade="A6"/>
              <w:bottom w:val="single" w:sz="4" w:space="0" w:color="A6A6A6" w:themeColor="background1" w:themeShade="A6"/>
            </w:tcBorders>
            <w:shd w:val="clear" w:color="auto" w:fill="auto"/>
            <w:vAlign w:val="bottom"/>
          </w:tcPr>
          <w:p w14:paraId="036540A3" w14:textId="3A7BFE4C" w:rsidR="00200C3E" w:rsidRPr="00DB55A0" w:rsidRDefault="00200C3E" w:rsidP="00200C3E">
            <w:pPr>
              <w:pStyle w:val="TabletextBold"/>
              <w:rPr>
                <w:szCs w:val="20"/>
              </w:rPr>
            </w:pPr>
            <w:r w:rsidRPr="00DB55A0">
              <w:rPr>
                <w:szCs w:val="20"/>
              </w:rPr>
              <w:t>Gross rental income</w:t>
            </w:r>
            <w:r w:rsidRPr="00DB55A0">
              <w:rPr>
                <w:szCs w:val="20"/>
                <w:vertAlign w:val="superscript"/>
              </w:rPr>
              <w:t>1</w:t>
            </w:r>
          </w:p>
        </w:tc>
        <w:tc>
          <w:tcPr>
            <w:tcW w:w="2672" w:type="dxa"/>
            <w:tcBorders>
              <w:top w:val="single" w:sz="4" w:space="0" w:color="A6A6A6" w:themeColor="background1" w:themeShade="A6"/>
              <w:bottom w:val="single" w:sz="4" w:space="0" w:color="A6A6A6" w:themeColor="background1" w:themeShade="A6"/>
            </w:tcBorders>
            <w:shd w:val="clear" w:color="auto" w:fill="auto"/>
            <w:vAlign w:val="bottom"/>
          </w:tcPr>
          <w:p w14:paraId="5E6D6316" w14:textId="77777777" w:rsidR="00200C3E" w:rsidRPr="00DB55A0" w:rsidRDefault="00200C3E" w:rsidP="00200C3E">
            <w:pPr>
              <w:pStyle w:val="TableFiguresBold0"/>
            </w:pPr>
          </w:p>
        </w:tc>
        <w:tc>
          <w:tcPr>
            <w:tcW w:w="1276" w:type="dxa"/>
            <w:tcBorders>
              <w:top w:val="single" w:sz="4" w:space="0" w:color="A6A6A6" w:themeColor="background1" w:themeShade="A6"/>
              <w:bottom w:val="single" w:sz="4" w:space="0" w:color="A6A6A6" w:themeColor="background1" w:themeShade="A6"/>
            </w:tcBorders>
            <w:shd w:val="clear" w:color="auto" w:fill="auto"/>
          </w:tcPr>
          <w:p w14:paraId="257F33D6" w14:textId="29CFA5A2" w:rsidR="00200C3E" w:rsidRPr="00DB55A0" w:rsidRDefault="00DB55A0" w:rsidP="00FD1A13">
            <w:pPr>
              <w:pStyle w:val="TableFiguresBold0"/>
            </w:pPr>
            <w:r w:rsidRPr="00DB55A0">
              <w:t>447</w:t>
            </w:r>
          </w:p>
        </w:tc>
        <w:tc>
          <w:tcPr>
            <w:tcW w:w="1134" w:type="dxa"/>
            <w:tcBorders>
              <w:top w:val="single" w:sz="4" w:space="0" w:color="A6A6A6" w:themeColor="background1" w:themeShade="A6"/>
              <w:bottom w:val="single" w:sz="4" w:space="0" w:color="A6A6A6" w:themeColor="background1" w:themeShade="A6"/>
            </w:tcBorders>
            <w:shd w:val="clear" w:color="auto" w:fill="auto"/>
            <w:vAlign w:val="bottom"/>
          </w:tcPr>
          <w:p w14:paraId="1BF4615A" w14:textId="045EEDDE" w:rsidR="00200C3E" w:rsidRPr="00FD1A13" w:rsidRDefault="00DB55A0" w:rsidP="00FD1A13">
            <w:pPr>
              <w:pStyle w:val="TableFigures"/>
            </w:pPr>
            <w:r w:rsidRPr="00FD1A13">
              <w:t>393</w:t>
            </w:r>
          </w:p>
        </w:tc>
      </w:tr>
      <w:tr w:rsidR="005F6D8A" w:rsidRPr="00DB55A0" w14:paraId="328FA546" w14:textId="77777777" w:rsidTr="00987007">
        <w:tc>
          <w:tcPr>
            <w:tcW w:w="5408" w:type="dxa"/>
            <w:tcBorders>
              <w:top w:val="single" w:sz="4" w:space="0" w:color="A6A6A6" w:themeColor="background1" w:themeShade="A6"/>
            </w:tcBorders>
            <w:shd w:val="clear" w:color="auto" w:fill="auto"/>
            <w:vAlign w:val="bottom"/>
          </w:tcPr>
          <w:p w14:paraId="14426203" w14:textId="109997A3" w:rsidR="00200C3E" w:rsidRPr="00DB55A0" w:rsidRDefault="00200C3E" w:rsidP="00200C3E">
            <w:pPr>
              <w:pStyle w:val="Tabletext"/>
              <w:rPr>
                <w:szCs w:val="20"/>
              </w:rPr>
            </w:pPr>
            <w:r w:rsidRPr="00DB55A0">
              <w:rPr>
                <w:szCs w:val="20"/>
              </w:rPr>
              <w:t xml:space="preserve">Joint venture fee income - management fees*  </w:t>
            </w:r>
          </w:p>
        </w:tc>
        <w:tc>
          <w:tcPr>
            <w:tcW w:w="2672" w:type="dxa"/>
            <w:tcBorders>
              <w:top w:val="single" w:sz="4" w:space="0" w:color="A6A6A6" w:themeColor="background1" w:themeShade="A6"/>
            </w:tcBorders>
            <w:shd w:val="clear" w:color="auto" w:fill="auto"/>
            <w:vAlign w:val="bottom"/>
          </w:tcPr>
          <w:p w14:paraId="51B6D1E0" w14:textId="77777777" w:rsidR="00200C3E" w:rsidRPr="00DB55A0" w:rsidRDefault="00200C3E" w:rsidP="00200C3E">
            <w:pPr>
              <w:pStyle w:val="TableFiguresBold0"/>
            </w:pPr>
          </w:p>
        </w:tc>
        <w:tc>
          <w:tcPr>
            <w:tcW w:w="1276" w:type="dxa"/>
            <w:tcBorders>
              <w:top w:val="single" w:sz="4" w:space="0" w:color="A6A6A6" w:themeColor="background1" w:themeShade="A6"/>
            </w:tcBorders>
            <w:shd w:val="clear" w:color="auto" w:fill="auto"/>
          </w:tcPr>
          <w:p w14:paraId="6D9E4E79" w14:textId="5F3F07B8" w:rsidR="00200C3E" w:rsidRPr="00DB55A0" w:rsidRDefault="00DB55A0" w:rsidP="00FD1A13">
            <w:pPr>
              <w:pStyle w:val="TableFiguresBold0"/>
            </w:pPr>
            <w:r w:rsidRPr="00DB55A0">
              <w:t>26</w:t>
            </w:r>
          </w:p>
        </w:tc>
        <w:tc>
          <w:tcPr>
            <w:tcW w:w="1134" w:type="dxa"/>
            <w:tcBorders>
              <w:top w:val="single" w:sz="4" w:space="0" w:color="A6A6A6" w:themeColor="background1" w:themeShade="A6"/>
            </w:tcBorders>
            <w:vAlign w:val="bottom"/>
          </w:tcPr>
          <w:p w14:paraId="6D355876" w14:textId="39B326D3" w:rsidR="00200C3E" w:rsidRPr="00FD1A13" w:rsidRDefault="00DB55A0" w:rsidP="00FD1A13">
            <w:pPr>
              <w:pStyle w:val="TableFigures"/>
            </w:pPr>
            <w:r w:rsidRPr="00FD1A13">
              <w:t>22</w:t>
            </w:r>
          </w:p>
        </w:tc>
      </w:tr>
      <w:tr w:rsidR="00DB55A0" w:rsidRPr="00DB55A0" w14:paraId="0A27DD3E" w14:textId="77777777" w:rsidTr="00987007">
        <w:tc>
          <w:tcPr>
            <w:tcW w:w="5408" w:type="dxa"/>
            <w:tcBorders>
              <w:bottom w:val="single" w:sz="4" w:space="0" w:color="A6A6A6" w:themeColor="background1" w:themeShade="A6"/>
            </w:tcBorders>
            <w:shd w:val="clear" w:color="auto" w:fill="auto"/>
            <w:vAlign w:val="bottom"/>
          </w:tcPr>
          <w:p w14:paraId="1B8B090F" w14:textId="62FBD154" w:rsidR="00DB55A0" w:rsidRPr="00DB55A0" w:rsidRDefault="00DB55A0" w:rsidP="00DB55A0">
            <w:pPr>
              <w:pStyle w:val="Tabletext"/>
              <w:rPr>
                <w:szCs w:val="20"/>
              </w:rPr>
            </w:pPr>
            <w:r w:rsidRPr="00DB55A0">
              <w:rPr>
                <w:szCs w:val="20"/>
              </w:rPr>
              <w:t xml:space="preserve">Joint venture fee income - performance fees*  </w:t>
            </w:r>
          </w:p>
        </w:tc>
        <w:tc>
          <w:tcPr>
            <w:tcW w:w="2672" w:type="dxa"/>
            <w:tcBorders>
              <w:bottom w:val="single" w:sz="4" w:space="0" w:color="A6A6A6" w:themeColor="background1" w:themeShade="A6"/>
            </w:tcBorders>
            <w:shd w:val="clear" w:color="auto" w:fill="auto"/>
            <w:vAlign w:val="bottom"/>
          </w:tcPr>
          <w:p w14:paraId="3FE732C1" w14:textId="77777777" w:rsidR="00DB55A0" w:rsidRPr="00DB55A0" w:rsidRDefault="00DB55A0" w:rsidP="00DB55A0">
            <w:pPr>
              <w:pStyle w:val="TableFiguresBold0"/>
            </w:pPr>
          </w:p>
        </w:tc>
        <w:tc>
          <w:tcPr>
            <w:tcW w:w="1276" w:type="dxa"/>
            <w:tcBorders>
              <w:bottom w:val="single" w:sz="4" w:space="0" w:color="A6A6A6" w:themeColor="background1" w:themeShade="A6"/>
            </w:tcBorders>
            <w:shd w:val="clear" w:color="auto" w:fill="auto"/>
          </w:tcPr>
          <w:p w14:paraId="2392F9B2" w14:textId="4D159A09" w:rsidR="00DB55A0" w:rsidRPr="00DB55A0" w:rsidRDefault="00DB55A0" w:rsidP="00FD1A13">
            <w:pPr>
              <w:pStyle w:val="TableFiguresBold0"/>
            </w:pPr>
            <w:r w:rsidRPr="00DB55A0">
              <w:t>26</w:t>
            </w:r>
          </w:p>
        </w:tc>
        <w:tc>
          <w:tcPr>
            <w:tcW w:w="1134" w:type="dxa"/>
            <w:tcBorders>
              <w:bottom w:val="single" w:sz="4" w:space="0" w:color="A6A6A6" w:themeColor="background1" w:themeShade="A6"/>
            </w:tcBorders>
            <w:vAlign w:val="bottom"/>
          </w:tcPr>
          <w:p w14:paraId="5881E480" w14:textId="50C3324C" w:rsidR="00DB55A0" w:rsidRPr="00FD1A13" w:rsidRDefault="00DB55A0" w:rsidP="00FD1A13">
            <w:pPr>
              <w:pStyle w:val="TableFigures"/>
            </w:pPr>
            <w:r w:rsidRPr="00FD1A13">
              <w:t>–</w:t>
            </w:r>
          </w:p>
        </w:tc>
      </w:tr>
      <w:tr w:rsidR="00DB55A0" w:rsidRPr="00DB55A0" w14:paraId="6B2F71B9" w14:textId="77777777" w:rsidTr="00987007">
        <w:tc>
          <w:tcPr>
            <w:tcW w:w="5408" w:type="dxa"/>
            <w:tcBorders>
              <w:top w:val="single" w:sz="4" w:space="0" w:color="A6A6A6" w:themeColor="background1" w:themeShade="A6"/>
              <w:bottom w:val="single" w:sz="4" w:space="0" w:color="A6A6A6" w:themeColor="background1" w:themeShade="A6"/>
            </w:tcBorders>
            <w:shd w:val="clear" w:color="auto" w:fill="auto"/>
            <w:vAlign w:val="bottom"/>
          </w:tcPr>
          <w:p w14:paraId="3FFEAEC3" w14:textId="14286AD6" w:rsidR="00DB55A0" w:rsidRPr="00DB55A0" w:rsidRDefault="00DB55A0" w:rsidP="00DB55A0">
            <w:pPr>
              <w:pStyle w:val="Tabletext"/>
              <w:rPr>
                <w:b/>
                <w:bCs/>
              </w:rPr>
            </w:pPr>
            <w:r w:rsidRPr="00DB55A0">
              <w:rPr>
                <w:b/>
                <w:bCs/>
              </w:rPr>
              <w:t>Joint venture fee income</w:t>
            </w:r>
          </w:p>
        </w:tc>
        <w:tc>
          <w:tcPr>
            <w:tcW w:w="2672" w:type="dxa"/>
            <w:tcBorders>
              <w:top w:val="single" w:sz="4" w:space="0" w:color="A6A6A6" w:themeColor="background1" w:themeShade="A6"/>
              <w:bottom w:val="single" w:sz="4" w:space="0" w:color="A6A6A6" w:themeColor="background1" w:themeShade="A6"/>
            </w:tcBorders>
            <w:shd w:val="clear" w:color="auto" w:fill="auto"/>
            <w:vAlign w:val="bottom"/>
          </w:tcPr>
          <w:p w14:paraId="288346BC" w14:textId="77777777" w:rsidR="00DB55A0" w:rsidRPr="00DB55A0" w:rsidRDefault="00DB55A0" w:rsidP="00DB55A0">
            <w:pPr>
              <w:pStyle w:val="TableFiguresBold0"/>
            </w:pPr>
          </w:p>
        </w:tc>
        <w:tc>
          <w:tcPr>
            <w:tcW w:w="1276" w:type="dxa"/>
            <w:tcBorders>
              <w:top w:val="single" w:sz="4" w:space="0" w:color="A6A6A6" w:themeColor="background1" w:themeShade="A6"/>
              <w:bottom w:val="single" w:sz="4" w:space="0" w:color="A6A6A6" w:themeColor="background1" w:themeShade="A6"/>
            </w:tcBorders>
            <w:shd w:val="clear" w:color="auto" w:fill="auto"/>
          </w:tcPr>
          <w:p w14:paraId="4F3D503F" w14:textId="60549859" w:rsidR="00DB55A0" w:rsidRPr="00DB55A0" w:rsidRDefault="00DB55A0" w:rsidP="00FD1A13">
            <w:pPr>
              <w:pStyle w:val="TableFiguresBold0"/>
            </w:pPr>
            <w:r w:rsidRPr="00DB55A0">
              <w:t>52</w:t>
            </w:r>
          </w:p>
        </w:tc>
        <w:tc>
          <w:tcPr>
            <w:tcW w:w="1134" w:type="dxa"/>
            <w:tcBorders>
              <w:top w:val="single" w:sz="4" w:space="0" w:color="A6A6A6" w:themeColor="background1" w:themeShade="A6"/>
              <w:bottom w:val="single" w:sz="4" w:space="0" w:color="A6A6A6" w:themeColor="background1" w:themeShade="A6"/>
            </w:tcBorders>
            <w:vAlign w:val="bottom"/>
          </w:tcPr>
          <w:p w14:paraId="7E3C5255" w14:textId="59E93D26" w:rsidR="00DB55A0" w:rsidRPr="00FD1A13" w:rsidRDefault="00DB55A0" w:rsidP="00FD1A13">
            <w:pPr>
              <w:pStyle w:val="TableFigures"/>
            </w:pPr>
            <w:r w:rsidRPr="00FD1A13">
              <w:t>22</w:t>
            </w:r>
          </w:p>
        </w:tc>
      </w:tr>
      <w:tr w:rsidR="00DB55A0" w:rsidRPr="00DB55A0" w14:paraId="0A29868F" w14:textId="77777777" w:rsidTr="00987007">
        <w:tc>
          <w:tcPr>
            <w:tcW w:w="5408" w:type="dxa"/>
            <w:tcBorders>
              <w:top w:val="single" w:sz="4" w:space="0" w:color="A6A6A6" w:themeColor="background1" w:themeShade="A6"/>
              <w:bottom w:val="single" w:sz="4" w:space="0" w:color="999999"/>
            </w:tcBorders>
            <w:shd w:val="clear" w:color="auto" w:fill="auto"/>
            <w:vAlign w:val="bottom"/>
          </w:tcPr>
          <w:p w14:paraId="2AC9414A" w14:textId="2E4B425D" w:rsidR="00DB55A0" w:rsidRPr="00DB55A0" w:rsidRDefault="00DB55A0" w:rsidP="00DB55A0">
            <w:pPr>
              <w:pStyle w:val="Tabletext"/>
              <w:rPr>
                <w:szCs w:val="20"/>
              </w:rPr>
            </w:pPr>
            <w:r w:rsidRPr="00DB55A0">
              <w:rPr>
                <w:szCs w:val="20"/>
              </w:rPr>
              <w:t>Proceeds from sale of trading properties*</w:t>
            </w:r>
          </w:p>
        </w:tc>
        <w:tc>
          <w:tcPr>
            <w:tcW w:w="2672" w:type="dxa"/>
            <w:tcBorders>
              <w:top w:val="single" w:sz="4" w:space="0" w:color="A6A6A6" w:themeColor="background1" w:themeShade="A6"/>
              <w:bottom w:val="single" w:sz="4" w:space="0" w:color="999999"/>
            </w:tcBorders>
            <w:shd w:val="clear" w:color="auto" w:fill="auto"/>
            <w:vAlign w:val="bottom"/>
          </w:tcPr>
          <w:p w14:paraId="05DA814A" w14:textId="77777777" w:rsidR="00DB55A0" w:rsidRPr="00DB55A0" w:rsidRDefault="00DB55A0" w:rsidP="00DB55A0">
            <w:pPr>
              <w:pStyle w:val="TableFiguresBold0"/>
            </w:pPr>
          </w:p>
        </w:tc>
        <w:tc>
          <w:tcPr>
            <w:tcW w:w="1276" w:type="dxa"/>
            <w:tcBorders>
              <w:top w:val="single" w:sz="4" w:space="0" w:color="A6A6A6" w:themeColor="background1" w:themeShade="A6"/>
              <w:bottom w:val="single" w:sz="4" w:space="0" w:color="999999"/>
            </w:tcBorders>
            <w:shd w:val="clear" w:color="auto" w:fill="auto"/>
          </w:tcPr>
          <w:p w14:paraId="2A9E9959" w14:textId="269D9E6F" w:rsidR="00DB55A0" w:rsidRPr="00DB55A0" w:rsidRDefault="00DB55A0" w:rsidP="00FD1A13">
            <w:pPr>
              <w:pStyle w:val="TableFiguresBold0"/>
            </w:pPr>
            <w:r w:rsidRPr="00DB55A0">
              <w:t>47</w:t>
            </w:r>
          </w:p>
        </w:tc>
        <w:tc>
          <w:tcPr>
            <w:tcW w:w="1134" w:type="dxa"/>
            <w:tcBorders>
              <w:top w:val="single" w:sz="4" w:space="0" w:color="A6A6A6" w:themeColor="background1" w:themeShade="A6"/>
              <w:bottom w:val="single" w:sz="4" w:space="0" w:color="999999"/>
            </w:tcBorders>
            <w:shd w:val="clear" w:color="auto" w:fill="auto"/>
            <w:vAlign w:val="bottom"/>
          </w:tcPr>
          <w:p w14:paraId="216DBE48" w14:textId="1D37425E" w:rsidR="00DB55A0" w:rsidRPr="00FD1A13" w:rsidRDefault="00DB55A0" w:rsidP="00FD1A13">
            <w:pPr>
              <w:pStyle w:val="TableFigures"/>
            </w:pPr>
            <w:r w:rsidRPr="00FD1A13">
              <w:t>17</w:t>
            </w:r>
          </w:p>
        </w:tc>
      </w:tr>
      <w:tr w:rsidR="00DB55A0" w:rsidRPr="00DB55A0" w14:paraId="6425FB55" w14:textId="77777777" w:rsidTr="002B0BDC">
        <w:tc>
          <w:tcPr>
            <w:tcW w:w="5408" w:type="dxa"/>
            <w:tcBorders>
              <w:top w:val="single" w:sz="4" w:space="0" w:color="999999"/>
              <w:bottom w:val="single" w:sz="8" w:space="0" w:color="999999"/>
            </w:tcBorders>
            <w:shd w:val="clear" w:color="auto" w:fill="auto"/>
            <w:vAlign w:val="bottom"/>
          </w:tcPr>
          <w:p w14:paraId="761BCA7A" w14:textId="77777777" w:rsidR="00DB55A0" w:rsidRPr="00DB55A0" w:rsidRDefault="00DB55A0" w:rsidP="00DB55A0">
            <w:pPr>
              <w:pStyle w:val="TabletextBold"/>
              <w:rPr>
                <w:szCs w:val="20"/>
              </w:rPr>
            </w:pPr>
            <w:r w:rsidRPr="00DB55A0">
              <w:rPr>
                <w:szCs w:val="20"/>
              </w:rPr>
              <w:t xml:space="preserve">Total revenue </w:t>
            </w:r>
          </w:p>
        </w:tc>
        <w:tc>
          <w:tcPr>
            <w:tcW w:w="2672" w:type="dxa"/>
            <w:tcBorders>
              <w:top w:val="single" w:sz="4" w:space="0" w:color="999999"/>
              <w:bottom w:val="single" w:sz="8" w:space="0" w:color="999999"/>
            </w:tcBorders>
            <w:shd w:val="clear" w:color="auto" w:fill="auto"/>
            <w:vAlign w:val="bottom"/>
          </w:tcPr>
          <w:p w14:paraId="2333A2CF" w14:textId="77777777" w:rsidR="00DB55A0" w:rsidRPr="00DB55A0" w:rsidRDefault="00DB55A0" w:rsidP="00DB55A0">
            <w:pPr>
              <w:pStyle w:val="TableFiguresBold0"/>
            </w:pPr>
          </w:p>
        </w:tc>
        <w:tc>
          <w:tcPr>
            <w:tcW w:w="1276" w:type="dxa"/>
            <w:tcBorders>
              <w:top w:val="single" w:sz="4" w:space="0" w:color="999999"/>
              <w:bottom w:val="single" w:sz="8" w:space="0" w:color="999999"/>
            </w:tcBorders>
            <w:shd w:val="clear" w:color="auto" w:fill="auto"/>
          </w:tcPr>
          <w:p w14:paraId="0EF995AD" w14:textId="1DF6C94E" w:rsidR="00DB55A0" w:rsidRPr="00DB55A0" w:rsidRDefault="00DB55A0" w:rsidP="00FD1A13">
            <w:pPr>
              <w:pStyle w:val="TableFiguresBold0"/>
            </w:pPr>
            <w:r w:rsidRPr="00DB55A0">
              <w:t>546</w:t>
            </w:r>
          </w:p>
        </w:tc>
        <w:tc>
          <w:tcPr>
            <w:tcW w:w="1134" w:type="dxa"/>
            <w:tcBorders>
              <w:top w:val="single" w:sz="4" w:space="0" w:color="999999"/>
              <w:bottom w:val="single" w:sz="8" w:space="0" w:color="999999"/>
            </w:tcBorders>
            <w:shd w:val="clear" w:color="auto" w:fill="auto"/>
            <w:vAlign w:val="bottom"/>
          </w:tcPr>
          <w:p w14:paraId="17EFC359" w14:textId="65A9A81F" w:rsidR="00DB55A0" w:rsidRPr="00FD1A13" w:rsidRDefault="00DB55A0" w:rsidP="00FD1A13">
            <w:pPr>
              <w:pStyle w:val="TableFigures"/>
            </w:pPr>
            <w:r w:rsidRPr="00FD1A13">
              <w:t>432</w:t>
            </w:r>
          </w:p>
        </w:tc>
      </w:tr>
    </w:tbl>
    <w:p w14:paraId="49326B4D" w14:textId="77777777" w:rsidR="00E02200" w:rsidRPr="005F6D8A" w:rsidRDefault="00E02200" w:rsidP="005E793C">
      <w:pPr>
        <w:pStyle w:val="FootnotesNoSpace"/>
        <w:rPr>
          <w:i w:val="0"/>
          <w:color w:val="FF0000"/>
        </w:rPr>
      </w:pPr>
    </w:p>
    <w:p w14:paraId="5FD42BCE" w14:textId="03ACA52D" w:rsidR="00E02200" w:rsidRPr="00DB55A0" w:rsidRDefault="00E02200" w:rsidP="00E02200">
      <w:pPr>
        <w:pStyle w:val="FootnotesNoSpace"/>
        <w:rPr>
          <w:i w:val="0"/>
        </w:rPr>
      </w:pPr>
      <w:r w:rsidRPr="00DB55A0">
        <w:rPr>
          <w:i w:val="0"/>
        </w:rPr>
        <w:t xml:space="preserve">* </w:t>
      </w:r>
      <w:r w:rsidRPr="00DB55A0">
        <w:t xml:space="preserve">The above income streams reflect revenue recognition under IFRS 15 </w:t>
      </w:r>
      <w:r w:rsidR="00B3554D" w:rsidRPr="00DB55A0">
        <w:t>‘</w:t>
      </w:r>
      <w:r w:rsidRPr="00DB55A0">
        <w:t>Revenue from Contracts with Customers</w:t>
      </w:r>
      <w:r w:rsidR="00B3554D" w:rsidRPr="00DB55A0">
        <w:t>’</w:t>
      </w:r>
      <w:r w:rsidRPr="00DB55A0">
        <w:t xml:space="preserve"> and total £</w:t>
      </w:r>
      <w:r w:rsidR="00DB55A0" w:rsidRPr="00DB55A0">
        <w:t>144</w:t>
      </w:r>
      <w:r w:rsidRPr="00DB55A0">
        <w:t xml:space="preserve"> million (20</w:t>
      </w:r>
      <w:r w:rsidR="00DB55A0" w:rsidRPr="00DB55A0">
        <w:t>20</w:t>
      </w:r>
      <w:r w:rsidRPr="00DB55A0">
        <w:t>: £</w:t>
      </w:r>
      <w:r w:rsidR="00DB55A0" w:rsidRPr="00DB55A0">
        <w:t>77</w:t>
      </w:r>
      <w:r w:rsidRPr="00DB55A0">
        <w:t xml:space="preserve"> million).</w:t>
      </w:r>
    </w:p>
    <w:p w14:paraId="2027C918" w14:textId="0FD64569" w:rsidR="005E793C" w:rsidRPr="00DB55A0" w:rsidRDefault="005E793C" w:rsidP="005E793C">
      <w:pPr>
        <w:pStyle w:val="FootnotesNoSpace"/>
        <w:rPr>
          <w:i w:val="0"/>
        </w:rPr>
      </w:pPr>
      <w:r w:rsidRPr="00DB55A0">
        <w:rPr>
          <w:i w:val="0"/>
        </w:rPr>
        <w:t xml:space="preserve">1 </w:t>
      </w:r>
      <w:r w:rsidR="00E02200" w:rsidRPr="00DB55A0">
        <w:t>Net rental income of £</w:t>
      </w:r>
      <w:r w:rsidR="002D4567" w:rsidRPr="00DB55A0">
        <w:t>34</w:t>
      </w:r>
      <w:r w:rsidR="00DB55A0" w:rsidRPr="00DB55A0">
        <w:t>7</w:t>
      </w:r>
      <w:r w:rsidR="00E02200" w:rsidRPr="00DB55A0">
        <w:t xml:space="preserve"> million (2</w:t>
      </w:r>
      <w:r w:rsidR="00DB55A0" w:rsidRPr="00DB55A0">
        <w:t>020</w:t>
      </w:r>
      <w:r w:rsidR="00E02200" w:rsidRPr="00DB55A0">
        <w:t>: £</w:t>
      </w:r>
      <w:r w:rsidR="00DB55A0" w:rsidRPr="00DB55A0">
        <w:t>305</w:t>
      </w:r>
      <w:r w:rsidR="00E02200" w:rsidRPr="00DB55A0">
        <w:t xml:space="preserve"> million) is calculated as gross rental income of £</w:t>
      </w:r>
      <w:r w:rsidR="00DB55A0" w:rsidRPr="00DB55A0">
        <w:t>447</w:t>
      </w:r>
      <w:r w:rsidR="00E02200" w:rsidRPr="00DB55A0">
        <w:t xml:space="preserve"> million (20</w:t>
      </w:r>
      <w:r w:rsidR="00DB55A0" w:rsidRPr="00DB55A0">
        <w:t>20</w:t>
      </w:r>
      <w:r w:rsidR="00E02200" w:rsidRPr="00DB55A0">
        <w:t>: £</w:t>
      </w:r>
      <w:r w:rsidR="00DB55A0" w:rsidRPr="00DB55A0">
        <w:t>393</w:t>
      </w:r>
      <w:r w:rsidR="00E02200" w:rsidRPr="00DB55A0">
        <w:t xml:space="preserve"> million) less total property operating expenses of £</w:t>
      </w:r>
      <w:r w:rsidR="00DB55A0" w:rsidRPr="00DB55A0">
        <w:t>100</w:t>
      </w:r>
      <w:r w:rsidR="00E02200" w:rsidRPr="00DB55A0">
        <w:t xml:space="preserve"> million (20</w:t>
      </w:r>
      <w:r w:rsidR="00DB55A0" w:rsidRPr="00DB55A0">
        <w:t>20</w:t>
      </w:r>
      <w:r w:rsidR="00E02200" w:rsidRPr="00DB55A0">
        <w:t>: £</w:t>
      </w:r>
      <w:r w:rsidR="002D4567" w:rsidRPr="00DB55A0">
        <w:t>8</w:t>
      </w:r>
      <w:r w:rsidR="00DB55A0" w:rsidRPr="00DB55A0">
        <w:t>8</w:t>
      </w:r>
      <w:r w:rsidR="00E02200" w:rsidRPr="00DB55A0">
        <w:t xml:space="preserve"> million) shown in </w:t>
      </w:r>
      <w:r w:rsidR="00E02200" w:rsidRPr="00987007">
        <w:t>Note 5</w:t>
      </w:r>
      <w:r w:rsidR="00A841D8" w:rsidRPr="00987007">
        <w:t>.</w:t>
      </w:r>
    </w:p>
    <w:p w14:paraId="54318964" w14:textId="77777777" w:rsidR="00E02200" w:rsidRPr="005F6D8A" w:rsidRDefault="00E02200" w:rsidP="005E793C">
      <w:pPr>
        <w:pStyle w:val="FootnotesNoSpace"/>
        <w:rPr>
          <w:i w:val="0"/>
          <w:color w:val="FF0000"/>
          <w:szCs w:val="20"/>
        </w:rPr>
      </w:pPr>
    </w:p>
    <w:p w14:paraId="315A4FB2" w14:textId="5318DCA3" w:rsidR="005E793C" w:rsidRPr="00DB55A0" w:rsidRDefault="005E793C" w:rsidP="005E793C">
      <w:pPr>
        <w:pStyle w:val="Heading1"/>
        <w:rPr>
          <w:szCs w:val="20"/>
        </w:rPr>
      </w:pPr>
      <w:r w:rsidRPr="00DB55A0">
        <w:rPr>
          <w:szCs w:val="20"/>
        </w:rPr>
        <w:t xml:space="preserve">5. </w:t>
      </w:r>
      <w:r w:rsidR="00EE0951" w:rsidRPr="00DB55A0">
        <w:rPr>
          <w:szCs w:val="20"/>
        </w:rPr>
        <w:t>COSTS</w:t>
      </w:r>
    </w:p>
    <w:tbl>
      <w:tblPr>
        <w:tblW w:w="10490" w:type="dxa"/>
        <w:tblLayout w:type="fixed"/>
        <w:tblCellMar>
          <w:left w:w="0" w:type="dxa"/>
          <w:right w:w="0" w:type="dxa"/>
        </w:tblCellMar>
        <w:tblLook w:val="01E0" w:firstRow="1" w:lastRow="1" w:firstColumn="1" w:lastColumn="1" w:noHBand="0" w:noVBand="0"/>
      </w:tblPr>
      <w:tblGrid>
        <w:gridCol w:w="5408"/>
        <w:gridCol w:w="2672"/>
        <w:gridCol w:w="1276"/>
        <w:gridCol w:w="1134"/>
      </w:tblGrid>
      <w:tr w:rsidR="005F6D8A" w:rsidRPr="00DB55A0" w14:paraId="09CE996B" w14:textId="77777777" w:rsidTr="00987007">
        <w:tc>
          <w:tcPr>
            <w:tcW w:w="5408" w:type="dxa"/>
            <w:tcBorders>
              <w:bottom w:val="single" w:sz="8" w:space="0" w:color="999999"/>
            </w:tcBorders>
            <w:shd w:val="clear" w:color="auto" w:fill="auto"/>
            <w:vAlign w:val="bottom"/>
          </w:tcPr>
          <w:p w14:paraId="70B03F6B" w14:textId="77777777" w:rsidR="005E793C" w:rsidRPr="00DB55A0" w:rsidRDefault="005E793C" w:rsidP="00E30618">
            <w:pPr>
              <w:pStyle w:val="TableColHeads"/>
              <w:spacing w:line="-180" w:lineRule="auto"/>
            </w:pPr>
          </w:p>
        </w:tc>
        <w:tc>
          <w:tcPr>
            <w:tcW w:w="2672" w:type="dxa"/>
            <w:tcBorders>
              <w:bottom w:val="single" w:sz="8" w:space="0" w:color="999999"/>
            </w:tcBorders>
            <w:shd w:val="clear" w:color="auto" w:fill="auto"/>
            <w:vAlign w:val="bottom"/>
          </w:tcPr>
          <w:p w14:paraId="347DF152" w14:textId="77777777" w:rsidR="005E793C" w:rsidRPr="00DB55A0" w:rsidRDefault="005E793C" w:rsidP="00E30618">
            <w:pPr>
              <w:pStyle w:val="TableColHeadsBold0"/>
            </w:pPr>
          </w:p>
        </w:tc>
        <w:tc>
          <w:tcPr>
            <w:tcW w:w="1276" w:type="dxa"/>
            <w:tcBorders>
              <w:bottom w:val="single" w:sz="8" w:space="0" w:color="999999"/>
            </w:tcBorders>
            <w:shd w:val="clear" w:color="auto" w:fill="auto"/>
            <w:vAlign w:val="bottom"/>
          </w:tcPr>
          <w:p w14:paraId="5E9F9D98" w14:textId="6AA0663A" w:rsidR="005E793C" w:rsidRPr="00DB55A0" w:rsidRDefault="005E793C" w:rsidP="00E30618">
            <w:pPr>
              <w:pStyle w:val="TableColHeads"/>
              <w:spacing w:line="-180" w:lineRule="auto"/>
              <w:rPr>
                <w:b/>
                <w:szCs w:val="18"/>
              </w:rPr>
            </w:pPr>
            <w:r w:rsidRPr="00DB55A0">
              <w:rPr>
                <w:b/>
                <w:szCs w:val="18"/>
              </w:rPr>
              <w:t>20</w:t>
            </w:r>
            <w:r w:rsidR="00DB55A0" w:rsidRPr="00DB55A0">
              <w:rPr>
                <w:b/>
                <w:szCs w:val="18"/>
              </w:rPr>
              <w:t>21</w:t>
            </w:r>
          </w:p>
          <w:p w14:paraId="2C6DC303" w14:textId="77777777" w:rsidR="005E793C" w:rsidRPr="00DB55A0" w:rsidRDefault="005E793C" w:rsidP="00E30618">
            <w:pPr>
              <w:pStyle w:val="TableColHeads"/>
              <w:spacing w:line="-180" w:lineRule="auto"/>
              <w:rPr>
                <w:szCs w:val="18"/>
              </w:rPr>
            </w:pPr>
            <w:r w:rsidRPr="00DB55A0">
              <w:rPr>
                <w:b/>
                <w:szCs w:val="18"/>
              </w:rPr>
              <w:t>£m</w:t>
            </w:r>
          </w:p>
        </w:tc>
        <w:tc>
          <w:tcPr>
            <w:tcW w:w="1134" w:type="dxa"/>
            <w:tcBorders>
              <w:bottom w:val="single" w:sz="8" w:space="0" w:color="999999"/>
            </w:tcBorders>
            <w:shd w:val="clear" w:color="auto" w:fill="auto"/>
            <w:vAlign w:val="bottom"/>
          </w:tcPr>
          <w:p w14:paraId="09DF080F" w14:textId="2C193B53" w:rsidR="005E793C" w:rsidRPr="00DB55A0" w:rsidRDefault="005E793C" w:rsidP="00E30618">
            <w:pPr>
              <w:pStyle w:val="TableColHeads"/>
              <w:spacing w:line="-180" w:lineRule="auto"/>
              <w:rPr>
                <w:szCs w:val="18"/>
              </w:rPr>
            </w:pPr>
            <w:r w:rsidRPr="00DB55A0">
              <w:rPr>
                <w:szCs w:val="18"/>
              </w:rPr>
              <w:t>20</w:t>
            </w:r>
            <w:r w:rsidR="00DB55A0" w:rsidRPr="00DB55A0">
              <w:rPr>
                <w:szCs w:val="18"/>
              </w:rPr>
              <w:t>20</w:t>
            </w:r>
          </w:p>
          <w:p w14:paraId="4C44E33E" w14:textId="77777777" w:rsidR="005E793C" w:rsidRPr="00DB55A0" w:rsidRDefault="005E793C" w:rsidP="00E30618">
            <w:pPr>
              <w:pStyle w:val="TableColHeads"/>
              <w:spacing w:line="-180" w:lineRule="auto"/>
              <w:rPr>
                <w:szCs w:val="18"/>
              </w:rPr>
            </w:pPr>
            <w:r w:rsidRPr="00DB55A0">
              <w:rPr>
                <w:szCs w:val="18"/>
              </w:rPr>
              <w:t>£m</w:t>
            </w:r>
          </w:p>
        </w:tc>
      </w:tr>
      <w:tr w:rsidR="005F6D8A" w:rsidRPr="008116BF" w14:paraId="078D4A8A" w14:textId="77777777" w:rsidTr="00987007">
        <w:tc>
          <w:tcPr>
            <w:tcW w:w="5408" w:type="dxa"/>
            <w:tcBorders>
              <w:top w:val="single" w:sz="8" w:space="0" w:color="999999"/>
            </w:tcBorders>
            <w:shd w:val="clear" w:color="auto" w:fill="auto"/>
            <w:vAlign w:val="bottom"/>
          </w:tcPr>
          <w:p w14:paraId="55E053D2" w14:textId="77777777" w:rsidR="002D4567" w:rsidRPr="008116BF" w:rsidRDefault="002D4567" w:rsidP="002D4567">
            <w:pPr>
              <w:pStyle w:val="Tabletext"/>
            </w:pPr>
            <w:r w:rsidRPr="008116BF">
              <w:t>Vacant property costs</w:t>
            </w:r>
          </w:p>
        </w:tc>
        <w:tc>
          <w:tcPr>
            <w:tcW w:w="2672" w:type="dxa"/>
            <w:tcBorders>
              <w:top w:val="single" w:sz="8" w:space="0" w:color="999999"/>
            </w:tcBorders>
            <w:shd w:val="clear" w:color="auto" w:fill="auto"/>
            <w:vAlign w:val="bottom"/>
          </w:tcPr>
          <w:p w14:paraId="19FC70BD" w14:textId="77777777" w:rsidR="002D4567" w:rsidRPr="008116BF" w:rsidRDefault="002D4567" w:rsidP="002D4567">
            <w:pPr>
              <w:pStyle w:val="TableFiguresBold0"/>
            </w:pPr>
          </w:p>
        </w:tc>
        <w:tc>
          <w:tcPr>
            <w:tcW w:w="1276" w:type="dxa"/>
            <w:tcBorders>
              <w:top w:val="single" w:sz="8" w:space="0" w:color="999999"/>
            </w:tcBorders>
            <w:shd w:val="clear" w:color="auto" w:fill="auto"/>
          </w:tcPr>
          <w:p w14:paraId="047DC726" w14:textId="7F12FCF3" w:rsidR="002D4567" w:rsidRPr="00FD1A13" w:rsidRDefault="008116BF" w:rsidP="00FD1A13">
            <w:pPr>
              <w:pStyle w:val="TableFiguresBold0"/>
            </w:pPr>
            <w:r w:rsidRPr="00FD1A13">
              <w:t>5</w:t>
            </w:r>
          </w:p>
        </w:tc>
        <w:tc>
          <w:tcPr>
            <w:tcW w:w="1134" w:type="dxa"/>
            <w:tcBorders>
              <w:top w:val="single" w:sz="8" w:space="0" w:color="999999"/>
            </w:tcBorders>
            <w:shd w:val="clear" w:color="auto" w:fill="auto"/>
            <w:vAlign w:val="bottom"/>
          </w:tcPr>
          <w:p w14:paraId="684DB107" w14:textId="21916989" w:rsidR="002D4567" w:rsidRPr="00E33182" w:rsidRDefault="008116BF">
            <w:pPr>
              <w:pStyle w:val="TableFigures"/>
            </w:pPr>
            <w:r w:rsidRPr="00E33182">
              <w:t>3</w:t>
            </w:r>
          </w:p>
        </w:tc>
      </w:tr>
      <w:tr w:rsidR="005F6D8A" w:rsidRPr="008116BF" w14:paraId="3EDB40D2" w14:textId="77777777" w:rsidTr="00987007">
        <w:tc>
          <w:tcPr>
            <w:tcW w:w="5408" w:type="dxa"/>
            <w:shd w:val="clear" w:color="auto" w:fill="auto"/>
            <w:vAlign w:val="bottom"/>
          </w:tcPr>
          <w:p w14:paraId="52714050" w14:textId="77777777" w:rsidR="002D4567" w:rsidRPr="008116BF" w:rsidRDefault="002D4567" w:rsidP="002D4567">
            <w:pPr>
              <w:pStyle w:val="Tabletext"/>
            </w:pPr>
            <w:r w:rsidRPr="008116BF">
              <w:t>Letting, marketing, legal and professional fees</w:t>
            </w:r>
          </w:p>
        </w:tc>
        <w:tc>
          <w:tcPr>
            <w:tcW w:w="2672" w:type="dxa"/>
            <w:shd w:val="clear" w:color="auto" w:fill="auto"/>
            <w:vAlign w:val="bottom"/>
          </w:tcPr>
          <w:p w14:paraId="5DBD0F08" w14:textId="77777777" w:rsidR="002D4567" w:rsidRPr="008116BF" w:rsidRDefault="002D4567" w:rsidP="002D4567">
            <w:pPr>
              <w:pStyle w:val="TableFiguresBold0"/>
            </w:pPr>
          </w:p>
        </w:tc>
        <w:tc>
          <w:tcPr>
            <w:tcW w:w="1276" w:type="dxa"/>
            <w:shd w:val="clear" w:color="auto" w:fill="auto"/>
          </w:tcPr>
          <w:p w14:paraId="38F69B2B" w14:textId="532E7886" w:rsidR="002D4567" w:rsidRPr="00FD1A13" w:rsidRDefault="008116BF" w:rsidP="00FD1A13">
            <w:pPr>
              <w:pStyle w:val="TableFiguresBold0"/>
            </w:pPr>
            <w:r w:rsidRPr="00FD1A13">
              <w:t>11</w:t>
            </w:r>
          </w:p>
        </w:tc>
        <w:tc>
          <w:tcPr>
            <w:tcW w:w="1134" w:type="dxa"/>
            <w:shd w:val="clear" w:color="auto" w:fill="auto"/>
            <w:vAlign w:val="bottom"/>
          </w:tcPr>
          <w:p w14:paraId="67ABA4B9" w14:textId="05C61B1F" w:rsidR="002D4567" w:rsidRPr="00E33182" w:rsidRDefault="008116BF">
            <w:pPr>
              <w:pStyle w:val="TableFigures"/>
            </w:pPr>
            <w:r w:rsidRPr="00E33182">
              <w:t>10</w:t>
            </w:r>
          </w:p>
        </w:tc>
      </w:tr>
      <w:tr w:rsidR="005F6D8A" w:rsidRPr="008116BF" w14:paraId="4CC43CD2" w14:textId="77777777" w:rsidTr="00987007">
        <w:tc>
          <w:tcPr>
            <w:tcW w:w="5408" w:type="dxa"/>
            <w:shd w:val="clear" w:color="auto" w:fill="auto"/>
            <w:vAlign w:val="bottom"/>
          </w:tcPr>
          <w:p w14:paraId="7C529C8A" w14:textId="54186AF0" w:rsidR="002D4567" w:rsidRPr="008116BF" w:rsidRDefault="002D4567" w:rsidP="002D4567">
            <w:pPr>
              <w:pStyle w:val="Tabletext"/>
            </w:pPr>
            <w:r w:rsidRPr="008116BF">
              <w:t>Loss allowance and impairment of receivables</w:t>
            </w:r>
          </w:p>
        </w:tc>
        <w:tc>
          <w:tcPr>
            <w:tcW w:w="2672" w:type="dxa"/>
            <w:shd w:val="clear" w:color="auto" w:fill="auto"/>
            <w:vAlign w:val="bottom"/>
          </w:tcPr>
          <w:p w14:paraId="084C5BB0" w14:textId="77777777" w:rsidR="002D4567" w:rsidRPr="008116BF" w:rsidRDefault="002D4567" w:rsidP="002D4567">
            <w:pPr>
              <w:pStyle w:val="TableFiguresBold0"/>
            </w:pPr>
          </w:p>
        </w:tc>
        <w:tc>
          <w:tcPr>
            <w:tcW w:w="1276" w:type="dxa"/>
            <w:shd w:val="clear" w:color="auto" w:fill="auto"/>
          </w:tcPr>
          <w:p w14:paraId="746624A9" w14:textId="703A5AC5" w:rsidR="002D4567" w:rsidRPr="00FD1A13" w:rsidRDefault="008116BF" w:rsidP="00FD1A13">
            <w:pPr>
              <w:pStyle w:val="TableFiguresBold0"/>
            </w:pPr>
            <w:r w:rsidRPr="00FD1A13">
              <w:t>–</w:t>
            </w:r>
          </w:p>
        </w:tc>
        <w:tc>
          <w:tcPr>
            <w:tcW w:w="1134" w:type="dxa"/>
            <w:shd w:val="clear" w:color="auto" w:fill="auto"/>
            <w:vAlign w:val="bottom"/>
          </w:tcPr>
          <w:p w14:paraId="0D994A4E" w14:textId="1FE9D5DF" w:rsidR="002D4567" w:rsidRPr="00E33182" w:rsidRDefault="008116BF">
            <w:pPr>
              <w:pStyle w:val="TableFigures"/>
            </w:pPr>
            <w:r w:rsidRPr="00E33182">
              <w:t>4</w:t>
            </w:r>
          </w:p>
        </w:tc>
      </w:tr>
      <w:tr w:rsidR="005F6D8A" w:rsidRPr="008116BF" w14:paraId="69479D32" w14:textId="77777777" w:rsidTr="00987007">
        <w:tc>
          <w:tcPr>
            <w:tcW w:w="5408" w:type="dxa"/>
            <w:shd w:val="clear" w:color="auto" w:fill="auto"/>
            <w:vAlign w:val="bottom"/>
          </w:tcPr>
          <w:p w14:paraId="5D8FF9E8" w14:textId="209D6F19" w:rsidR="002D4567" w:rsidRPr="008116BF" w:rsidRDefault="002D4567" w:rsidP="002D4567">
            <w:pPr>
              <w:pStyle w:val="Tabletext"/>
            </w:pPr>
            <w:r w:rsidRPr="008116BF">
              <w:t>Service charge expense</w:t>
            </w:r>
          </w:p>
        </w:tc>
        <w:tc>
          <w:tcPr>
            <w:tcW w:w="2672" w:type="dxa"/>
            <w:shd w:val="clear" w:color="auto" w:fill="auto"/>
            <w:vAlign w:val="bottom"/>
          </w:tcPr>
          <w:p w14:paraId="777310F2" w14:textId="77777777" w:rsidR="002D4567" w:rsidRPr="008116BF" w:rsidRDefault="002D4567" w:rsidP="002D4567">
            <w:pPr>
              <w:pStyle w:val="TableFiguresBold0"/>
            </w:pPr>
          </w:p>
        </w:tc>
        <w:tc>
          <w:tcPr>
            <w:tcW w:w="1276" w:type="dxa"/>
            <w:shd w:val="clear" w:color="auto" w:fill="auto"/>
          </w:tcPr>
          <w:p w14:paraId="145E01B0" w14:textId="7A7B15E4" w:rsidR="002D4567" w:rsidRPr="00FD1A13" w:rsidRDefault="008116BF" w:rsidP="00FD1A13">
            <w:pPr>
              <w:pStyle w:val="TableFiguresBold0"/>
            </w:pPr>
            <w:r w:rsidRPr="00FD1A13">
              <w:t>42</w:t>
            </w:r>
          </w:p>
        </w:tc>
        <w:tc>
          <w:tcPr>
            <w:tcW w:w="1134" w:type="dxa"/>
            <w:shd w:val="clear" w:color="auto" w:fill="auto"/>
            <w:vAlign w:val="bottom"/>
          </w:tcPr>
          <w:p w14:paraId="75737475" w14:textId="123E478F" w:rsidR="002D4567" w:rsidRPr="00E33182" w:rsidRDefault="008116BF">
            <w:pPr>
              <w:pStyle w:val="TableFigures"/>
            </w:pPr>
            <w:r w:rsidRPr="00E33182">
              <w:t>35</w:t>
            </w:r>
          </w:p>
        </w:tc>
      </w:tr>
      <w:tr w:rsidR="005F6D8A" w:rsidRPr="008116BF" w14:paraId="65C5F9DE" w14:textId="77777777" w:rsidTr="00987007">
        <w:tc>
          <w:tcPr>
            <w:tcW w:w="5408" w:type="dxa"/>
            <w:tcBorders>
              <w:bottom w:val="single" w:sz="4" w:space="0" w:color="999999"/>
            </w:tcBorders>
            <w:shd w:val="clear" w:color="auto" w:fill="auto"/>
            <w:vAlign w:val="bottom"/>
          </w:tcPr>
          <w:p w14:paraId="1F5E1DC1" w14:textId="5FF85C6F" w:rsidR="002D4567" w:rsidRPr="008116BF" w:rsidRDefault="002D4567" w:rsidP="002D4567">
            <w:pPr>
              <w:pStyle w:val="Tabletext"/>
            </w:pPr>
            <w:r w:rsidRPr="008116BF">
              <w:t>Other expenses</w:t>
            </w:r>
          </w:p>
        </w:tc>
        <w:tc>
          <w:tcPr>
            <w:tcW w:w="2672" w:type="dxa"/>
            <w:tcBorders>
              <w:bottom w:val="single" w:sz="4" w:space="0" w:color="999999"/>
            </w:tcBorders>
            <w:shd w:val="clear" w:color="auto" w:fill="auto"/>
            <w:vAlign w:val="bottom"/>
          </w:tcPr>
          <w:p w14:paraId="78A84A4E" w14:textId="77777777" w:rsidR="002D4567" w:rsidRPr="008116BF" w:rsidRDefault="002D4567" w:rsidP="002D4567">
            <w:pPr>
              <w:pStyle w:val="TableFiguresBold0"/>
            </w:pPr>
          </w:p>
        </w:tc>
        <w:tc>
          <w:tcPr>
            <w:tcW w:w="1276" w:type="dxa"/>
            <w:tcBorders>
              <w:bottom w:val="single" w:sz="4" w:space="0" w:color="999999"/>
            </w:tcBorders>
            <w:shd w:val="clear" w:color="auto" w:fill="auto"/>
          </w:tcPr>
          <w:p w14:paraId="6B378054" w14:textId="39C68DCF" w:rsidR="002D4567" w:rsidRPr="00FD1A13" w:rsidRDefault="008116BF" w:rsidP="00FD1A13">
            <w:pPr>
              <w:pStyle w:val="TableFiguresBold0"/>
            </w:pPr>
            <w:r w:rsidRPr="00FD1A13">
              <w:t>12</w:t>
            </w:r>
          </w:p>
        </w:tc>
        <w:tc>
          <w:tcPr>
            <w:tcW w:w="1134" w:type="dxa"/>
            <w:tcBorders>
              <w:bottom w:val="single" w:sz="4" w:space="0" w:color="999999"/>
            </w:tcBorders>
            <w:shd w:val="clear" w:color="auto" w:fill="auto"/>
            <w:vAlign w:val="bottom"/>
          </w:tcPr>
          <w:p w14:paraId="4B43093B" w14:textId="20F6C1C0" w:rsidR="002D4567" w:rsidRPr="00E33182" w:rsidRDefault="008116BF">
            <w:pPr>
              <w:pStyle w:val="TableFigures"/>
            </w:pPr>
            <w:r w:rsidRPr="00E33182">
              <w:t>9</w:t>
            </w:r>
          </w:p>
        </w:tc>
      </w:tr>
      <w:tr w:rsidR="005F6D8A" w:rsidRPr="008116BF" w14:paraId="21835136" w14:textId="77777777" w:rsidTr="00987007">
        <w:tc>
          <w:tcPr>
            <w:tcW w:w="5408" w:type="dxa"/>
            <w:tcBorders>
              <w:top w:val="single" w:sz="4" w:space="0" w:color="999999"/>
            </w:tcBorders>
            <w:shd w:val="clear" w:color="auto" w:fill="auto"/>
            <w:vAlign w:val="bottom"/>
          </w:tcPr>
          <w:p w14:paraId="770FA6E4" w14:textId="67069A2E" w:rsidR="002D4567" w:rsidRPr="008116BF" w:rsidRDefault="002D4567" w:rsidP="002D4567">
            <w:pPr>
              <w:pStyle w:val="Tabletext"/>
              <w:rPr>
                <w:b/>
              </w:rPr>
            </w:pPr>
            <w:r w:rsidRPr="008116BF">
              <w:rPr>
                <w:b/>
              </w:rPr>
              <w:t>Property management expenses</w:t>
            </w:r>
          </w:p>
        </w:tc>
        <w:tc>
          <w:tcPr>
            <w:tcW w:w="2672" w:type="dxa"/>
            <w:tcBorders>
              <w:top w:val="single" w:sz="4" w:space="0" w:color="999999"/>
            </w:tcBorders>
            <w:shd w:val="clear" w:color="auto" w:fill="auto"/>
            <w:vAlign w:val="bottom"/>
          </w:tcPr>
          <w:p w14:paraId="2E827297" w14:textId="77777777" w:rsidR="002D4567" w:rsidRPr="008116BF" w:rsidRDefault="002D4567" w:rsidP="002D4567">
            <w:pPr>
              <w:pStyle w:val="TableFiguresBold0"/>
            </w:pPr>
          </w:p>
        </w:tc>
        <w:tc>
          <w:tcPr>
            <w:tcW w:w="1276" w:type="dxa"/>
            <w:tcBorders>
              <w:top w:val="single" w:sz="4" w:space="0" w:color="999999"/>
            </w:tcBorders>
            <w:shd w:val="clear" w:color="auto" w:fill="auto"/>
          </w:tcPr>
          <w:p w14:paraId="5D72C4C6" w14:textId="09BFF420" w:rsidR="002D4567" w:rsidRPr="00FD1A13" w:rsidRDefault="008116BF" w:rsidP="00FD1A13">
            <w:pPr>
              <w:pStyle w:val="TableFiguresBold0"/>
            </w:pPr>
            <w:r w:rsidRPr="00FD1A13">
              <w:t>70</w:t>
            </w:r>
          </w:p>
        </w:tc>
        <w:tc>
          <w:tcPr>
            <w:tcW w:w="1134" w:type="dxa"/>
            <w:tcBorders>
              <w:top w:val="single" w:sz="4" w:space="0" w:color="999999"/>
            </w:tcBorders>
            <w:shd w:val="clear" w:color="auto" w:fill="auto"/>
            <w:vAlign w:val="bottom"/>
          </w:tcPr>
          <w:p w14:paraId="16F3C96E" w14:textId="34A191C3" w:rsidR="002D4567" w:rsidRPr="00E33182" w:rsidRDefault="008116BF">
            <w:pPr>
              <w:pStyle w:val="TableFigures"/>
            </w:pPr>
            <w:r w:rsidRPr="00E33182">
              <w:t>61</w:t>
            </w:r>
          </w:p>
        </w:tc>
      </w:tr>
      <w:tr w:rsidR="005F6D8A" w:rsidRPr="008116BF" w14:paraId="6BDA1CC3" w14:textId="77777777" w:rsidTr="00987007">
        <w:tc>
          <w:tcPr>
            <w:tcW w:w="5408" w:type="dxa"/>
            <w:shd w:val="clear" w:color="auto" w:fill="auto"/>
            <w:vAlign w:val="bottom"/>
          </w:tcPr>
          <w:p w14:paraId="45CF4CB3" w14:textId="47CB5353" w:rsidR="002D4567" w:rsidRPr="008116BF" w:rsidRDefault="002D4567" w:rsidP="002D4567">
            <w:pPr>
              <w:pStyle w:val="Tabletext"/>
            </w:pPr>
            <w:r w:rsidRPr="008116BF">
              <w:t>Property administration expenses</w:t>
            </w:r>
            <w:r w:rsidR="00E7751B">
              <w:rPr>
                <w:vertAlign w:val="superscript"/>
              </w:rPr>
              <w:t>1</w:t>
            </w:r>
          </w:p>
        </w:tc>
        <w:tc>
          <w:tcPr>
            <w:tcW w:w="2672" w:type="dxa"/>
            <w:shd w:val="clear" w:color="auto" w:fill="auto"/>
            <w:vAlign w:val="bottom"/>
          </w:tcPr>
          <w:p w14:paraId="3CBE3ED4" w14:textId="77777777" w:rsidR="002D4567" w:rsidRPr="008116BF" w:rsidRDefault="002D4567" w:rsidP="002D4567">
            <w:pPr>
              <w:pStyle w:val="TableFiguresBold0"/>
            </w:pPr>
          </w:p>
        </w:tc>
        <w:tc>
          <w:tcPr>
            <w:tcW w:w="1276" w:type="dxa"/>
            <w:shd w:val="clear" w:color="auto" w:fill="auto"/>
          </w:tcPr>
          <w:p w14:paraId="697D0FA6" w14:textId="009B7BDC" w:rsidR="002D4567" w:rsidRPr="00FD1A13" w:rsidRDefault="008116BF" w:rsidP="00FD1A13">
            <w:pPr>
              <w:pStyle w:val="TableFiguresBold0"/>
            </w:pPr>
            <w:r w:rsidRPr="00FD1A13">
              <w:t>39</w:t>
            </w:r>
          </w:p>
        </w:tc>
        <w:tc>
          <w:tcPr>
            <w:tcW w:w="1134" w:type="dxa"/>
            <w:shd w:val="clear" w:color="auto" w:fill="auto"/>
            <w:vAlign w:val="bottom"/>
          </w:tcPr>
          <w:p w14:paraId="7DCE3BD4" w14:textId="3183301D" w:rsidR="002D4567" w:rsidRPr="00E33182" w:rsidRDefault="008116BF">
            <w:pPr>
              <w:pStyle w:val="TableFigures"/>
            </w:pPr>
            <w:r w:rsidRPr="00E33182">
              <w:t>36</w:t>
            </w:r>
          </w:p>
        </w:tc>
      </w:tr>
      <w:tr w:rsidR="005F6D8A" w:rsidRPr="008116BF" w14:paraId="364D9E13" w14:textId="77777777" w:rsidTr="00987007">
        <w:tc>
          <w:tcPr>
            <w:tcW w:w="5408" w:type="dxa"/>
            <w:tcBorders>
              <w:bottom w:val="single" w:sz="4" w:space="0" w:color="999999"/>
            </w:tcBorders>
            <w:shd w:val="clear" w:color="auto" w:fill="auto"/>
            <w:vAlign w:val="bottom"/>
          </w:tcPr>
          <w:p w14:paraId="298E62A5" w14:textId="5E4884B2" w:rsidR="002D4567" w:rsidRPr="008116BF" w:rsidRDefault="002D4567" w:rsidP="002D4567">
            <w:pPr>
              <w:pStyle w:val="Tabletext"/>
            </w:pPr>
            <w:r w:rsidRPr="008116BF">
              <w:t>Costs capitalised</w:t>
            </w:r>
            <w:r w:rsidR="00E7751B">
              <w:rPr>
                <w:vertAlign w:val="superscript"/>
              </w:rPr>
              <w:t>2</w:t>
            </w:r>
          </w:p>
        </w:tc>
        <w:tc>
          <w:tcPr>
            <w:tcW w:w="2672" w:type="dxa"/>
            <w:tcBorders>
              <w:bottom w:val="single" w:sz="4" w:space="0" w:color="999999"/>
            </w:tcBorders>
            <w:shd w:val="clear" w:color="auto" w:fill="auto"/>
            <w:vAlign w:val="bottom"/>
          </w:tcPr>
          <w:p w14:paraId="566B2CE1" w14:textId="77777777" w:rsidR="002D4567" w:rsidRPr="008116BF" w:rsidRDefault="002D4567" w:rsidP="002D4567">
            <w:pPr>
              <w:pStyle w:val="TableFiguresBracketsBold"/>
            </w:pPr>
          </w:p>
        </w:tc>
        <w:tc>
          <w:tcPr>
            <w:tcW w:w="1276" w:type="dxa"/>
            <w:tcBorders>
              <w:bottom w:val="single" w:sz="4" w:space="0" w:color="999999"/>
            </w:tcBorders>
            <w:shd w:val="clear" w:color="auto" w:fill="auto"/>
          </w:tcPr>
          <w:p w14:paraId="68A5A4E1" w14:textId="45F0C87D" w:rsidR="002D4567" w:rsidRPr="008116BF" w:rsidRDefault="002D4567" w:rsidP="00571D93">
            <w:pPr>
              <w:pStyle w:val="TableFiguresBracketsBold"/>
            </w:pPr>
            <w:r w:rsidRPr="008116BF">
              <w:t>(</w:t>
            </w:r>
            <w:r w:rsidR="008116BF" w:rsidRPr="008116BF">
              <w:t>9</w:t>
            </w:r>
            <w:r w:rsidRPr="008116BF">
              <w:t>)</w:t>
            </w:r>
          </w:p>
        </w:tc>
        <w:tc>
          <w:tcPr>
            <w:tcW w:w="1134" w:type="dxa"/>
            <w:tcBorders>
              <w:bottom w:val="single" w:sz="4" w:space="0" w:color="999999"/>
            </w:tcBorders>
            <w:shd w:val="clear" w:color="auto" w:fill="auto"/>
            <w:vAlign w:val="bottom"/>
          </w:tcPr>
          <w:p w14:paraId="35B33038" w14:textId="66145C31" w:rsidR="002D4567" w:rsidRPr="008116BF" w:rsidRDefault="002D4567" w:rsidP="002D4567">
            <w:pPr>
              <w:pStyle w:val="TableFiguresBrackets"/>
            </w:pPr>
            <w:r w:rsidRPr="008116BF">
              <w:t>(</w:t>
            </w:r>
            <w:r w:rsidR="008116BF" w:rsidRPr="008116BF">
              <w:t>9</w:t>
            </w:r>
            <w:r w:rsidRPr="008116BF">
              <w:t>)</w:t>
            </w:r>
          </w:p>
        </w:tc>
      </w:tr>
      <w:tr w:rsidR="005F6D8A" w:rsidRPr="008116BF" w14:paraId="344089A2" w14:textId="77777777" w:rsidTr="00987007">
        <w:tc>
          <w:tcPr>
            <w:tcW w:w="5408" w:type="dxa"/>
            <w:tcBorders>
              <w:top w:val="single" w:sz="4" w:space="0" w:color="999999"/>
            </w:tcBorders>
            <w:shd w:val="clear" w:color="auto" w:fill="auto"/>
            <w:vAlign w:val="bottom"/>
          </w:tcPr>
          <w:p w14:paraId="5AB60E8D" w14:textId="77777777" w:rsidR="002D4567" w:rsidRPr="008116BF" w:rsidRDefault="002D4567" w:rsidP="002D4567">
            <w:pPr>
              <w:pStyle w:val="TabletextBold"/>
              <w:rPr>
                <w:szCs w:val="20"/>
              </w:rPr>
            </w:pPr>
            <w:r w:rsidRPr="008116BF">
              <w:rPr>
                <w:szCs w:val="20"/>
              </w:rPr>
              <w:t>Total property operating expenses</w:t>
            </w:r>
          </w:p>
        </w:tc>
        <w:tc>
          <w:tcPr>
            <w:tcW w:w="2672" w:type="dxa"/>
            <w:tcBorders>
              <w:top w:val="single" w:sz="4" w:space="0" w:color="999999"/>
            </w:tcBorders>
            <w:shd w:val="clear" w:color="auto" w:fill="auto"/>
            <w:vAlign w:val="bottom"/>
          </w:tcPr>
          <w:p w14:paraId="15591449" w14:textId="77777777" w:rsidR="002D4567" w:rsidRPr="008116BF" w:rsidRDefault="002D4567" w:rsidP="002D4567">
            <w:pPr>
              <w:pStyle w:val="TableFiguresBold0"/>
            </w:pPr>
          </w:p>
        </w:tc>
        <w:tc>
          <w:tcPr>
            <w:tcW w:w="1276" w:type="dxa"/>
            <w:tcBorders>
              <w:top w:val="single" w:sz="4" w:space="0" w:color="999999"/>
            </w:tcBorders>
            <w:shd w:val="clear" w:color="auto" w:fill="auto"/>
          </w:tcPr>
          <w:p w14:paraId="156BFEED" w14:textId="7DE2E892" w:rsidR="002D4567" w:rsidRPr="00FD1A13" w:rsidRDefault="008116BF" w:rsidP="00FD1A13">
            <w:pPr>
              <w:pStyle w:val="TableFiguresBold0"/>
            </w:pPr>
            <w:r w:rsidRPr="00FD1A13">
              <w:t>100</w:t>
            </w:r>
          </w:p>
        </w:tc>
        <w:tc>
          <w:tcPr>
            <w:tcW w:w="1134" w:type="dxa"/>
            <w:tcBorders>
              <w:top w:val="single" w:sz="4" w:space="0" w:color="999999"/>
            </w:tcBorders>
            <w:shd w:val="clear" w:color="auto" w:fill="auto"/>
            <w:vAlign w:val="bottom"/>
          </w:tcPr>
          <w:p w14:paraId="6B1F8BBC" w14:textId="1E8196C5" w:rsidR="002D4567" w:rsidRPr="00E33182" w:rsidRDefault="008116BF">
            <w:pPr>
              <w:pStyle w:val="TableFigures"/>
            </w:pPr>
            <w:r w:rsidRPr="00E33182">
              <w:t>88</w:t>
            </w:r>
          </w:p>
        </w:tc>
      </w:tr>
      <w:tr w:rsidR="005F6D8A" w:rsidRPr="008116BF" w14:paraId="5BE72569" w14:textId="77777777" w:rsidTr="00987007">
        <w:tc>
          <w:tcPr>
            <w:tcW w:w="5408" w:type="dxa"/>
            <w:tcBorders>
              <w:bottom w:val="single" w:sz="8" w:space="0" w:color="999999"/>
            </w:tcBorders>
            <w:shd w:val="clear" w:color="auto" w:fill="auto"/>
            <w:vAlign w:val="bottom"/>
          </w:tcPr>
          <w:p w14:paraId="49B05E11" w14:textId="7B961282" w:rsidR="002D4567" w:rsidRPr="008116BF" w:rsidRDefault="002D4567" w:rsidP="002D4567">
            <w:pPr>
              <w:pStyle w:val="TabletextBold"/>
              <w:rPr>
                <w:b w:val="0"/>
                <w:szCs w:val="20"/>
              </w:rPr>
            </w:pPr>
            <w:r w:rsidRPr="008116BF">
              <w:rPr>
                <w:b w:val="0"/>
                <w:szCs w:val="20"/>
              </w:rPr>
              <w:t>Trading properties cost of sales</w:t>
            </w:r>
          </w:p>
        </w:tc>
        <w:tc>
          <w:tcPr>
            <w:tcW w:w="2672" w:type="dxa"/>
            <w:tcBorders>
              <w:bottom w:val="single" w:sz="8" w:space="0" w:color="999999"/>
            </w:tcBorders>
            <w:shd w:val="clear" w:color="auto" w:fill="auto"/>
            <w:vAlign w:val="bottom"/>
          </w:tcPr>
          <w:p w14:paraId="0E157F5B" w14:textId="77777777" w:rsidR="002D4567" w:rsidRPr="008116BF" w:rsidRDefault="002D4567" w:rsidP="002D4567">
            <w:pPr>
              <w:pStyle w:val="TableFiguresBold0"/>
            </w:pPr>
          </w:p>
        </w:tc>
        <w:tc>
          <w:tcPr>
            <w:tcW w:w="1276" w:type="dxa"/>
            <w:tcBorders>
              <w:bottom w:val="single" w:sz="8" w:space="0" w:color="999999"/>
            </w:tcBorders>
            <w:shd w:val="clear" w:color="auto" w:fill="auto"/>
          </w:tcPr>
          <w:p w14:paraId="69C37CFB" w14:textId="3F525A59" w:rsidR="002D4567" w:rsidRPr="00FD1A13" w:rsidRDefault="008116BF" w:rsidP="00FD1A13">
            <w:pPr>
              <w:pStyle w:val="TableFiguresBold0"/>
            </w:pPr>
            <w:r w:rsidRPr="00FD1A13">
              <w:t>40</w:t>
            </w:r>
          </w:p>
        </w:tc>
        <w:tc>
          <w:tcPr>
            <w:tcW w:w="1134" w:type="dxa"/>
            <w:tcBorders>
              <w:bottom w:val="single" w:sz="8" w:space="0" w:color="999999"/>
            </w:tcBorders>
            <w:shd w:val="clear" w:color="auto" w:fill="auto"/>
            <w:vAlign w:val="bottom"/>
          </w:tcPr>
          <w:p w14:paraId="0B9E887F" w14:textId="33BC4179" w:rsidR="002D4567" w:rsidRPr="00E33182" w:rsidRDefault="008116BF">
            <w:pPr>
              <w:pStyle w:val="TableFigures"/>
            </w:pPr>
            <w:r w:rsidRPr="00E33182">
              <w:t>16</w:t>
            </w:r>
          </w:p>
        </w:tc>
      </w:tr>
      <w:tr w:rsidR="002D4567" w:rsidRPr="008116BF" w14:paraId="53E0515A" w14:textId="77777777" w:rsidTr="00987007">
        <w:tc>
          <w:tcPr>
            <w:tcW w:w="5408" w:type="dxa"/>
            <w:tcBorders>
              <w:top w:val="single" w:sz="4" w:space="0" w:color="999999"/>
              <w:bottom w:val="single" w:sz="8" w:space="0" w:color="999999"/>
            </w:tcBorders>
            <w:shd w:val="clear" w:color="auto" w:fill="auto"/>
            <w:vAlign w:val="bottom"/>
          </w:tcPr>
          <w:p w14:paraId="123B0307" w14:textId="22415128" w:rsidR="002D4567" w:rsidRPr="008116BF" w:rsidRDefault="002D4567" w:rsidP="002D4567">
            <w:pPr>
              <w:pStyle w:val="TabletextBold"/>
              <w:rPr>
                <w:szCs w:val="20"/>
              </w:rPr>
            </w:pPr>
            <w:r w:rsidRPr="008116BF">
              <w:rPr>
                <w:szCs w:val="20"/>
              </w:rPr>
              <w:t>Total costs</w:t>
            </w:r>
          </w:p>
        </w:tc>
        <w:tc>
          <w:tcPr>
            <w:tcW w:w="2672" w:type="dxa"/>
            <w:tcBorders>
              <w:top w:val="single" w:sz="4" w:space="0" w:color="999999"/>
              <w:bottom w:val="single" w:sz="8" w:space="0" w:color="999999"/>
            </w:tcBorders>
            <w:shd w:val="clear" w:color="auto" w:fill="auto"/>
            <w:vAlign w:val="bottom"/>
          </w:tcPr>
          <w:p w14:paraId="7CEFE6D3" w14:textId="77777777" w:rsidR="002D4567" w:rsidRPr="008116BF" w:rsidRDefault="002D4567" w:rsidP="002D4567">
            <w:pPr>
              <w:pStyle w:val="TableFiguresBold0"/>
            </w:pPr>
          </w:p>
        </w:tc>
        <w:tc>
          <w:tcPr>
            <w:tcW w:w="1276" w:type="dxa"/>
            <w:tcBorders>
              <w:top w:val="single" w:sz="4" w:space="0" w:color="999999"/>
              <w:bottom w:val="single" w:sz="8" w:space="0" w:color="999999"/>
            </w:tcBorders>
            <w:shd w:val="clear" w:color="auto" w:fill="auto"/>
          </w:tcPr>
          <w:p w14:paraId="1A773134" w14:textId="49BA2908" w:rsidR="002D4567" w:rsidRPr="00FD1A13" w:rsidRDefault="008116BF" w:rsidP="00FD1A13">
            <w:pPr>
              <w:pStyle w:val="TableFiguresBold0"/>
            </w:pPr>
            <w:r w:rsidRPr="00FD1A13">
              <w:t>140</w:t>
            </w:r>
          </w:p>
        </w:tc>
        <w:tc>
          <w:tcPr>
            <w:tcW w:w="1134" w:type="dxa"/>
            <w:tcBorders>
              <w:top w:val="single" w:sz="4" w:space="0" w:color="999999"/>
              <w:bottom w:val="single" w:sz="8" w:space="0" w:color="999999"/>
            </w:tcBorders>
            <w:shd w:val="clear" w:color="auto" w:fill="auto"/>
            <w:vAlign w:val="bottom"/>
          </w:tcPr>
          <w:p w14:paraId="69A757CD" w14:textId="1F52E5DD" w:rsidR="002D4567" w:rsidRPr="00E33182" w:rsidRDefault="008116BF">
            <w:pPr>
              <w:pStyle w:val="TableFigures"/>
            </w:pPr>
            <w:r w:rsidRPr="00E33182">
              <w:t>104</w:t>
            </w:r>
          </w:p>
        </w:tc>
      </w:tr>
    </w:tbl>
    <w:p w14:paraId="1E809A85" w14:textId="77777777" w:rsidR="006D2158" w:rsidRPr="005F6D8A" w:rsidRDefault="006D2158" w:rsidP="005E793C">
      <w:pPr>
        <w:pStyle w:val="FootnotesNoSpace"/>
        <w:rPr>
          <w:i w:val="0"/>
          <w:color w:val="FF0000"/>
        </w:rPr>
      </w:pPr>
    </w:p>
    <w:p w14:paraId="038E85D4" w14:textId="65F9938C" w:rsidR="008116BF" w:rsidRDefault="008239CB" w:rsidP="008116BF">
      <w:pPr>
        <w:pStyle w:val="FootnotesNoSpace"/>
      </w:pPr>
      <w:r>
        <w:t>1</w:t>
      </w:r>
      <w:r w:rsidR="008116BF">
        <w:t xml:space="preserve"> Property administration expenses predominantly relate to the employee staff costs of personnel directly involved in managing the property portfolio. </w:t>
      </w:r>
    </w:p>
    <w:p w14:paraId="4D70DF9D" w14:textId="329E45E4" w:rsidR="005E793C" w:rsidRPr="005F6D8A" w:rsidRDefault="008239CB" w:rsidP="008116BF">
      <w:pPr>
        <w:pStyle w:val="FootnotesNoSpace"/>
        <w:rPr>
          <w:rFonts w:cs="Arial"/>
          <w:b/>
          <w:caps/>
          <w:color w:val="FF0000"/>
          <w:spacing w:val="-4"/>
          <w:szCs w:val="20"/>
        </w:rPr>
      </w:pPr>
      <w:r>
        <w:t>2</w:t>
      </w:r>
      <w:r w:rsidR="008116BF">
        <w:t xml:space="preserve"> Costs capitalised primarily relate to internal employee staff costs directly involved in developing the property portfolio.</w:t>
      </w:r>
      <w:r w:rsidR="005E793C" w:rsidRPr="005F6D8A">
        <w:rPr>
          <w:color w:val="FF0000"/>
          <w:szCs w:val="20"/>
        </w:rPr>
        <w:br w:type="page"/>
      </w:r>
    </w:p>
    <w:p w14:paraId="7E3F7029" w14:textId="77777777" w:rsidR="005E793C" w:rsidRPr="00B92420" w:rsidRDefault="005E793C" w:rsidP="005E793C">
      <w:pPr>
        <w:pStyle w:val="Heading1"/>
        <w:rPr>
          <w:szCs w:val="20"/>
        </w:rPr>
      </w:pPr>
      <w:r w:rsidRPr="00B92420">
        <w:rPr>
          <w:szCs w:val="20"/>
        </w:rPr>
        <w:lastRenderedPageBreak/>
        <w:t>6. INVESTMENTS IN JOINT VENTURES AND SUBSIDIARIES</w:t>
      </w:r>
    </w:p>
    <w:p w14:paraId="62BEC4D6" w14:textId="77777777" w:rsidR="005E793C" w:rsidRPr="00B92420" w:rsidRDefault="005E793C" w:rsidP="005E793C">
      <w:pPr>
        <w:pStyle w:val="Heading3"/>
      </w:pPr>
      <w:r w:rsidRPr="00B92420">
        <w:t>6(i) Profit from joint ventures after tax</w:t>
      </w:r>
    </w:p>
    <w:p w14:paraId="4B922DF8" w14:textId="0519D48D" w:rsidR="005E793C" w:rsidRPr="005F6D8A" w:rsidRDefault="003C3132" w:rsidP="005E793C">
      <w:pPr>
        <w:pStyle w:val="Normal1"/>
        <w:rPr>
          <w:color w:val="FF0000"/>
        </w:rPr>
      </w:pPr>
      <w:r>
        <w:t>The table below presents a summary Income Statement of the Group’s largest joint ventures, all of which are accounted for using the equity method. SEGRO European Logistics Partnership (SELP) is incorporated in Luxembourg and owns logistics property assets in Continental Europe. The Group holds 50 per cent of the share capital and voting rights in the material joint ventures.</w:t>
      </w:r>
    </w:p>
    <w:tbl>
      <w:tblPr>
        <w:tblW w:w="10348" w:type="dxa"/>
        <w:tblCellMar>
          <w:left w:w="0" w:type="dxa"/>
          <w:right w:w="0" w:type="dxa"/>
        </w:tblCellMar>
        <w:tblLook w:val="01E0" w:firstRow="1" w:lastRow="1" w:firstColumn="1" w:lastColumn="1" w:noHBand="0" w:noVBand="0"/>
      </w:tblPr>
      <w:tblGrid>
        <w:gridCol w:w="4451"/>
        <w:gridCol w:w="1786"/>
        <w:gridCol w:w="709"/>
        <w:gridCol w:w="992"/>
        <w:gridCol w:w="851"/>
        <w:gridCol w:w="850"/>
        <w:gridCol w:w="709"/>
      </w:tblGrid>
      <w:tr w:rsidR="003C3132" w:rsidRPr="003C3132" w14:paraId="738CCBA7" w14:textId="77777777" w:rsidTr="003C3132">
        <w:trPr>
          <w:trHeight w:val="666"/>
        </w:trPr>
        <w:tc>
          <w:tcPr>
            <w:tcW w:w="4451" w:type="dxa"/>
            <w:tcBorders>
              <w:bottom w:val="single" w:sz="8" w:space="0" w:color="999999"/>
            </w:tcBorders>
            <w:shd w:val="clear" w:color="auto" w:fill="auto"/>
            <w:vAlign w:val="bottom"/>
          </w:tcPr>
          <w:p w14:paraId="41FA4FF8" w14:textId="77777777" w:rsidR="003C3132" w:rsidRPr="003C3132" w:rsidRDefault="003C3132" w:rsidP="00E30618">
            <w:pPr>
              <w:pStyle w:val="TableColHeads"/>
              <w:spacing w:line="-180" w:lineRule="auto"/>
            </w:pPr>
          </w:p>
        </w:tc>
        <w:tc>
          <w:tcPr>
            <w:tcW w:w="1786" w:type="dxa"/>
            <w:tcBorders>
              <w:bottom w:val="single" w:sz="8" w:space="0" w:color="999999"/>
            </w:tcBorders>
          </w:tcPr>
          <w:p w14:paraId="3ADAC4DF" w14:textId="4B384704" w:rsidR="003C3132" w:rsidRPr="003C3132" w:rsidRDefault="003C3132" w:rsidP="00E30618">
            <w:pPr>
              <w:pStyle w:val="TableColHeadsBold0"/>
            </w:pPr>
            <w:r w:rsidRPr="003C3132">
              <w:t>SELP</w:t>
            </w:r>
          </w:p>
          <w:p w14:paraId="75BF6870" w14:textId="77777777" w:rsidR="003C3132" w:rsidRPr="003C3132" w:rsidRDefault="003C3132" w:rsidP="00E30618">
            <w:pPr>
              <w:pStyle w:val="TableColHeadsBold0"/>
            </w:pPr>
            <w:r w:rsidRPr="003C3132">
              <w:t>£m</w:t>
            </w:r>
          </w:p>
        </w:tc>
        <w:tc>
          <w:tcPr>
            <w:tcW w:w="709" w:type="dxa"/>
            <w:tcBorders>
              <w:bottom w:val="single" w:sz="8" w:space="0" w:color="999999"/>
            </w:tcBorders>
          </w:tcPr>
          <w:p w14:paraId="0633DAC2" w14:textId="06A19F01" w:rsidR="003C3132" w:rsidRPr="003C3132" w:rsidRDefault="003C3132" w:rsidP="00E30618">
            <w:pPr>
              <w:pStyle w:val="TableColHeadsBold0"/>
            </w:pPr>
            <w:r w:rsidRPr="003C3132">
              <w:t>Other</w:t>
            </w:r>
          </w:p>
          <w:p w14:paraId="0E5C0285" w14:textId="77777777" w:rsidR="003C3132" w:rsidRPr="003C3132" w:rsidRDefault="003C3132" w:rsidP="00E30618">
            <w:pPr>
              <w:pStyle w:val="TableColHeadsBold0"/>
            </w:pPr>
            <w:r w:rsidRPr="003C3132">
              <w:t>£m</w:t>
            </w:r>
          </w:p>
        </w:tc>
        <w:tc>
          <w:tcPr>
            <w:tcW w:w="992" w:type="dxa"/>
            <w:tcBorders>
              <w:bottom w:val="single" w:sz="8" w:space="0" w:color="999999"/>
            </w:tcBorders>
            <w:shd w:val="clear" w:color="auto" w:fill="auto"/>
            <w:vAlign w:val="bottom"/>
          </w:tcPr>
          <w:p w14:paraId="7AD96B13" w14:textId="369FA6D7" w:rsidR="003C3132" w:rsidRPr="003C3132" w:rsidRDefault="003C3132" w:rsidP="00BD7AF0">
            <w:pPr>
              <w:pStyle w:val="TableColHeadsBold0"/>
            </w:pPr>
            <w:r w:rsidRPr="003C3132">
              <w:t>At 100%</w:t>
            </w:r>
          </w:p>
          <w:p w14:paraId="01EDB20A" w14:textId="3F2F1E5D" w:rsidR="003C3132" w:rsidRPr="003C3132" w:rsidRDefault="003C3132" w:rsidP="00BD7AF0">
            <w:pPr>
              <w:pStyle w:val="TableColHeadsBold0"/>
            </w:pPr>
            <w:r w:rsidRPr="003C3132">
              <w:t>202</w:t>
            </w:r>
            <w:r>
              <w:t>1</w:t>
            </w:r>
          </w:p>
          <w:p w14:paraId="16D3E01C" w14:textId="77777777" w:rsidR="003C3132" w:rsidRPr="003C3132" w:rsidRDefault="003C3132" w:rsidP="00BD7AF0">
            <w:pPr>
              <w:pStyle w:val="TableColHeadsBold0"/>
            </w:pPr>
            <w:r w:rsidRPr="003C3132">
              <w:t>£m</w:t>
            </w:r>
          </w:p>
        </w:tc>
        <w:tc>
          <w:tcPr>
            <w:tcW w:w="851" w:type="dxa"/>
            <w:tcBorders>
              <w:bottom w:val="single" w:sz="8" w:space="0" w:color="999999"/>
            </w:tcBorders>
            <w:shd w:val="clear" w:color="auto" w:fill="auto"/>
            <w:vAlign w:val="bottom"/>
          </w:tcPr>
          <w:p w14:paraId="594947AC" w14:textId="07CA9ED8" w:rsidR="003C3132" w:rsidRPr="003C3132" w:rsidRDefault="003C3132" w:rsidP="00BD7AF0">
            <w:pPr>
              <w:pStyle w:val="TableColHeadsBold0"/>
              <w:rPr>
                <w:b w:val="0"/>
                <w:bCs w:val="0"/>
              </w:rPr>
            </w:pPr>
            <w:r w:rsidRPr="003C3132">
              <w:rPr>
                <w:b w:val="0"/>
                <w:bCs w:val="0"/>
              </w:rPr>
              <w:t>At 100% 20</w:t>
            </w:r>
            <w:r>
              <w:rPr>
                <w:b w:val="0"/>
                <w:bCs w:val="0"/>
              </w:rPr>
              <w:t>20</w:t>
            </w:r>
          </w:p>
          <w:p w14:paraId="6B4F767C" w14:textId="77777777" w:rsidR="003C3132" w:rsidRPr="003C3132" w:rsidRDefault="003C3132" w:rsidP="00BD7AF0">
            <w:pPr>
              <w:pStyle w:val="TableColHeadsBold0"/>
            </w:pPr>
            <w:r w:rsidRPr="003C3132">
              <w:rPr>
                <w:b w:val="0"/>
                <w:bCs w:val="0"/>
              </w:rPr>
              <w:t>£m</w:t>
            </w:r>
          </w:p>
        </w:tc>
        <w:tc>
          <w:tcPr>
            <w:tcW w:w="850" w:type="dxa"/>
            <w:tcBorders>
              <w:bottom w:val="single" w:sz="8" w:space="0" w:color="999999"/>
            </w:tcBorders>
          </w:tcPr>
          <w:p w14:paraId="561D1654" w14:textId="42E6442C" w:rsidR="003C3132" w:rsidRPr="003C3132" w:rsidRDefault="003C3132" w:rsidP="00BD7AF0">
            <w:pPr>
              <w:pStyle w:val="TableColHeadsBold0"/>
            </w:pPr>
            <w:r w:rsidRPr="003C3132">
              <w:t>At 50% 202</w:t>
            </w:r>
            <w:r>
              <w:t>1</w:t>
            </w:r>
          </w:p>
          <w:p w14:paraId="34EE861C" w14:textId="77777777" w:rsidR="003C3132" w:rsidRPr="003C3132" w:rsidRDefault="003C3132" w:rsidP="00BD7AF0">
            <w:pPr>
              <w:pStyle w:val="TableColHeadsBold0"/>
            </w:pPr>
            <w:r w:rsidRPr="003C3132">
              <w:t>£m</w:t>
            </w:r>
          </w:p>
        </w:tc>
        <w:tc>
          <w:tcPr>
            <w:tcW w:w="709" w:type="dxa"/>
            <w:tcBorders>
              <w:bottom w:val="single" w:sz="8" w:space="0" w:color="999999"/>
            </w:tcBorders>
            <w:shd w:val="clear" w:color="auto" w:fill="auto"/>
            <w:vAlign w:val="bottom"/>
          </w:tcPr>
          <w:p w14:paraId="3D9BA1BC" w14:textId="21B2CB7F" w:rsidR="003C3132" w:rsidRPr="003C3132" w:rsidRDefault="003C3132" w:rsidP="00BD7AF0">
            <w:pPr>
              <w:pStyle w:val="TableColHeadsBold0"/>
              <w:rPr>
                <w:b w:val="0"/>
                <w:bCs w:val="0"/>
              </w:rPr>
            </w:pPr>
            <w:r w:rsidRPr="003C3132">
              <w:rPr>
                <w:b w:val="0"/>
                <w:bCs w:val="0"/>
              </w:rPr>
              <w:t>At 50% 20</w:t>
            </w:r>
            <w:r>
              <w:rPr>
                <w:b w:val="0"/>
                <w:bCs w:val="0"/>
              </w:rPr>
              <w:t>20</w:t>
            </w:r>
          </w:p>
          <w:p w14:paraId="169880AB" w14:textId="77777777" w:rsidR="003C3132" w:rsidRPr="003C3132" w:rsidRDefault="003C3132" w:rsidP="00BD7AF0">
            <w:pPr>
              <w:pStyle w:val="TableColHeadsBold0"/>
            </w:pPr>
            <w:r w:rsidRPr="003C3132">
              <w:rPr>
                <w:b w:val="0"/>
                <w:bCs w:val="0"/>
              </w:rPr>
              <w:t>£m</w:t>
            </w:r>
          </w:p>
        </w:tc>
      </w:tr>
      <w:tr w:rsidR="003C3132" w:rsidRPr="00FF04DA" w14:paraId="238B75E0" w14:textId="77777777" w:rsidTr="003C3132">
        <w:tc>
          <w:tcPr>
            <w:tcW w:w="4451" w:type="dxa"/>
            <w:tcBorders>
              <w:top w:val="single" w:sz="8" w:space="0" w:color="999999"/>
            </w:tcBorders>
            <w:shd w:val="clear" w:color="auto" w:fill="auto"/>
            <w:vAlign w:val="bottom"/>
          </w:tcPr>
          <w:p w14:paraId="7B6DB3F6" w14:textId="4A6D3564" w:rsidR="003C3132" w:rsidRPr="0022103C" w:rsidRDefault="003C3132" w:rsidP="002B0BDC">
            <w:pPr>
              <w:pStyle w:val="Tabletext"/>
              <w:rPr>
                <w:b/>
              </w:rPr>
            </w:pPr>
            <w:r w:rsidRPr="0022103C">
              <w:rPr>
                <w:b/>
              </w:rPr>
              <w:t>Revenue</w:t>
            </w:r>
            <w:r w:rsidRPr="0022103C">
              <w:rPr>
                <w:b/>
                <w:vertAlign w:val="superscript"/>
              </w:rPr>
              <w:t>1</w:t>
            </w:r>
          </w:p>
        </w:tc>
        <w:tc>
          <w:tcPr>
            <w:tcW w:w="1786" w:type="dxa"/>
            <w:tcBorders>
              <w:top w:val="single" w:sz="8" w:space="0" w:color="999999"/>
            </w:tcBorders>
          </w:tcPr>
          <w:p w14:paraId="3A9DCC98" w14:textId="3511B2E6" w:rsidR="003C3132" w:rsidRPr="0022103C" w:rsidRDefault="003C3132" w:rsidP="002B0BDC">
            <w:pPr>
              <w:pStyle w:val="TableFiguresBold0"/>
            </w:pPr>
            <w:r w:rsidRPr="0022103C">
              <w:t>270</w:t>
            </w:r>
          </w:p>
        </w:tc>
        <w:tc>
          <w:tcPr>
            <w:tcW w:w="709" w:type="dxa"/>
            <w:tcBorders>
              <w:top w:val="single" w:sz="8" w:space="0" w:color="999999"/>
            </w:tcBorders>
          </w:tcPr>
          <w:p w14:paraId="52BEB02B" w14:textId="0964F198" w:rsidR="003C3132" w:rsidRPr="0022103C" w:rsidRDefault="003C3132" w:rsidP="002B0BDC">
            <w:pPr>
              <w:pStyle w:val="TableFiguresBold0"/>
            </w:pPr>
            <w:r w:rsidRPr="0022103C">
              <w:t>–</w:t>
            </w:r>
          </w:p>
        </w:tc>
        <w:tc>
          <w:tcPr>
            <w:tcW w:w="992" w:type="dxa"/>
            <w:tcBorders>
              <w:top w:val="single" w:sz="8" w:space="0" w:color="999999"/>
            </w:tcBorders>
            <w:shd w:val="clear" w:color="auto" w:fill="auto"/>
          </w:tcPr>
          <w:p w14:paraId="7879505D" w14:textId="5DA8589E" w:rsidR="003C3132" w:rsidRPr="0022103C" w:rsidRDefault="003C3132" w:rsidP="002B0BDC">
            <w:pPr>
              <w:pStyle w:val="TableFiguresBold0"/>
            </w:pPr>
            <w:r w:rsidRPr="0022103C">
              <w:t>270</w:t>
            </w:r>
          </w:p>
        </w:tc>
        <w:tc>
          <w:tcPr>
            <w:tcW w:w="851" w:type="dxa"/>
            <w:tcBorders>
              <w:top w:val="single" w:sz="8" w:space="0" w:color="999999"/>
            </w:tcBorders>
            <w:shd w:val="clear" w:color="auto" w:fill="auto"/>
          </w:tcPr>
          <w:p w14:paraId="610CEB75" w14:textId="5F79D0DD" w:rsidR="003C3132" w:rsidRPr="0022103C" w:rsidRDefault="003C3132" w:rsidP="00FD1A13">
            <w:pPr>
              <w:pStyle w:val="TableFigures"/>
            </w:pPr>
            <w:r w:rsidRPr="0022103C">
              <w:t>249</w:t>
            </w:r>
          </w:p>
        </w:tc>
        <w:tc>
          <w:tcPr>
            <w:tcW w:w="850" w:type="dxa"/>
            <w:tcBorders>
              <w:top w:val="single" w:sz="8" w:space="0" w:color="999999"/>
            </w:tcBorders>
          </w:tcPr>
          <w:p w14:paraId="47B1C218" w14:textId="617F3D67" w:rsidR="003C3132" w:rsidRPr="0022103C" w:rsidRDefault="003C3132" w:rsidP="002B0BDC">
            <w:pPr>
              <w:pStyle w:val="TableFiguresBold0"/>
            </w:pPr>
            <w:r w:rsidRPr="0022103C">
              <w:t>135</w:t>
            </w:r>
          </w:p>
        </w:tc>
        <w:tc>
          <w:tcPr>
            <w:tcW w:w="709" w:type="dxa"/>
            <w:tcBorders>
              <w:top w:val="single" w:sz="8" w:space="0" w:color="999999"/>
            </w:tcBorders>
            <w:shd w:val="clear" w:color="auto" w:fill="auto"/>
          </w:tcPr>
          <w:p w14:paraId="096FDD5A" w14:textId="46A7B459" w:rsidR="003C3132" w:rsidRPr="0022103C" w:rsidRDefault="003C3132" w:rsidP="002B0BDC">
            <w:pPr>
              <w:pStyle w:val="TableFigures"/>
            </w:pPr>
            <w:r w:rsidRPr="0022103C">
              <w:t>125</w:t>
            </w:r>
          </w:p>
        </w:tc>
      </w:tr>
      <w:tr w:rsidR="003C3132" w:rsidRPr="00FF04DA" w14:paraId="0B4EAC37" w14:textId="77777777" w:rsidTr="003C3132">
        <w:tc>
          <w:tcPr>
            <w:tcW w:w="4451" w:type="dxa"/>
            <w:tcBorders>
              <w:top w:val="single" w:sz="8" w:space="0" w:color="999999"/>
            </w:tcBorders>
            <w:shd w:val="clear" w:color="auto" w:fill="auto"/>
            <w:vAlign w:val="bottom"/>
          </w:tcPr>
          <w:p w14:paraId="46A9E545" w14:textId="77777777" w:rsidR="003C3132" w:rsidRPr="0022103C" w:rsidRDefault="003C3132" w:rsidP="002B0BDC">
            <w:pPr>
              <w:pStyle w:val="Tabletext"/>
              <w:rPr>
                <w:b/>
              </w:rPr>
            </w:pPr>
            <w:r w:rsidRPr="0022103C">
              <w:rPr>
                <w:b/>
              </w:rPr>
              <w:t>Gross rental income</w:t>
            </w:r>
          </w:p>
        </w:tc>
        <w:tc>
          <w:tcPr>
            <w:tcW w:w="1786" w:type="dxa"/>
            <w:tcBorders>
              <w:top w:val="single" w:sz="8" w:space="0" w:color="999999"/>
            </w:tcBorders>
          </w:tcPr>
          <w:p w14:paraId="7ECD74A2" w14:textId="59E7889F" w:rsidR="003C3132" w:rsidRPr="0022103C" w:rsidRDefault="009E3D0F" w:rsidP="002B0BDC">
            <w:pPr>
              <w:pStyle w:val="TableFiguresBold0"/>
            </w:pPr>
            <w:r w:rsidRPr="0022103C">
              <w:t>270</w:t>
            </w:r>
          </w:p>
        </w:tc>
        <w:tc>
          <w:tcPr>
            <w:tcW w:w="709" w:type="dxa"/>
            <w:tcBorders>
              <w:top w:val="single" w:sz="8" w:space="0" w:color="999999"/>
            </w:tcBorders>
          </w:tcPr>
          <w:p w14:paraId="2B0072A0" w14:textId="4A3C3F60" w:rsidR="003C3132" w:rsidRPr="0022103C" w:rsidRDefault="003C3132" w:rsidP="002B0BDC">
            <w:pPr>
              <w:pStyle w:val="TableFiguresBold0"/>
            </w:pPr>
            <w:r w:rsidRPr="0022103C">
              <w:t>–</w:t>
            </w:r>
          </w:p>
        </w:tc>
        <w:tc>
          <w:tcPr>
            <w:tcW w:w="992" w:type="dxa"/>
            <w:tcBorders>
              <w:top w:val="single" w:sz="8" w:space="0" w:color="999999"/>
            </w:tcBorders>
            <w:shd w:val="clear" w:color="auto" w:fill="auto"/>
            <w:vAlign w:val="bottom"/>
          </w:tcPr>
          <w:p w14:paraId="0F6BB7D4" w14:textId="26485334" w:rsidR="003C3132" w:rsidRPr="0022103C" w:rsidRDefault="009E3D0F" w:rsidP="002B0BDC">
            <w:pPr>
              <w:pStyle w:val="TableFiguresBold0"/>
            </w:pPr>
            <w:r w:rsidRPr="0022103C">
              <w:t>270</w:t>
            </w:r>
          </w:p>
        </w:tc>
        <w:tc>
          <w:tcPr>
            <w:tcW w:w="851" w:type="dxa"/>
            <w:tcBorders>
              <w:top w:val="single" w:sz="8" w:space="0" w:color="999999"/>
            </w:tcBorders>
            <w:shd w:val="clear" w:color="auto" w:fill="auto"/>
            <w:vAlign w:val="bottom"/>
          </w:tcPr>
          <w:p w14:paraId="3277E75B" w14:textId="140BB382" w:rsidR="003C3132" w:rsidRPr="0022103C" w:rsidRDefault="009E3D0F" w:rsidP="002B0BDC">
            <w:pPr>
              <w:pStyle w:val="TableFigures"/>
              <w:rPr>
                <w:b/>
              </w:rPr>
            </w:pPr>
            <w:r w:rsidRPr="0022103C">
              <w:t>242</w:t>
            </w:r>
          </w:p>
        </w:tc>
        <w:tc>
          <w:tcPr>
            <w:tcW w:w="850" w:type="dxa"/>
            <w:tcBorders>
              <w:top w:val="single" w:sz="8" w:space="0" w:color="999999"/>
            </w:tcBorders>
          </w:tcPr>
          <w:p w14:paraId="3CF34F66" w14:textId="2C3CCBD3" w:rsidR="003C3132" w:rsidRPr="0022103C" w:rsidRDefault="009E3D0F" w:rsidP="002B0BDC">
            <w:pPr>
              <w:pStyle w:val="TableFiguresBold0"/>
            </w:pPr>
            <w:r w:rsidRPr="0022103C">
              <w:t>135</w:t>
            </w:r>
          </w:p>
        </w:tc>
        <w:tc>
          <w:tcPr>
            <w:tcW w:w="709" w:type="dxa"/>
            <w:tcBorders>
              <w:top w:val="single" w:sz="8" w:space="0" w:color="999999"/>
            </w:tcBorders>
            <w:shd w:val="clear" w:color="auto" w:fill="auto"/>
          </w:tcPr>
          <w:p w14:paraId="5D39BE84" w14:textId="29FE6091" w:rsidR="003C3132" w:rsidRPr="0022103C" w:rsidRDefault="009E3D0F" w:rsidP="002B0BDC">
            <w:pPr>
              <w:pStyle w:val="TableFigures"/>
            </w:pPr>
            <w:r w:rsidRPr="0022103C">
              <w:t>121</w:t>
            </w:r>
          </w:p>
        </w:tc>
      </w:tr>
      <w:tr w:rsidR="003C3132" w:rsidRPr="00FF04DA" w14:paraId="17E06DC7" w14:textId="77777777" w:rsidTr="003C3132">
        <w:tc>
          <w:tcPr>
            <w:tcW w:w="4451" w:type="dxa"/>
            <w:shd w:val="clear" w:color="auto" w:fill="auto"/>
            <w:vAlign w:val="bottom"/>
          </w:tcPr>
          <w:p w14:paraId="3835E459" w14:textId="77777777" w:rsidR="003C3132" w:rsidRPr="0022103C" w:rsidRDefault="003C3132" w:rsidP="002B0BDC">
            <w:pPr>
              <w:pStyle w:val="TabletextBold"/>
            </w:pPr>
            <w:r w:rsidRPr="0022103C">
              <w:t>Property operating expenses</w:t>
            </w:r>
          </w:p>
        </w:tc>
        <w:tc>
          <w:tcPr>
            <w:tcW w:w="1786" w:type="dxa"/>
          </w:tcPr>
          <w:p w14:paraId="0685F93C" w14:textId="77777777" w:rsidR="003C3132" w:rsidRPr="0022103C" w:rsidRDefault="003C3132" w:rsidP="002B0BDC">
            <w:pPr>
              <w:pStyle w:val="TableFiguresBracketsBold"/>
            </w:pPr>
          </w:p>
        </w:tc>
        <w:tc>
          <w:tcPr>
            <w:tcW w:w="709" w:type="dxa"/>
          </w:tcPr>
          <w:p w14:paraId="5CB73089" w14:textId="77777777" w:rsidR="003C3132" w:rsidRPr="0022103C" w:rsidRDefault="003C3132" w:rsidP="002B0BDC">
            <w:pPr>
              <w:pStyle w:val="TableFiguresBracketsBold"/>
            </w:pPr>
          </w:p>
        </w:tc>
        <w:tc>
          <w:tcPr>
            <w:tcW w:w="992" w:type="dxa"/>
            <w:shd w:val="clear" w:color="auto" w:fill="auto"/>
            <w:vAlign w:val="bottom"/>
          </w:tcPr>
          <w:p w14:paraId="7ACDEB61" w14:textId="416572A0" w:rsidR="003C3132" w:rsidRPr="0022103C" w:rsidRDefault="003C3132" w:rsidP="002B0BDC">
            <w:pPr>
              <w:pStyle w:val="TableFiguresBracketsBold"/>
            </w:pPr>
          </w:p>
        </w:tc>
        <w:tc>
          <w:tcPr>
            <w:tcW w:w="851" w:type="dxa"/>
            <w:shd w:val="clear" w:color="auto" w:fill="auto"/>
            <w:vAlign w:val="bottom"/>
          </w:tcPr>
          <w:p w14:paraId="48CBF2DB" w14:textId="77777777" w:rsidR="003C3132" w:rsidRPr="0022103C" w:rsidRDefault="003C3132" w:rsidP="002B0BDC">
            <w:pPr>
              <w:pStyle w:val="TableFiguresBracketsBold"/>
              <w:rPr>
                <w:b w:val="0"/>
              </w:rPr>
            </w:pPr>
          </w:p>
        </w:tc>
        <w:tc>
          <w:tcPr>
            <w:tcW w:w="850" w:type="dxa"/>
          </w:tcPr>
          <w:p w14:paraId="533096E5" w14:textId="77777777" w:rsidR="003C3132" w:rsidRPr="0022103C" w:rsidRDefault="003C3132" w:rsidP="002B0BDC">
            <w:pPr>
              <w:pStyle w:val="TableFiguresBracketsBold"/>
              <w:rPr>
                <w:b w:val="0"/>
              </w:rPr>
            </w:pPr>
          </w:p>
        </w:tc>
        <w:tc>
          <w:tcPr>
            <w:tcW w:w="709" w:type="dxa"/>
            <w:shd w:val="clear" w:color="auto" w:fill="auto"/>
          </w:tcPr>
          <w:p w14:paraId="0A19B925" w14:textId="77777777" w:rsidR="003C3132" w:rsidRPr="0022103C" w:rsidRDefault="003C3132" w:rsidP="002B0BDC">
            <w:pPr>
              <w:pStyle w:val="TableFiguresBracketsBold"/>
              <w:rPr>
                <w:b w:val="0"/>
              </w:rPr>
            </w:pPr>
          </w:p>
        </w:tc>
      </w:tr>
      <w:tr w:rsidR="003C3132" w:rsidRPr="00FF04DA" w14:paraId="47F357F2" w14:textId="77777777" w:rsidTr="003C3132">
        <w:tc>
          <w:tcPr>
            <w:tcW w:w="4451" w:type="dxa"/>
            <w:shd w:val="clear" w:color="auto" w:fill="auto"/>
            <w:vAlign w:val="bottom"/>
          </w:tcPr>
          <w:p w14:paraId="17E01AA7" w14:textId="77777777" w:rsidR="003C3132" w:rsidRPr="0022103C" w:rsidRDefault="003C3132" w:rsidP="002B0BDC">
            <w:pPr>
              <w:pStyle w:val="Tabletext"/>
            </w:pPr>
            <w:r w:rsidRPr="0022103C">
              <w:t xml:space="preserve">  -underlying property operating expenses </w:t>
            </w:r>
          </w:p>
        </w:tc>
        <w:tc>
          <w:tcPr>
            <w:tcW w:w="1786" w:type="dxa"/>
          </w:tcPr>
          <w:p w14:paraId="0B6B245B" w14:textId="549A0F2A" w:rsidR="003C3132" w:rsidRPr="0022103C" w:rsidRDefault="003C3132" w:rsidP="002B0BDC">
            <w:pPr>
              <w:pStyle w:val="TableFiguresBracketsBold"/>
            </w:pPr>
            <w:r w:rsidRPr="0022103C">
              <w:t>(</w:t>
            </w:r>
            <w:r w:rsidR="009E3D0F" w:rsidRPr="0022103C">
              <w:t>12</w:t>
            </w:r>
            <w:r w:rsidRPr="0022103C">
              <w:t>)</w:t>
            </w:r>
          </w:p>
        </w:tc>
        <w:tc>
          <w:tcPr>
            <w:tcW w:w="709" w:type="dxa"/>
          </w:tcPr>
          <w:p w14:paraId="285E6691" w14:textId="2A560B35" w:rsidR="003C3132" w:rsidRPr="0022103C" w:rsidRDefault="003C3132" w:rsidP="002B0BDC">
            <w:pPr>
              <w:pStyle w:val="TableFiguresBold0"/>
            </w:pPr>
            <w:r w:rsidRPr="0022103C">
              <w:t>–</w:t>
            </w:r>
          </w:p>
        </w:tc>
        <w:tc>
          <w:tcPr>
            <w:tcW w:w="992" w:type="dxa"/>
            <w:shd w:val="clear" w:color="auto" w:fill="auto"/>
          </w:tcPr>
          <w:p w14:paraId="4891824C" w14:textId="18FF5995" w:rsidR="003C3132" w:rsidRPr="0022103C" w:rsidRDefault="003C3132" w:rsidP="002B0BDC">
            <w:pPr>
              <w:pStyle w:val="TableFiguresBracketsBold"/>
            </w:pPr>
            <w:r w:rsidRPr="0022103C">
              <w:t>(</w:t>
            </w:r>
            <w:r w:rsidR="009E3D0F" w:rsidRPr="0022103C">
              <w:t>12</w:t>
            </w:r>
            <w:r w:rsidRPr="0022103C">
              <w:t>)</w:t>
            </w:r>
          </w:p>
        </w:tc>
        <w:tc>
          <w:tcPr>
            <w:tcW w:w="851" w:type="dxa"/>
            <w:shd w:val="clear" w:color="auto" w:fill="auto"/>
            <w:vAlign w:val="bottom"/>
          </w:tcPr>
          <w:p w14:paraId="11406B3D" w14:textId="0A35D494" w:rsidR="003C3132" w:rsidRPr="0022103C" w:rsidRDefault="003C3132" w:rsidP="002B0BDC">
            <w:pPr>
              <w:pStyle w:val="TableFiguresBrackets"/>
            </w:pPr>
            <w:r w:rsidRPr="0022103C">
              <w:t>(</w:t>
            </w:r>
            <w:r w:rsidR="009E3D0F" w:rsidRPr="0022103C">
              <w:t>11</w:t>
            </w:r>
            <w:r w:rsidRPr="0022103C">
              <w:t>)</w:t>
            </w:r>
          </w:p>
        </w:tc>
        <w:tc>
          <w:tcPr>
            <w:tcW w:w="850" w:type="dxa"/>
          </w:tcPr>
          <w:p w14:paraId="6F5EBD87" w14:textId="060FEC3F" w:rsidR="003C3132" w:rsidRPr="0022103C" w:rsidRDefault="003C3132" w:rsidP="002B0BDC">
            <w:pPr>
              <w:pStyle w:val="TableFiguresBracketsBold"/>
            </w:pPr>
            <w:r w:rsidRPr="0022103C">
              <w:t>(</w:t>
            </w:r>
            <w:r w:rsidR="009E3D0F" w:rsidRPr="0022103C">
              <w:t>6</w:t>
            </w:r>
            <w:r w:rsidRPr="0022103C">
              <w:t>)</w:t>
            </w:r>
          </w:p>
        </w:tc>
        <w:tc>
          <w:tcPr>
            <w:tcW w:w="709" w:type="dxa"/>
            <w:shd w:val="clear" w:color="auto" w:fill="auto"/>
          </w:tcPr>
          <w:p w14:paraId="2099D0FE" w14:textId="537BA441" w:rsidR="003C3132" w:rsidRPr="0022103C" w:rsidRDefault="003C3132" w:rsidP="002B0BDC">
            <w:pPr>
              <w:pStyle w:val="TableFiguresBrackets"/>
            </w:pPr>
            <w:r w:rsidRPr="0022103C">
              <w:t>(</w:t>
            </w:r>
            <w:r w:rsidR="009E3D0F" w:rsidRPr="0022103C">
              <w:t>5</w:t>
            </w:r>
            <w:r w:rsidRPr="0022103C">
              <w:t>)</w:t>
            </w:r>
          </w:p>
        </w:tc>
      </w:tr>
      <w:tr w:rsidR="003C3132" w:rsidRPr="00FF04DA" w14:paraId="2ECEB4DB" w14:textId="77777777" w:rsidTr="003C3132">
        <w:tc>
          <w:tcPr>
            <w:tcW w:w="4451" w:type="dxa"/>
            <w:shd w:val="clear" w:color="auto" w:fill="auto"/>
            <w:vAlign w:val="bottom"/>
          </w:tcPr>
          <w:p w14:paraId="5D81B72E" w14:textId="77777777" w:rsidR="003C3132" w:rsidRPr="0022103C" w:rsidRDefault="003C3132" w:rsidP="002B0BDC">
            <w:pPr>
              <w:pStyle w:val="Tabletext"/>
            </w:pPr>
            <w:r w:rsidRPr="0022103C">
              <w:t xml:space="preserve">  -vacant property costs</w:t>
            </w:r>
          </w:p>
        </w:tc>
        <w:tc>
          <w:tcPr>
            <w:tcW w:w="1786" w:type="dxa"/>
          </w:tcPr>
          <w:p w14:paraId="545D3880" w14:textId="7F5D365B" w:rsidR="003C3132" w:rsidRPr="0022103C" w:rsidRDefault="003C3132" w:rsidP="002B0BDC">
            <w:pPr>
              <w:pStyle w:val="TableFiguresBracketsBold"/>
            </w:pPr>
            <w:r w:rsidRPr="0022103C">
              <w:t>(2)</w:t>
            </w:r>
          </w:p>
        </w:tc>
        <w:tc>
          <w:tcPr>
            <w:tcW w:w="709" w:type="dxa"/>
          </w:tcPr>
          <w:p w14:paraId="174D69B5" w14:textId="77777777" w:rsidR="003C3132" w:rsidRPr="0022103C" w:rsidRDefault="003C3132" w:rsidP="002B0BDC">
            <w:pPr>
              <w:pStyle w:val="TableFiguresBold0"/>
            </w:pPr>
            <w:r w:rsidRPr="0022103C">
              <w:t>–</w:t>
            </w:r>
          </w:p>
        </w:tc>
        <w:tc>
          <w:tcPr>
            <w:tcW w:w="992" w:type="dxa"/>
            <w:shd w:val="clear" w:color="auto" w:fill="auto"/>
          </w:tcPr>
          <w:p w14:paraId="0FDD0B1D" w14:textId="050EA18E" w:rsidR="003C3132" w:rsidRPr="0022103C" w:rsidRDefault="003C3132" w:rsidP="002B0BDC">
            <w:pPr>
              <w:pStyle w:val="TableFiguresBracketsBold"/>
            </w:pPr>
            <w:r w:rsidRPr="0022103C">
              <w:t>(2)</w:t>
            </w:r>
          </w:p>
        </w:tc>
        <w:tc>
          <w:tcPr>
            <w:tcW w:w="851" w:type="dxa"/>
            <w:shd w:val="clear" w:color="auto" w:fill="auto"/>
            <w:vAlign w:val="bottom"/>
          </w:tcPr>
          <w:p w14:paraId="2E002084" w14:textId="38C2FC60" w:rsidR="003C3132" w:rsidRPr="0022103C" w:rsidRDefault="003C3132" w:rsidP="002B0BDC">
            <w:pPr>
              <w:pStyle w:val="TableFiguresBrackets"/>
            </w:pPr>
            <w:r w:rsidRPr="0022103C">
              <w:t>(</w:t>
            </w:r>
            <w:r w:rsidR="009E3D0F" w:rsidRPr="0022103C">
              <w:t>3</w:t>
            </w:r>
            <w:r w:rsidRPr="0022103C">
              <w:t>)</w:t>
            </w:r>
          </w:p>
        </w:tc>
        <w:tc>
          <w:tcPr>
            <w:tcW w:w="850" w:type="dxa"/>
          </w:tcPr>
          <w:p w14:paraId="55EC3EA5" w14:textId="0569E511" w:rsidR="003C3132" w:rsidRPr="0022103C" w:rsidRDefault="003C3132" w:rsidP="002B0BDC">
            <w:pPr>
              <w:pStyle w:val="TableFiguresBracketsBold"/>
            </w:pPr>
            <w:r w:rsidRPr="0022103C">
              <w:t>(1)</w:t>
            </w:r>
          </w:p>
        </w:tc>
        <w:tc>
          <w:tcPr>
            <w:tcW w:w="709" w:type="dxa"/>
            <w:shd w:val="clear" w:color="auto" w:fill="auto"/>
          </w:tcPr>
          <w:p w14:paraId="632C1FD9" w14:textId="7DDDB3C8" w:rsidR="003C3132" w:rsidRPr="0022103C" w:rsidRDefault="003C3132" w:rsidP="002B0BDC">
            <w:pPr>
              <w:pStyle w:val="TableFiguresBrackets"/>
            </w:pPr>
            <w:r w:rsidRPr="0022103C">
              <w:t>(</w:t>
            </w:r>
            <w:r w:rsidR="009E3D0F" w:rsidRPr="0022103C">
              <w:t>2</w:t>
            </w:r>
            <w:r w:rsidRPr="0022103C">
              <w:t>)</w:t>
            </w:r>
          </w:p>
        </w:tc>
      </w:tr>
      <w:tr w:rsidR="003C3132" w:rsidRPr="00FF04DA" w14:paraId="1C195DD8" w14:textId="77777777" w:rsidTr="003C3132">
        <w:tc>
          <w:tcPr>
            <w:tcW w:w="4451" w:type="dxa"/>
            <w:shd w:val="clear" w:color="auto" w:fill="auto"/>
            <w:vAlign w:val="bottom"/>
          </w:tcPr>
          <w:p w14:paraId="4AFCF40C" w14:textId="39803F7F" w:rsidR="003C3132" w:rsidRPr="0022103C" w:rsidRDefault="003C3132" w:rsidP="002B0BDC">
            <w:pPr>
              <w:pStyle w:val="Tabletext"/>
            </w:pPr>
            <w:r w:rsidRPr="0022103C">
              <w:t xml:space="preserve">  -property management fees</w:t>
            </w:r>
            <w:r w:rsidRPr="0022103C">
              <w:rPr>
                <w:vertAlign w:val="superscript"/>
              </w:rPr>
              <w:t>2</w:t>
            </w:r>
          </w:p>
        </w:tc>
        <w:tc>
          <w:tcPr>
            <w:tcW w:w="1786" w:type="dxa"/>
          </w:tcPr>
          <w:p w14:paraId="652B5CEE" w14:textId="214EFEB7" w:rsidR="003C3132" w:rsidRPr="0022103C" w:rsidRDefault="003C3132" w:rsidP="002B0BDC">
            <w:pPr>
              <w:pStyle w:val="TableFiguresBracketsBold"/>
            </w:pPr>
            <w:r w:rsidRPr="0022103C">
              <w:t>(</w:t>
            </w:r>
            <w:r w:rsidR="009E3D0F" w:rsidRPr="0022103C">
              <w:t>22</w:t>
            </w:r>
            <w:r w:rsidRPr="0022103C">
              <w:t>)</w:t>
            </w:r>
          </w:p>
        </w:tc>
        <w:tc>
          <w:tcPr>
            <w:tcW w:w="709" w:type="dxa"/>
          </w:tcPr>
          <w:p w14:paraId="4B98F7DE" w14:textId="77777777" w:rsidR="003C3132" w:rsidRPr="0022103C" w:rsidRDefault="003C3132" w:rsidP="002B0BDC">
            <w:pPr>
              <w:pStyle w:val="TableFiguresBold0"/>
            </w:pPr>
            <w:r w:rsidRPr="0022103C">
              <w:t>–</w:t>
            </w:r>
          </w:p>
        </w:tc>
        <w:tc>
          <w:tcPr>
            <w:tcW w:w="992" w:type="dxa"/>
            <w:shd w:val="clear" w:color="auto" w:fill="auto"/>
          </w:tcPr>
          <w:p w14:paraId="4669DE95" w14:textId="3CE60C70" w:rsidR="003C3132" w:rsidRPr="0022103C" w:rsidRDefault="003C3132" w:rsidP="002B0BDC">
            <w:pPr>
              <w:pStyle w:val="TableFiguresBracketsBold"/>
            </w:pPr>
            <w:r w:rsidRPr="0022103C">
              <w:t>(</w:t>
            </w:r>
            <w:r w:rsidR="009E3D0F" w:rsidRPr="0022103C">
              <w:t>22</w:t>
            </w:r>
            <w:r w:rsidRPr="0022103C">
              <w:t>)</w:t>
            </w:r>
          </w:p>
        </w:tc>
        <w:tc>
          <w:tcPr>
            <w:tcW w:w="851" w:type="dxa"/>
            <w:shd w:val="clear" w:color="auto" w:fill="auto"/>
            <w:vAlign w:val="bottom"/>
          </w:tcPr>
          <w:p w14:paraId="668CD949" w14:textId="34E8CA9C" w:rsidR="003C3132" w:rsidRPr="0022103C" w:rsidRDefault="003C3132" w:rsidP="002B0BDC">
            <w:pPr>
              <w:pStyle w:val="TableFiguresBrackets"/>
            </w:pPr>
            <w:r w:rsidRPr="0022103C">
              <w:t>(</w:t>
            </w:r>
            <w:r w:rsidR="009E3D0F" w:rsidRPr="0022103C">
              <w:t>20</w:t>
            </w:r>
            <w:r w:rsidRPr="0022103C">
              <w:t>)</w:t>
            </w:r>
          </w:p>
        </w:tc>
        <w:tc>
          <w:tcPr>
            <w:tcW w:w="850" w:type="dxa"/>
          </w:tcPr>
          <w:p w14:paraId="4478B995" w14:textId="28D3BE30" w:rsidR="003C3132" w:rsidRPr="0022103C" w:rsidRDefault="003C3132" w:rsidP="002B0BDC">
            <w:pPr>
              <w:pStyle w:val="TableFiguresBracketsBold"/>
            </w:pPr>
            <w:r w:rsidRPr="0022103C">
              <w:t>(</w:t>
            </w:r>
            <w:r w:rsidR="009E3D0F" w:rsidRPr="0022103C">
              <w:t>11</w:t>
            </w:r>
            <w:r w:rsidRPr="0022103C">
              <w:t>)</w:t>
            </w:r>
          </w:p>
        </w:tc>
        <w:tc>
          <w:tcPr>
            <w:tcW w:w="709" w:type="dxa"/>
            <w:shd w:val="clear" w:color="auto" w:fill="auto"/>
          </w:tcPr>
          <w:p w14:paraId="667470D4" w14:textId="73686BD6" w:rsidR="003C3132" w:rsidRPr="0022103C" w:rsidRDefault="003C3132" w:rsidP="002B0BDC">
            <w:pPr>
              <w:pStyle w:val="TableFiguresBrackets"/>
            </w:pPr>
            <w:r w:rsidRPr="0022103C">
              <w:t>(</w:t>
            </w:r>
            <w:r w:rsidR="009E3D0F" w:rsidRPr="0022103C">
              <w:t>10</w:t>
            </w:r>
            <w:r w:rsidRPr="0022103C">
              <w:t>)</w:t>
            </w:r>
          </w:p>
        </w:tc>
      </w:tr>
      <w:tr w:rsidR="009E3D0F" w:rsidRPr="00FF04DA" w14:paraId="4A04FDFA" w14:textId="77777777" w:rsidTr="003C3132">
        <w:tc>
          <w:tcPr>
            <w:tcW w:w="4451" w:type="dxa"/>
            <w:shd w:val="clear" w:color="auto" w:fill="auto"/>
            <w:vAlign w:val="bottom"/>
          </w:tcPr>
          <w:p w14:paraId="449230E2" w14:textId="5711BCF5" w:rsidR="009E3D0F" w:rsidRPr="0022103C" w:rsidRDefault="009E3D0F" w:rsidP="009E3D0F">
            <w:pPr>
              <w:pStyle w:val="Tabletext"/>
            </w:pPr>
            <w:r w:rsidRPr="0022103C">
              <w:t xml:space="preserve">  -service charge expense</w:t>
            </w:r>
          </w:p>
        </w:tc>
        <w:tc>
          <w:tcPr>
            <w:tcW w:w="1786" w:type="dxa"/>
          </w:tcPr>
          <w:p w14:paraId="376A17D5" w14:textId="2CD5566F" w:rsidR="009E3D0F" w:rsidRPr="0022103C" w:rsidRDefault="009E3D0F" w:rsidP="009E3D0F">
            <w:pPr>
              <w:pStyle w:val="TableFiguresBracketsBold"/>
            </w:pPr>
            <w:r w:rsidRPr="0022103C">
              <w:t>(56)</w:t>
            </w:r>
          </w:p>
        </w:tc>
        <w:tc>
          <w:tcPr>
            <w:tcW w:w="709" w:type="dxa"/>
          </w:tcPr>
          <w:p w14:paraId="7C211606" w14:textId="106C7A76" w:rsidR="009E3D0F" w:rsidRPr="0022103C" w:rsidRDefault="009E3D0F" w:rsidP="009E3D0F">
            <w:pPr>
              <w:pStyle w:val="TableFiguresBold0"/>
            </w:pPr>
            <w:r w:rsidRPr="0022103C">
              <w:t>–</w:t>
            </w:r>
          </w:p>
        </w:tc>
        <w:tc>
          <w:tcPr>
            <w:tcW w:w="992" w:type="dxa"/>
            <w:shd w:val="clear" w:color="auto" w:fill="auto"/>
          </w:tcPr>
          <w:p w14:paraId="1C56E79B" w14:textId="5A36BD79" w:rsidR="009E3D0F" w:rsidRPr="0022103C" w:rsidRDefault="009E3D0F" w:rsidP="009E3D0F">
            <w:pPr>
              <w:pStyle w:val="TableFiguresBracketsBold"/>
            </w:pPr>
            <w:r w:rsidRPr="0022103C">
              <w:t>(56)</w:t>
            </w:r>
          </w:p>
        </w:tc>
        <w:tc>
          <w:tcPr>
            <w:tcW w:w="851" w:type="dxa"/>
            <w:shd w:val="clear" w:color="auto" w:fill="auto"/>
            <w:vAlign w:val="bottom"/>
          </w:tcPr>
          <w:p w14:paraId="4CFFEFDD" w14:textId="3E8C1050" w:rsidR="009E3D0F" w:rsidRPr="0022103C" w:rsidRDefault="009E3D0F" w:rsidP="009E3D0F">
            <w:pPr>
              <w:pStyle w:val="TableFiguresBrackets"/>
            </w:pPr>
            <w:r w:rsidRPr="0022103C">
              <w:t>(48)</w:t>
            </w:r>
          </w:p>
        </w:tc>
        <w:tc>
          <w:tcPr>
            <w:tcW w:w="850" w:type="dxa"/>
          </w:tcPr>
          <w:p w14:paraId="11A1C0DD" w14:textId="59E9FA37" w:rsidR="009E3D0F" w:rsidRPr="0022103C" w:rsidRDefault="009E3D0F" w:rsidP="009E3D0F">
            <w:pPr>
              <w:pStyle w:val="TableFiguresBracketsBold"/>
            </w:pPr>
            <w:r w:rsidRPr="0022103C">
              <w:t>(28)</w:t>
            </w:r>
          </w:p>
        </w:tc>
        <w:tc>
          <w:tcPr>
            <w:tcW w:w="709" w:type="dxa"/>
            <w:shd w:val="clear" w:color="auto" w:fill="auto"/>
          </w:tcPr>
          <w:p w14:paraId="05708E05" w14:textId="19CC2A64" w:rsidR="009E3D0F" w:rsidRPr="0022103C" w:rsidRDefault="009E3D0F" w:rsidP="009E3D0F">
            <w:pPr>
              <w:pStyle w:val="TableFiguresBrackets"/>
            </w:pPr>
            <w:r w:rsidRPr="0022103C">
              <w:t>(24)</w:t>
            </w:r>
          </w:p>
        </w:tc>
      </w:tr>
      <w:tr w:rsidR="009E3D0F" w:rsidRPr="00FF04DA" w14:paraId="33CE2BDA" w14:textId="77777777" w:rsidTr="003C3132">
        <w:tc>
          <w:tcPr>
            <w:tcW w:w="4451" w:type="dxa"/>
            <w:shd w:val="clear" w:color="auto" w:fill="auto"/>
            <w:vAlign w:val="bottom"/>
          </w:tcPr>
          <w:p w14:paraId="61FB953D" w14:textId="09304278" w:rsidR="009E3D0F" w:rsidRPr="0022103C" w:rsidRDefault="009E3D0F" w:rsidP="009E3D0F">
            <w:pPr>
              <w:pStyle w:val="Tabletext"/>
            </w:pPr>
            <w:r w:rsidRPr="0022103C">
              <w:t xml:space="preserve">  -performance fees</w:t>
            </w:r>
            <w:r w:rsidRPr="0022103C">
              <w:rPr>
                <w:vertAlign w:val="superscript"/>
              </w:rPr>
              <w:t>3</w:t>
            </w:r>
          </w:p>
        </w:tc>
        <w:tc>
          <w:tcPr>
            <w:tcW w:w="1786" w:type="dxa"/>
          </w:tcPr>
          <w:p w14:paraId="0B993E79" w14:textId="24D4FB0A" w:rsidR="009E3D0F" w:rsidRPr="0022103C" w:rsidRDefault="009E3D0F" w:rsidP="009E3D0F">
            <w:pPr>
              <w:pStyle w:val="TableFiguresBracketsBold"/>
            </w:pPr>
            <w:r w:rsidRPr="0022103C">
              <w:t>(26)</w:t>
            </w:r>
          </w:p>
        </w:tc>
        <w:tc>
          <w:tcPr>
            <w:tcW w:w="709" w:type="dxa"/>
          </w:tcPr>
          <w:p w14:paraId="10FE5E5C" w14:textId="5BD822AD" w:rsidR="009E3D0F" w:rsidRPr="0022103C" w:rsidRDefault="009E3D0F" w:rsidP="009E3D0F">
            <w:pPr>
              <w:pStyle w:val="TableFiguresBold0"/>
            </w:pPr>
            <w:r w:rsidRPr="0022103C">
              <w:t>–</w:t>
            </w:r>
          </w:p>
        </w:tc>
        <w:tc>
          <w:tcPr>
            <w:tcW w:w="992" w:type="dxa"/>
            <w:shd w:val="clear" w:color="auto" w:fill="auto"/>
          </w:tcPr>
          <w:p w14:paraId="26966BC4" w14:textId="5EF0EE90" w:rsidR="009E3D0F" w:rsidRPr="0022103C" w:rsidRDefault="009E3D0F" w:rsidP="009E3D0F">
            <w:pPr>
              <w:pStyle w:val="TableFiguresBracketsBold"/>
            </w:pPr>
            <w:r w:rsidRPr="0022103C">
              <w:t>(26)</w:t>
            </w:r>
          </w:p>
        </w:tc>
        <w:tc>
          <w:tcPr>
            <w:tcW w:w="851" w:type="dxa"/>
            <w:shd w:val="clear" w:color="auto" w:fill="auto"/>
            <w:vAlign w:val="bottom"/>
          </w:tcPr>
          <w:p w14:paraId="73B0F4AC" w14:textId="132AB6EA" w:rsidR="009E3D0F" w:rsidRPr="0022103C" w:rsidRDefault="009E3D0F" w:rsidP="0022103C">
            <w:pPr>
              <w:pStyle w:val="TableFigures"/>
            </w:pPr>
            <w:r w:rsidRPr="0022103C">
              <w:t>–</w:t>
            </w:r>
          </w:p>
        </w:tc>
        <w:tc>
          <w:tcPr>
            <w:tcW w:w="850" w:type="dxa"/>
          </w:tcPr>
          <w:p w14:paraId="66A76CB5" w14:textId="04053F77" w:rsidR="009E3D0F" w:rsidRPr="0022103C" w:rsidRDefault="009E3D0F" w:rsidP="009E3D0F">
            <w:pPr>
              <w:pStyle w:val="TableFiguresBracketsBold"/>
            </w:pPr>
            <w:r w:rsidRPr="0022103C">
              <w:t>(13)</w:t>
            </w:r>
          </w:p>
        </w:tc>
        <w:tc>
          <w:tcPr>
            <w:tcW w:w="709" w:type="dxa"/>
            <w:shd w:val="clear" w:color="auto" w:fill="auto"/>
          </w:tcPr>
          <w:p w14:paraId="40025045" w14:textId="03702EB1" w:rsidR="009E3D0F" w:rsidRPr="0022103C" w:rsidRDefault="009E3D0F" w:rsidP="0022103C">
            <w:pPr>
              <w:pStyle w:val="TableFigures"/>
            </w:pPr>
            <w:r w:rsidRPr="0022103C">
              <w:t>–</w:t>
            </w:r>
          </w:p>
        </w:tc>
      </w:tr>
      <w:tr w:rsidR="009E3D0F" w:rsidRPr="00FF04DA" w14:paraId="46D79AFB" w14:textId="77777777" w:rsidTr="003C3132">
        <w:tc>
          <w:tcPr>
            <w:tcW w:w="4451" w:type="dxa"/>
            <w:tcBorders>
              <w:top w:val="single" w:sz="4" w:space="0" w:color="999999"/>
            </w:tcBorders>
            <w:shd w:val="clear" w:color="auto" w:fill="auto"/>
            <w:vAlign w:val="bottom"/>
          </w:tcPr>
          <w:p w14:paraId="424D7410" w14:textId="77777777" w:rsidR="009E3D0F" w:rsidRPr="0022103C" w:rsidRDefault="009E3D0F" w:rsidP="009E3D0F">
            <w:pPr>
              <w:pStyle w:val="TabletextBold"/>
              <w:rPr>
                <w:szCs w:val="20"/>
              </w:rPr>
            </w:pPr>
            <w:r w:rsidRPr="0022103C">
              <w:rPr>
                <w:szCs w:val="20"/>
              </w:rPr>
              <w:t>Net rental income</w:t>
            </w:r>
          </w:p>
        </w:tc>
        <w:tc>
          <w:tcPr>
            <w:tcW w:w="1786" w:type="dxa"/>
            <w:tcBorders>
              <w:top w:val="single" w:sz="4" w:space="0" w:color="999999"/>
            </w:tcBorders>
          </w:tcPr>
          <w:p w14:paraId="306A4FDF" w14:textId="7A458677" w:rsidR="009E3D0F" w:rsidRPr="0022103C" w:rsidRDefault="009E3D0F" w:rsidP="009E3D0F">
            <w:pPr>
              <w:pStyle w:val="TableFiguresBold0"/>
            </w:pPr>
            <w:r w:rsidRPr="0022103C">
              <w:t>152</w:t>
            </w:r>
          </w:p>
        </w:tc>
        <w:tc>
          <w:tcPr>
            <w:tcW w:w="709" w:type="dxa"/>
            <w:tcBorders>
              <w:top w:val="single" w:sz="4" w:space="0" w:color="999999"/>
            </w:tcBorders>
          </w:tcPr>
          <w:p w14:paraId="7986F17B" w14:textId="77DFC891" w:rsidR="009E3D0F" w:rsidRPr="0022103C" w:rsidRDefault="009E3D0F" w:rsidP="00FD1A13">
            <w:pPr>
              <w:pStyle w:val="TableFiguresBold0"/>
            </w:pPr>
            <w:r w:rsidRPr="0022103C">
              <w:t>–</w:t>
            </w:r>
          </w:p>
        </w:tc>
        <w:tc>
          <w:tcPr>
            <w:tcW w:w="992" w:type="dxa"/>
            <w:tcBorders>
              <w:top w:val="single" w:sz="4" w:space="0" w:color="999999"/>
            </w:tcBorders>
            <w:shd w:val="clear" w:color="auto" w:fill="auto"/>
          </w:tcPr>
          <w:p w14:paraId="48EAE2DC" w14:textId="533396DF" w:rsidR="009E3D0F" w:rsidRPr="0022103C" w:rsidRDefault="009E3D0F" w:rsidP="009E3D0F">
            <w:pPr>
              <w:pStyle w:val="TableFiguresBold0"/>
            </w:pPr>
            <w:r w:rsidRPr="0022103C">
              <w:t>152</w:t>
            </w:r>
          </w:p>
        </w:tc>
        <w:tc>
          <w:tcPr>
            <w:tcW w:w="851" w:type="dxa"/>
            <w:tcBorders>
              <w:top w:val="single" w:sz="4" w:space="0" w:color="999999"/>
            </w:tcBorders>
            <w:shd w:val="clear" w:color="auto" w:fill="auto"/>
          </w:tcPr>
          <w:p w14:paraId="760DF067" w14:textId="5ACA1887" w:rsidR="009E3D0F" w:rsidRPr="0022103C" w:rsidRDefault="009E3D0F" w:rsidP="009E3D0F">
            <w:pPr>
              <w:pStyle w:val="TableFigures"/>
              <w:rPr>
                <w:b/>
              </w:rPr>
            </w:pPr>
            <w:r w:rsidRPr="0022103C">
              <w:t>160</w:t>
            </w:r>
          </w:p>
        </w:tc>
        <w:tc>
          <w:tcPr>
            <w:tcW w:w="850" w:type="dxa"/>
            <w:tcBorders>
              <w:top w:val="single" w:sz="4" w:space="0" w:color="999999"/>
            </w:tcBorders>
          </w:tcPr>
          <w:p w14:paraId="0FCCA17F" w14:textId="2328A5F6" w:rsidR="009E3D0F" w:rsidRPr="0022103C" w:rsidRDefault="009E3D0F" w:rsidP="009E3D0F">
            <w:pPr>
              <w:pStyle w:val="TableFiguresBold0"/>
            </w:pPr>
            <w:r w:rsidRPr="0022103C">
              <w:t>76</w:t>
            </w:r>
          </w:p>
        </w:tc>
        <w:tc>
          <w:tcPr>
            <w:tcW w:w="709" w:type="dxa"/>
            <w:tcBorders>
              <w:top w:val="single" w:sz="4" w:space="0" w:color="999999"/>
            </w:tcBorders>
            <w:shd w:val="clear" w:color="auto" w:fill="auto"/>
          </w:tcPr>
          <w:p w14:paraId="385C4534" w14:textId="4C896A90" w:rsidR="009E3D0F" w:rsidRPr="0022103C" w:rsidRDefault="009E3D0F" w:rsidP="009E3D0F">
            <w:pPr>
              <w:pStyle w:val="TableFigures"/>
            </w:pPr>
            <w:r w:rsidRPr="0022103C">
              <w:t>80</w:t>
            </w:r>
          </w:p>
        </w:tc>
      </w:tr>
      <w:tr w:rsidR="009E3D0F" w:rsidRPr="00FF04DA" w14:paraId="56806134" w14:textId="77777777" w:rsidTr="003C3132">
        <w:tc>
          <w:tcPr>
            <w:tcW w:w="4451" w:type="dxa"/>
            <w:shd w:val="clear" w:color="auto" w:fill="auto"/>
            <w:vAlign w:val="bottom"/>
          </w:tcPr>
          <w:p w14:paraId="586166C6" w14:textId="77777777" w:rsidR="009E3D0F" w:rsidRPr="0022103C" w:rsidRDefault="009E3D0F" w:rsidP="009E3D0F">
            <w:pPr>
              <w:pStyle w:val="Tabletext"/>
              <w:rPr>
                <w:szCs w:val="20"/>
              </w:rPr>
            </w:pPr>
            <w:r w:rsidRPr="0022103C">
              <w:rPr>
                <w:szCs w:val="20"/>
              </w:rPr>
              <w:t>Administration expenses</w:t>
            </w:r>
          </w:p>
        </w:tc>
        <w:tc>
          <w:tcPr>
            <w:tcW w:w="1786" w:type="dxa"/>
          </w:tcPr>
          <w:p w14:paraId="2BB0A0BC" w14:textId="33682158" w:rsidR="009E3D0F" w:rsidRPr="0022103C" w:rsidRDefault="009E3D0F" w:rsidP="0022103C">
            <w:pPr>
              <w:pStyle w:val="TableFiguresBracketsBold"/>
            </w:pPr>
            <w:r w:rsidRPr="0022103C">
              <w:t>(3)</w:t>
            </w:r>
          </w:p>
        </w:tc>
        <w:tc>
          <w:tcPr>
            <w:tcW w:w="709" w:type="dxa"/>
          </w:tcPr>
          <w:p w14:paraId="321307DE" w14:textId="7DEF77E4" w:rsidR="009E3D0F" w:rsidRPr="0022103C" w:rsidRDefault="009E3D0F">
            <w:pPr>
              <w:pStyle w:val="TableFiguresBold0"/>
            </w:pPr>
            <w:r w:rsidRPr="0022103C">
              <w:t>–</w:t>
            </w:r>
          </w:p>
        </w:tc>
        <w:tc>
          <w:tcPr>
            <w:tcW w:w="992" w:type="dxa"/>
            <w:shd w:val="clear" w:color="auto" w:fill="auto"/>
          </w:tcPr>
          <w:p w14:paraId="1F2192A3" w14:textId="2898389A" w:rsidR="009E3D0F" w:rsidRPr="0022103C" w:rsidRDefault="009E3D0F" w:rsidP="0022103C">
            <w:pPr>
              <w:pStyle w:val="TableFiguresBracketsBold"/>
            </w:pPr>
            <w:r w:rsidRPr="0022103C">
              <w:t>(3)</w:t>
            </w:r>
          </w:p>
        </w:tc>
        <w:tc>
          <w:tcPr>
            <w:tcW w:w="851" w:type="dxa"/>
            <w:shd w:val="clear" w:color="auto" w:fill="auto"/>
          </w:tcPr>
          <w:p w14:paraId="66033986" w14:textId="5502C489" w:rsidR="009E3D0F" w:rsidRPr="0022103C" w:rsidRDefault="009E3D0F" w:rsidP="0022103C">
            <w:pPr>
              <w:pStyle w:val="TableFiguresBrackets"/>
              <w:rPr>
                <w:b/>
              </w:rPr>
            </w:pPr>
            <w:r w:rsidRPr="0022103C">
              <w:t>(3)</w:t>
            </w:r>
          </w:p>
        </w:tc>
        <w:tc>
          <w:tcPr>
            <w:tcW w:w="850" w:type="dxa"/>
          </w:tcPr>
          <w:p w14:paraId="24C2C05E" w14:textId="0B706C39" w:rsidR="009E3D0F" w:rsidRPr="0022103C" w:rsidRDefault="009E3D0F" w:rsidP="0022103C">
            <w:pPr>
              <w:pStyle w:val="TableFiguresBracketsBold"/>
            </w:pPr>
            <w:r w:rsidRPr="0022103C">
              <w:t>(2)</w:t>
            </w:r>
          </w:p>
        </w:tc>
        <w:tc>
          <w:tcPr>
            <w:tcW w:w="709" w:type="dxa"/>
            <w:shd w:val="clear" w:color="auto" w:fill="auto"/>
          </w:tcPr>
          <w:p w14:paraId="5E5AA532" w14:textId="6892E499" w:rsidR="009E3D0F" w:rsidRPr="0022103C" w:rsidRDefault="009E3D0F" w:rsidP="0022103C">
            <w:pPr>
              <w:pStyle w:val="TableFiguresBrackets"/>
            </w:pPr>
            <w:r w:rsidRPr="0022103C">
              <w:t>(2)</w:t>
            </w:r>
          </w:p>
        </w:tc>
      </w:tr>
      <w:tr w:rsidR="009E3D0F" w:rsidRPr="00FF04DA" w14:paraId="3E26E0A5" w14:textId="77777777" w:rsidTr="003C3132">
        <w:tc>
          <w:tcPr>
            <w:tcW w:w="4451" w:type="dxa"/>
            <w:tcBorders>
              <w:bottom w:val="single" w:sz="4" w:space="0" w:color="999999"/>
            </w:tcBorders>
            <w:shd w:val="clear" w:color="auto" w:fill="auto"/>
            <w:vAlign w:val="bottom"/>
          </w:tcPr>
          <w:p w14:paraId="161DF344" w14:textId="2591D1A3" w:rsidR="009E3D0F" w:rsidRPr="0022103C" w:rsidRDefault="009E3D0F" w:rsidP="009E3D0F">
            <w:pPr>
              <w:pStyle w:val="Tabletext"/>
              <w:rPr>
                <w:szCs w:val="20"/>
              </w:rPr>
            </w:pPr>
            <w:r w:rsidRPr="0022103C">
              <w:rPr>
                <w:szCs w:val="20"/>
              </w:rPr>
              <w:t xml:space="preserve">Finance costs </w:t>
            </w:r>
          </w:p>
        </w:tc>
        <w:tc>
          <w:tcPr>
            <w:tcW w:w="1786" w:type="dxa"/>
            <w:tcBorders>
              <w:bottom w:val="single" w:sz="4" w:space="0" w:color="999999"/>
            </w:tcBorders>
          </w:tcPr>
          <w:p w14:paraId="160A3659" w14:textId="50B89CC9" w:rsidR="009E3D0F" w:rsidRPr="0022103C" w:rsidRDefault="009E3D0F" w:rsidP="0022103C">
            <w:pPr>
              <w:pStyle w:val="TableFiguresBracketsBold"/>
            </w:pPr>
            <w:r w:rsidRPr="0022103C">
              <w:t>(26)</w:t>
            </w:r>
          </w:p>
        </w:tc>
        <w:tc>
          <w:tcPr>
            <w:tcW w:w="709" w:type="dxa"/>
            <w:tcBorders>
              <w:bottom w:val="single" w:sz="4" w:space="0" w:color="999999"/>
            </w:tcBorders>
          </w:tcPr>
          <w:p w14:paraId="20D3A21E" w14:textId="51FDD469" w:rsidR="009E3D0F" w:rsidRPr="0022103C" w:rsidRDefault="009E3D0F">
            <w:pPr>
              <w:pStyle w:val="TableFiguresBold0"/>
            </w:pPr>
            <w:r w:rsidRPr="0022103C">
              <w:t>–</w:t>
            </w:r>
          </w:p>
        </w:tc>
        <w:tc>
          <w:tcPr>
            <w:tcW w:w="992" w:type="dxa"/>
            <w:tcBorders>
              <w:bottom w:val="single" w:sz="4" w:space="0" w:color="999999"/>
            </w:tcBorders>
            <w:shd w:val="clear" w:color="auto" w:fill="auto"/>
          </w:tcPr>
          <w:p w14:paraId="71FF0BB2" w14:textId="605F4142" w:rsidR="009E3D0F" w:rsidRPr="0022103C" w:rsidRDefault="009E3D0F" w:rsidP="0022103C">
            <w:pPr>
              <w:pStyle w:val="TableFiguresBracketsBold"/>
            </w:pPr>
            <w:r w:rsidRPr="0022103C">
              <w:t>(26)</w:t>
            </w:r>
          </w:p>
        </w:tc>
        <w:tc>
          <w:tcPr>
            <w:tcW w:w="851" w:type="dxa"/>
            <w:tcBorders>
              <w:bottom w:val="single" w:sz="4" w:space="0" w:color="999999"/>
            </w:tcBorders>
            <w:shd w:val="clear" w:color="auto" w:fill="auto"/>
          </w:tcPr>
          <w:p w14:paraId="6070B1B6" w14:textId="7530CF73" w:rsidR="009E3D0F" w:rsidRPr="0022103C" w:rsidRDefault="009E3D0F" w:rsidP="0022103C">
            <w:pPr>
              <w:pStyle w:val="TableFiguresBrackets"/>
              <w:rPr>
                <w:b/>
              </w:rPr>
            </w:pPr>
            <w:r w:rsidRPr="0022103C">
              <w:t>(25)</w:t>
            </w:r>
          </w:p>
        </w:tc>
        <w:tc>
          <w:tcPr>
            <w:tcW w:w="850" w:type="dxa"/>
            <w:tcBorders>
              <w:bottom w:val="single" w:sz="4" w:space="0" w:color="999999"/>
            </w:tcBorders>
          </w:tcPr>
          <w:p w14:paraId="5E5E6B4E" w14:textId="70178DBF" w:rsidR="009E3D0F" w:rsidRPr="0022103C" w:rsidRDefault="009E3D0F" w:rsidP="0022103C">
            <w:pPr>
              <w:pStyle w:val="TableFiguresBracketsBold"/>
            </w:pPr>
            <w:r w:rsidRPr="0022103C">
              <w:t>(13)</w:t>
            </w:r>
          </w:p>
        </w:tc>
        <w:tc>
          <w:tcPr>
            <w:tcW w:w="709" w:type="dxa"/>
            <w:tcBorders>
              <w:bottom w:val="single" w:sz="4" w:space="0" w:color="999999"/>
            </w:tcBorders>
            <w:shd w:val="clear" w:color="auto" w:fill="auto"/>
          </w:tcPr>
          <w:p w14:paraId="67478785" w14:textId="7655F220" w:rsidR="009E3D0F" w:rsidRPr="0022103C" w:rsidRDefault="009E3D0F" w:rsidP="0022103C">
            <w:pPr>
              <w:pStyle w:val="TableFiguresBrackets"/>
              <w:rPr>
                <w:bCs/>
              </w:rPr>
            </w:pPr>
            <w:r w:rsidRPr="0022103C">
              <w:t>(12)</w:t>
            </w:r>
          </w:p>
        </w:tc>
      </w:tr>
      <w:tr w:rsidR="009E3D0F" w:rsidRPr="00FF04DA" w14:paraId="7144E6E9" w14:textId="77777777" w:rsidTr="003C3132">
        <w:tc>
          <w:tcPr>
            <w:tcW w:w="4451" w:type="dxa"/>
            <w:tcBorders>
              <w:top w:val="single" w:sz="4" w:space="0" w:color="999999"/>
            </w:tcBorders>
            <w:shd w:val="clear" w:color="auto" w:fill="auto"/>
            <w:vAlign w:val="bottom"/>
          </w:tcPr>
          <w:p w14:paraId="7484DFEC" w14:textId="4AFBD9BF" w:rsidR="009E3D0F" w:rsidRPr="0022103C" w:rsidRDefault="009E3D0F" w:rsidP="009E3D0F">
            <w:pPr>
              <w:pStyle w:val="TabletextBold"/>
              <w:rPr>
                <w:szCs w:val="20"/>
              </w:rPr>
            </w:pPr>
            <w:r w:rsidRPr="0022103C">
              <w:rPr>
                <w:szCs w:val="20"/>
              </w:rPr>
              <w:t xml:space="preserve">Adjusted profit before tax </w:t>
            </w:r>
          </w:p>
        </w:tc>
        <w:tc>
          <w:tcPr>
            <w:tcW w:w="1786" w:type="dxa"/>
            <w:tcBorders>
              <w:top w:val="single" w:sz="4" w:space="0" w:color="999999"/>
            </w:tcBorders>
          </w:tcPr>
          <w:p w14:paraId="288F539A" w14:textId="74FB5E53" w:rsidR="009E3D0F" w:rsidRPr="0022103C" w:rsidRDefault="009E3D0F" w:rsidP="009E3D0F">
            <w:pPr>
              <w:pStyle w:val="TableFiguresBold0"/>
            </w:pPr>
            <w:r w:rsidRPr="0022103C">
              <w:t>123</w:t>
            </w:r>
          </w:p>
        </w:tc>
        <w:tc>
          <w:tcPr>
            <w:tcW w:w="709" w:type="dxa"/>
            <w:tcBorders>
              <w:top w:val="single" w:sz="4" w:space="0" w:color="999999"/>
            </w:tcBorders>
          </w:tcPr>
          <w:p w14:paraId="1D86FFF5" w14:textId="63A9202B" w:rsidR="009E3D0F" w:rsidRPr="0022103C" w:rsidRDefault="009E3D0F" w:rsidP="00FD1A13">
            <w:pPr>
              <w:pStyle w:val="TableFiguresBold0"/>
            </w:pPr>
            <w:r w:rsidRPr="0022103C">
              <w:t>–</w:t>
            </w:r>
          </w:p>
        </w:tc>
        <w:tc>
          <w:tcPr>
            <w:tcW w:w="992" w:type="dxa"/>
            <w:tcBorders>
              <w:top w:val="single" w:sz="4" w:space="0" w:color="999999"/>
            </w:tcBorders>
            <w:shd w:val="clear" w:color="auto" w:fill="auto"/>
          </w:tcPr>
          <w:p w14:paraId="5F1618A4" w14:textId="16586FB4" w:rsidR="009E3D0F" w:rsidRPr="0022103C" w:rsidRDefault="009E3D0F" w:rsidP="009E3D0F">
            <w:pPr>
              <w:pStyle w:val="TableFiguresBold0"/>
            </w:pPr>
            <w:r w:rsidRPr="0022103C">
              <w:t>123</w:t>
            </w:r>
          </w:p>
        </w:tc>
        <w:tc>
          <w:tcPr>
            <w:tcW w:w="851" w:type="dxa"/>
            <w:tcBorders>
              <w:top w:val="single" w:sz="4" w:space="0" w:color="999999"/>
            </w:tcBorders>
            <w:shd w:val="clear" w:color="auto" w:fill="auto"/>
          </w:tcPr>
          <w:p w14:paraId="6DBC4615" w14:textId="0469731B" w:rsidR="009E3D0F" w:rsidRPr="0022103C" w:rsidRDefault="009E3D0F" w:rsidP="009E3D0F">
            <w:pPr>
              <w:pStyle w:val="TableFigures"/>
              <w:rPr>
                <w:b/>
              </w:rPr>
            </w:pPr>
            <w:r w:rsidRPr="0022103C">
              <w:t>132</w:t>
            </w:r>
          </w:p>
        </w:tc>
        <w:tc>
          <w:tcPr>
            <w:tcW w:w="850" w:type="dxa"/>
            <w:tcBorders>
              <w:top w:val="single" w:sz="4" w:space="0" w:color="999999"/>
            </w:tcBorders>
          </w:tcPr>
          <w:p w14:paraId="6AD99328" w14:textId="13734FB7" w:rsidR="009E3D0F" w:rsidRPr="0022103C" w:rsidRDefault="009E3D0F" w:rsidP="009E3D0F">
            <w:pPr>
              <w:pStyle w:val="TableFiguresBold0"/>
            </w:pPr>
            <w:r w:rsidRPr="0022103C">
              <w:t>61</w:t>
            </w:r>
          </w:p>
        </w:tc>
        <w:tc>
          <w:tcPr>
            <w:tcW w:w="709" w:type="dxa"/>
            <w:tcBorders>
              <w:top w:val="single" w:sz="4" w:space="0" w:color="999999"/>
            </w:tcBorders>
            <w:shd w:val="clear" w:color="auto" w:fill="auto"/>
          </w:tcPr>
          <w:p w14:paraId="37EF455E" w14:textId="51A253C3" w:rsidR="009E3D0F" w:rsidRPr="0022103C" w:rsidRDefault="009E3D0F" w:rsidP="009E3D0F">
            <w:pPr>
              <w:pStyle w:val="TableFigures"/>
            </w:pPr>
            <w:r w:rsidRPr="0022103C">
              <w:t>66</w:t>
            </w:r>
          </w:p>
        </w:tc>
      </w:tr>
      <w:tr w:rsidR="009E3D0F" w:rsidRPr="00FF04DA" w14:paraId="0523147B" w14:textId="77777777" w:rsidTr="003C3132">
        <w:tc>
          <w:tcPr>
            <w:tcW w:w="4451" w:type="dxa"/>
            <w:tcBorders>
              <w:bottom w:val="single" w:sz="4" w:space="0" w:color="808080" w:themeColor="background1" w:themeShade="80"/>
            </w:tcBorders>
            <w:shd w:val="clear" w:color="auto" w:fill="auto"/>
            <w:vAlign w:val="bottom"/>
          </w:tcPr>
          <w:p w14:paraId="7B5B6896" w14:textId="77777777" w:rsidR="009E3D0F" w:rsidRPr="0022103C" w:rsidRDefault="009E3D0F" w:rsidP="009E3D0F">
            <w:pPr>
              <w:pStyle w:val="Tabletext"/>
              <w:rPr>
                <w:szCs w:val="20"/>
              </w:rPr>
            </w:pPr>
            <w:r w:rsidRPr="0022103C">
              <w:rPr>
                <w:szCs w:val="20"/>
              </w:rPr>
              <w:t xml:space="preserve">Tax </w:t>
            </w:r>
          </w:p>
        </w:tc>
        <w:tc>
          <w:tcPr>
            <w:tcW w:w="1786" w:type="dxa"/>
            <w:tcBorders>
              <w:bottom w:val="single" w:sz="4" w:space="0" w:color="808080" w:themeColor="background1" w:themeShade="80"/>
            </w:tcBorders>
          </w:tcPr>
          <w:p w14:paraId="7CC82AB7" w14:textId="2B521C3D" w:rsidR="009E3D0F" w:rsidRPr="0022103C" w:rsidRDefault="009E3D0F" w:rsidP="0022103C">
            <w:pPr>
              <w:pStyle w:val="TableFiguresBracketsBold"/>
            </w:pPr>
            <w:r w:rsidRPr="0022103C">
              <w:t>(11)</w:t>
            </w:r>
          </w:p>
        </w:tc>
        <w:tc>
          <w:tcPr>
            <w:tcW w:w="709" w:type="dxa"/>
            <w:tcBorders>
              <w:bottom w:val="single" w:sz="4" w:space="0" w:color="808080" w:themeColor="background1" w:themeShade="80"/>
            </w:tcBorders>
          </w:tcPr>
          <w:p w14:paraId="261BA1CC" w14:textId="53B14967" w:rsidR="009E3D0F" w:rsidRPr="0022103C" w:rsidRDefault="009E3D0F">
            <w:pPr>
              <w:pStyle w:val="TableFiguresBold0"/>
            </w:pPr>
            <w:r w:rsidRPr="0022103C">
              <w:t>–</w:t>
            </w:r>
          </w:p>
        </w:tc>
        <w:tc>
          <w:tcPr>
            <w:tcW w:w="992" w:type="dxa"/>
            <w:tcBorders>
              <w:bottom w:val="single" w:sz="4" w:space="0" w:color="808080" w:themeColor="background1" w:themeShade="80"/>
            </w:tcBorders>
            <w:shd w:val="clear" w:color="auto" w:fill="auto"/>
          </w:tcPr>
          <w:p w14:paraId="0D1AD792" w14:textId="0C020175" w:rsidR="009E3D0F" w:rsidRPr="0022103C" w:rsidRDefault="009E3D0F" w:rsidP="0022103C">
            <w:pPr>
              <w:pStyle w:val="TableFiguresBracketsBold"/>
            </w:pPr>
            <w:r w:rsidRPr="0022103C">
              <w:t>(11)</w:t>
            </w:r>
          </w:p>
        </w:tc>
        <w:tc>
          <w:tcPr>
            <w:tcW w:w="851" w:type="dxa"/>
            <w:tcBorders>
              <w:bottom w:val="single" w:sz="4" w:space="0" w:color="808080" w:themeColor="background1" w:themeShade="80"/>
            </w:tcBorders>
            <w:shd w:val="clear" w:color="auto" w:fill="auto"/>
          </w:tcPr>
          <w:p w14:paraId="59CCA1F4" w14:textId="189BCE3B" w:rsidR="009E3D0F" w:rsidRPr="0022103C" w:rsidRDefault="009E3D0F" w:rsidP="0022103C">
            <w:pPr>
              <w:pStyle w:val="TableFiguresBrackets"/>
              <w:rPr>
                <w:b/>
              </w:rPr>
            </w:pPr>
            <w:r w:rsidRPr="0022103C">
              <w:t>(10)</w:t>
            </w:r>
          </w:p>
        </w:tc>
        <w:tc>
          <w:tcPr>
            <w:tcW w:w="850" w:type="dxa"/>
            <w:tcBorders>
              <w:bottom w:val="single" w:sz="4" w:space="0" w:color="808080" w:themeColor="background1" w:themeShade="80"/>
            </w:tcBorders>
          </w:tcPr>
          <w:p w14:paraId="1A6DE409" w14:textId="308D74F2" w:rsidR="009E3D0F" w:rsidRPr="0022103C" w:rsidRDefault="009E3D0F" w:rsidP="0022103C">
            <w:pPr>
              <w:pStyle w:val="TableFiguresBracketsBold"/>
            </w:pPr>
            <w:r w:rsidRPr="0022103C">
              <w:t>(5)</w:t>
            </w:r>
          </w:p>
        </w:tc>
        <w:tc>
          <w:tcPr>
            <w:tcW w:w="709" w:type="dxa"/>
            <w:tcBorders>
              <w:bottom w:val="single" w:sz="4" w:space="0" w:color="808080" w:themeColor="background1" w:themeShade="80"/>
            </w:tcBorders>
            <w:shd w:val="clear" w:color="auto" w:fill="auto"/>
          </w:tcPr>
          <w:p w14:paraId="04D1F14F" w14:textId="5F3D03B5" w:rsidR="009E3D0F" w:rsidRPr="0022103C" w:rsidRDefault="009E3D0F" w:rsidP="0022103C">
            <w:pPr>
              <w:pStyle w:val="TableFiguresBrackets"/>
            </w:pPr>
            <w:r w:rsidRPr="0022103C">
              <w:t>(5)</w:t>
            </w:r>
          </w:p>
        </w:tc>
      </w:tr>
      <w:tr w:rsidR="009E3D0F" w:rsidRPr="00FF04DA" w14:paraId="593EFF01" w14:textId="77777777" w:rsidTr="003C3132">
        <w:tc>
          <w:tcPr>
            <w:tcW w:w="4451" w:type="dxa"/>
            <w:tcBorders>
              <w:top w:val="single" w:sz="4" w:space="0" w:color="808080" w:themeColor="background1" w:themeShade="80"/>
              <w:bottom w:val="single" w:sz="4" w:space="0" w:color="808080" w:themeColor="background1" w:themeShade="80"/>
            </w:tcBorders>
            <w:shd w:val="clear" w:color="auto" w:fill="auto"/>
            <w:vAlign w:val="bottom"/>
          </w:tcPr>
          <w:p w14:paraId="2DD56FAD" w14:textId="07A86848" w:rsidR="009E3D0F" w:rsidRPr="0022103C" w:rsidRDefault="009E3D0F" w:rsidP="009E3D0F">
            <w:pPr>
              <w:pStyle w:val="TabletextBold"/>
              <w:rPr>
                <w:szCs w:val="20"/>
              </w:rPr>
            </w:pPr>
            <w:r w:rsidRPr="0022103C">
              <w:rPr>
                <w:szCs w:val="20"/>
              </w:rPr>
              <w:t xml:space="preserve">Adjusted profit after tax </w:t>
            </w:r>
          </w:p>
        </w:tc>
        <w:tc>
          <w:tcPr>
            <w:tcW w:w="1786" w:type="dxa"/>
            <w:tcBorders>
              <w:top w:val="single" w:sz="4" w:space="0" w:color="808080" w:themeColor="background1" w:themeShade="80"/>
              <w:bottom w:val="single" w:sz="4" w:space="0" w:color="808080" w:themeColor="background1" w:themeShade="80"/>
            </w:tcBorders>
          </w:tcPr>
          <w:p w14:paraId="702A1424" w14:textId="3ADD5AE4" w:rsidR="009E3D0F" w:rsidRPr="0022103C" w:rsidRDefault="00FF04DA" w:rsidP="009E3D0F">
            <w:pPr>
              <w:pStyle w:val="TableFiguresBold0"/>
            </w:pPr>
            <w:r>
              <w:t>112</w:t>
            </w:r>
          </w:p>
        </w:tc>
        <w:tc>
          <w:tcPr>
            <w:tcW w:w="709" w:type="dxa"/>
            <w:tcBorders>
              <w:top w:val="single" w:sz="4" w:space="0" w:color="808080" w:themeColor="background1" w:themeShade="80"/>
              <w:bottom w:val="single" w:sz="4" w:space="0" w:color="808080" w:themeColor="background1" w:themeShade="80"/>
            </w:tcBorders>
          </w:tcPr>
          <w:p w14:paraId="1953902F" w14:textId="093BA05E" w:rsidR="009E3D0F" w:rsidRPr="0022103C" w:rsidRDefault="009E3D0F" w:rsidP="00FD1A13">
            <w:pPr>
              <w:pStyle w:val="TableFiguresBold0"/>
            </w:pPr>
            <w:r w:rsidRPr="0022103C">
              <w:t>–</w:t>
            </w:r>
          </w:p>
        </w:tc>
        <w:tc>
          <w:tcPr>
            <w:tcW w:w="992" w:type="dxa"/>
            <w:tcBorders>
              <w:top w:val="single" w:sz="4" w:space="0" w:color="808080" w:themeColor="background1" w:themeShade="80"/>
              <w:bottom w:val="single" w:sz="4" w:space="0" w:color="808080" w:themeColor="background1" w:themeShade="80"/>
            </w:tcBorders>
            <w:shd w:val="clear" w:color="auto" w:fill="auto"/>
          </w:tcPr>
          <w:p w14:paraId="35CF0C27" w14:textId="58F4A2E3" w:rsidR="009E3D0F" w:rsidRPr="0022103C" w:rsidRDefault="00FF04DA" w:rsidP="009E3D0F">
            <w:pPr>
              <w:pStyle w:val="TableFiguresBold0"/>
            </w:pPr>
            <w:r>
              <w:t>112</w:t>
            </w:r>
          </w:p>
        </w:tc>
        <w:tc>
          <w:tcPr>
            <w:tcW w:w="851" w:type="dxa"/>
            <w:tcBorders>
              <w:top w:val="single" w:sz="4" w:space="0" w:color="808080" w:themeColor="background1" w:themeShade="80"/>
              <w:bottom w:val="single" w:sz="4" w:space="0" w:color="808080" w:themeColor="background1" w:themeShade="80"/>
            </w:tcBorders>
            <w:shd w:val="clear" w:color="auto" w:fill="auto"/>
          </w:tcPr>
          <w:p w14:paraId="63120D08" w14:textId="3C19B1EF" w:rsidR="009E3D0F" w:rsidRPr="0022103C" w:rsidRDefault="00FF04DA" w:rsidP="009E3D0F">
            <w:pPr>
              <w:pStyle w:val="TableFigures"/>
              <w:rPr>
                <w:b/>
              </w:rPr>
            </w:pPr>
            <w:r>
              <w:t>122</w:t>
            </w:r>
          </w:p>
        </w:tc>
        <w:tc>
          <w:tcPr>
            <w:tcW w:w="850" w:type="dxa"/>
            <w:tcBorders>
              <w:top w:val="single" w:sz="4" w:space="0" w:color="808080" w:themeColor="background1" w:themeShade="80"/>
              <w:bottom w:val="single" w:sz="4" w:space="0" w:color="808080" w:themeColor="background1" w:themeShade="80"/>
            </w:tcBorders>
          </w:tcPr>
          <w:p w14:paraId="468AD614" w14:textId="40CC0500" w:rsidR="009E3D0F" w:rsidRPr="0022103C" w:rsidRDefault="00FF04DA" w:rsidP="009E3D0F">
            <w:pPr>
              <w:pStyle w:val="TableFiguresBold0"/>
            </w:pPr>
            <w:r>
              <w:t>56</w:t>
            </w:r>
          </w:p>
        </w:tc>
        <w:tc>
          <w:tcPr>
            <w:tcW w:w="709" w:type="dxa"/>
            <w:tcBorders>
              <w:top w:val="single" w:sz="4" w:space="0" w:color="808080" w:themeColor="background1" w:themeShade="80"/>
              <w:bottom w:val="single" w:sz="4" w:space="0" w:color="808080" w:themeColor="background1" w:themeShade="80"/>
            </w:tcBorders>
            <w:shd w:val="clear" w:color="auto" w:fill="auto"/>
          </w:tcPr>
          <w:p w14:paraId="5743A5DD" w14:textId="6DE8AF68" w:rsidR="009E3D0F" w:rsidRPr="0022103C" w:rsidRDefault="00FF04DA" w:rsidP="009E3D0F">
            <w:pPr>
              <w:pStyle w:val="TableFigures"/>
            </w:pPr>
            <w:r>
              <w:t>61</w:t>
            </w:r>
          </w:p>
        </w:tc>
      </w:tr>
      <w:tr w:rsidR="009E3D0F" w:rsidRPr="00FF04DA" w14:paraId="59647E84" w14:textId="77777777" w:rsidTr="003C3132">
        <w:tc>
          <w:tcPr>
            <w:tcW w:w="4451" w:type="dxa"/>
            <w:tcBorders>
              <w:top w:val="single" w:sz="4" w:space="0" w:color="808080" w:themeColor="background1" w:themeShade="80"/>
            </w:tcBorders>
            <w:shd w:val="clear" w:color="auto" w:fill="auto"/>
            <w:vAlign w:val="bottom"/>
          </w:tcPr>
          <w:p w14:paraId="60C99C88" w14:textId="77777777" w:rsidR="009E3D0F" w:rsidRPr="0022103C" w:rsidRDefault="009E3D0F" w:rsidP="009E3D0F">
            <w:pPr>
              <w:pStyle w:val="Tabletext"/>
              <w:rPr>
                <w:b/>
                <w:bCs/>
                <w:szCs w:val="20"/>
              </w:rPr>
            </w:pPr>
            <w:r w:rsidRPr="0022103C">
              <w:rPr>
                <w:b/>
                <w:bCs/>
                <w:szCs w:val="20"/>
              </w:rPr>
              <w:t>Adjustments:</w:t>
            </w:r>
          </w:p>
        </w:tc>
        <w:tc>
          <w:tcPr>
            <w:tcW w:w="1786" w:type="dxa"/>
            <w:tcBorders>
              <w:top w:val="single" w:sz="4" w:space="0" w:color="808080" w:themeColor="background1" w:themeShade="80"/>
            </w:tcBorders>
          </w:tcPr>
          <w:p w14:paraId="3186FF13" w14:textId="77777777" w:rsidR="009E3D0F" w:rsidRPr="0022103C" w:rsidRDefault="009E3D0F" w:rsidP="009E3D0F">
            <w:pPr>
              <w:pStyle w:val="TableFiguresBold0"/>
              <w:rPr>
                <w:szCs w:val="20"/>
              </w:rPr>
            </w:pPr>
          </w:p>
        </w:tc>
        <w:tc>
          <w:tcPr>
            <w:tcW w:w="709" w:type="dxa"/>
            <w:tcBorders>
              <w:top w:val="single" w:sz="4" w:space="0" w:color="808080" w:themeColor="background1" w:themeShade="80"/>
            </w:tcBorders>
          </w:tcPr>
          <w:p w14:paraId="22F4446F" w14:textId="77777777" w:rsidR="009E3D0F" w:rsidRPr="0022103C" w:rsidRDefault="009E3D0F" w:rsidP="009E3D0F">
            <w:pPr>
              <w:pStyle w:val="TableFiguresBold0"/>
              <w:rPr>
                <w:szCs w:val="20"/>
              </w:rPr>
            </w:pPr>
          </w:p>
        </w:tc>
        <w:tc>
          <w:tcPr>
            <w:tcW w:w="992" w:type="dxa"/>
            <w:tcBorders>
              <w:top w:val="single" w:sz="4" w:space="0" w:color="808080" w:themeColor="background1" w:themeShade="80"/>
            </w:tcBorders>
            <w:shd w:val="clear" w:color="auto" w:fill="auto"/>
            <w:vAlign w:val="bottom"/>
          </w:tcPr>
          <w:p w14:paraId="0FF22993" w14:textId="773C73F1" w:rsidR="009E3D0F" w:rsidRPr="0022103C" w:rsidRDefault="009E3D0F" w:rsidP="009E3D0F">
            <w:pPr>
              <w:pStyle w:val="TableFiguresBold0"/>
              <w:rPr>
                <w:szCs w:val="20"/>
              </w:rPr>
            </w:pPr>
          </w:p>
        </w:tc>
        <w:tc>
          <w:tcPr>
            <w:tcW w:w="851" w:type="dxa"/>
            <w:tcBorders>
              <w:top w:val="single" w:sz="4" w:space="0" w:color="808080" w:themeColor="background1" w:themeShade="80"/>
            </w:tcBorders>
            <w:shd w:val="clear" w:color="auto" w:fill="auto"/>
            <w:vAlign w:val="bottom"/>
          </w:tcPr>
          <w:p w14:paraId="5831984F" w14:textId="77777777" w:rsidR="009E3D0F" w:rsidRPr="0022103C" w:rsidRDefault="009E3D0F" w:rsidP="009E3D0F">
            <w:pPr>
              <w:pStyle w:val="TableFiguresBold0"/>
              <w:rPr>
                <w:b w:val="0"/>
                <w:szCs w:val="20"/>
              </w:rPr>
            </w:pPr>
          </w:p>
        </w:tc>
        <w:tc>
          <w:tcPr>
            <w:tcW w:w="850" w:type="dxa"/>
            <w:tcBorders>
              <w:top w:val="single" w:sz="4" w:space="0" w:color="808080" w:themeColor="background1" w:themeShade="80"/>
            </w:tcBorders>
          </w:tcPr>
          <w:p w14:paraId="01ACF97A" w14:textId="77777777" w:rsidR="009E3D0F" w:rsidRPr="0022103C" w:rsidRDefault="009E3D0F" w:rsidP="009E3D0F">
            <w:pPr>
              <w:pStyle w:val="TableFiguresBold0"/>
              <w:rPr>
                <w:b w:val="0"/>
                <w:szCs w:val="20"/>
              </w:rPr>
            </w:pPr>
          </w:p>
        </w:tc>
        <w:tc>
          <w:tcPr>
            <w:tcW w:w="709" w:type="dxa"/>
            <w:tcBorders>
              <w:top w:val="single" w:sz="4" w:space="0" w:color="808080" w:themeColor="background1" w:themeShade="80"/>
            </w:tcBorders>
            <w:shd w:val="clear" w:color="auto" w:fill="auto"/>
          </w:tcPr>
          <w:p w14:paraId="63EB6A93" w14:textId="77777777" w:rsidR="009E3D0F" w:rsidRPr="0022103C" w:rsidRDefault="009E3D0F" w:rsidP="009E3D0F">
            <w:pPr>
              <w:pStyle w:val="TableFiguresBold0"/>
              <w:rPr>
                <w:b w:val="0"/>
                <w:szCs w:val="20"/>
              </w:rPr>
            </w:pPr>
          </w:p>
        </w:tc>
      </w:tr>
      <w:tr w:rsidR="009E3D0F" w:rsidRPr="00FF04DA" w14:paraId="045A9C39" w14:textId="77777777" w:rsidTr="003C3132">
        <w:tc>
          <w:tcPr>
            <w:tcW w:w="4451" w:type="dxa"/>
            <w:shd w:val="clear" w:color="auto" w:fill="auto"/>
            <w:vAlign w:val="bottom"/>
          </w:tcPr>
          <w:p w14:paraId="7F567B1F" w14:textId="6C45372C" w:rsidR="009E3D0F" w:rsidRPr="0022103C" w:rsidRDefault="009E3D0F" w:rsidP="009E3D0F">
            <w:pPr>
              <w:pStyle w:val="Tabletext"/>
              <w:rPr>
                <w:szCs w:val="20"/>
              </w:rPr>
            </w:pPr>
            <w:r w:rsidRPr="0022103C">
              <w:rPr>
                <w:szCs w:val="20"/>
              </w:rPr>
              <w:t>Profit on sale of investment properties</w:t>
            </w:r>
          </w:p>
        </w:tc>
        <w:tc>
          <w:tcPr>
            <w:tcW w:w="1786" w:type="dxa"/>
          </w:tcPr>
          <w:p w14:paraId="33BE470E" w14:textId="56555336" w:rsidR="009E3D0F" w:rsidRPr="0022103C" w:rsidRDefault="009E3D0F" w:rsidP="009E3D0F">
            <w:pPr>
              <w:pStyle w:val="TableFiguresBold0"/>
            </w:pPr>
            <w:r w:rsidRPr="0022103C">
              <w:t>19</w:t>
            </w:r>
          </w:p>
        </w:tc>
        <w:tc>
          <w:tcPr>
            <w:tcW w:w="709" w:type="dxa"/>
          </w:tcPr>
          <w:p w14:paraId="25B8A20E" w14:textId="7EA4444C" w:rsidR="009E3D0F" w:rsidRPr="0022103C" w:rsidRDefault="009E3D0F" w:rsidP="00FD1A13">
            <w:pPr>
              <w:pStyle w:val="TableFiguresBold0"/>
            </w:pPr>
            <w:r w:rsidRPr="0022103C">
              <w:t>–</w:t>
            </w:r>
          </w:p>
        </w:tc>
        <w:tc>
          <w:tcPr>
            <w:tcW w:w="992" w:type="dxa"/>
            <w:shd w:val="clear" w:color="auto" w:fill="auto"/>
          </w:tcPr>
          <w:p w14:paraId="372DAEE1" w14:textId="0556961D" w:rsidR="009E3D0F" w:rsidRPr="0022103C" w:rsidRDefault="009E3D0F" w:rsidP="009E3D0F">
            <w:pPr>
              <w:pStyle w:val="TableFiguresBold0"/>
            </w:pPr>
            <w:r w:rsidRPr="0022103C">
              <w:t>19</w:t>
            </w:r>
          </w:p>
        </w:tc>
        <w:tc>
          <w:tcPr>
            <w:tcW w:w="851" w:type="dxa"/>
            <w:shd w:val="clear" w:color="auto" w:fill="auto"/>
          </w:tcPr>
          <w:p w14:paraId="6E9AC5A0" w14:textId="0183B276" w:rsidR="009E3D0F" w:rsidRPr="0022103C" w:rsidRDefault="009E3D0F" w:rsidP="009E3D0F">
            <w:pPr>
              <w:pStyle w:val="TableFigures"/>
              <w:rPr>
                <w:b/>
              </w:rPr>
            </w:pPr>
            <w:r w:rsidRPr="0022103C">
              <w:t>2</w:t>
            </w:r>
          </w:p>
        </w:tc>
        <w:tc>
          <w:tcPr>
            <w:tcW w:w="850" w:type="dxa"/>
          </w:tcPr>
          <w:p w14:paraId="429C8DCD" w14:textId="6AE95094" w:rsidR="009E3D0F" w:rsidRPr="0022103C" w:rsidRDefault="009E3D0F" w:rsidP="009E3D0F">
            <w:pPr>
              <w:pStyle w:val="TableFiguresBold0"/>
            </w:pPr>
            <w:r w:rsidRPr="0022103C">
              <w:t>10</w:t>
            </w:r>
          </w:p>
        </w:tc>
        <w:tc>
          <w:tcPr>
            <w:tcW w:w="709" w:type="dxa"/>
          </w:tcPr>
          <w:p w14:paraId="0AF8C2EC" w14:textId="0F25491F" w:rsidR="009E3D0F" w:rsidRPr="0022103C" w:rsidRDefault="009E3D0F" w:rsidP="009E3D0F">
            <w:pPr>
              <w:pStyle w:val="TableFigures"/>
            </w:pPr>
            <w:r w:rsidRPr="0022103C">
              <w:t>1</w:t>
            </w:r>
          </w:p>
        </w:tc>
      </w:tr>
      <w:tr w:rsidR="009E3D0F" w:rsidRPr="00FF04DA" w14:paraId="1A97A57F" w14:textId="77777777" w:rsidTr="003C3132">
        <w:tc>
          <w:tcPr>
            <w:tcW w:w="4451" w:type="dxa"/>
            <w:shd w:val="clear" w:color="auto" w:fill="auto"/>
            <w:vAlign w:val="bottom"/>
          </w:tcPr>
          <w:p w14:paraId="2327EAEF" w14:textId="58F340D8" w:rsidR="009E3D0F" w:rsidRPr="0022103C" w:rsidRDefault="009E3D0F" w:rsidP="009E3D0F">
            <w:pPr>
              <w:pStyle w:val="Tabletext"/>
              <w:rPr>
                <w:szCs w:val="20"/>
              </w:rPr>
            </w:pPr>
            <w:r w:rsidRPr="0022103C">
              <w:rPr>
                <w:szCs w:val="20"/>
              </w:rPr>
              <w:t>Valuation surplus/(deficit) on investment properties</w:t>
            </w:r>
          </w:p>
        </w:tc>
        <w:tc>
          <w:tcPr>
            <w:tcW w:w="1786" w:type="dxa"/>
          </w:tcPr>
          <w:p w14:paraId="4D6C9D74" w14:textId="6275CFCB" w:rsidR="009E3D0F" w:rsidRPr="0022103C" w:rsidRDefault="009E3D0F" w:rsidP="009E3D0F">
            <w:pPr>
              <w:pStyle w:val="TableFiguresBold0"/>
            </w:pPr>
            <w:r w:rsidRPr="0022103C">
              <w:t>975</w:t>
            </w:r>
          </w:p>
        </w:tc>
        <w:tc>
          <w:tcPr>
            <w:tcW w:w="709" w:type="dxa"/>
          </w:tcPr>
          <w:p w14:paraId="5AE141AE" w14:textId="468DAF11" w:rsidR="009E3D0F" w:rsidRPr="0022103C" w:rsidRDefault="009E3D0F" w:rsidP="0022103C">
            <w:pPr>
              <w:pStyle w:val="TableFiguresBracketsBold"/>
            </w:pPr>
            <w:r w:rsidRPr="0022103C">
              <w:t>(1)</w:t>
            </w:r>
          </w:p>
        </w:tc>
        <w:tc>
          <w:tcPr>
            <w:tcW w:w="992" w:type="dxa"/>
            <w:shd w:val="clear" w:color="auto" w:fill="auto"/>
          </w:tcPr>
          <w:p w14:paraId="0EA1A88D" w14:textId="041E1769" w:rsidR="009E3D0F" w:rsidRPr="0022103C" w:rsidRDefault="009E3D0F" w:rsidP="009E3D0F">
            <w:pPr>
              <w:pStyle w:val="TableFiguresBold0"/>
            </w:pPr>
            <w:r w:rsidRPr="0022103C">
              <w:t>974</w:t>
            </w:r>
          </w:p>
        </w:tc>
        <w:tc>
          <w:tcPr>
            <w:tcW w:w="851" w:type="dxa"/>
            <w:shd w:val="clear" w:color="auto" w:fill="auto"/>
          </w:tcPr>
          <w:p w14:paraId="6ACBD1C2" w14:textId="7A90B26B" w:rsidR="009E3D0F" w:rsidRPr="0022103C" w:rsidRDefault="009E3D0F" w:rsidP="009E3D0F">
            <w:pPr>
              <w:pStyle w:val="TableFigures"/>
              <w:rPr>
                <w:b/>
              </w:rPr>
            </w:pPr>
            <w:r w:rsidRPr="0022103C">
              <w:t>424</w:t>
            </w:r>
          </w:p>
        </w:tc>
        <w:tc>
          <w:tcPr>
            <w:tcW w:w="850" w:type="dxa"/>
          </w:tcPr>
          <w:p w14:paraId="283AE395" w14:textId="02A5ECD6" w:rsidR="009E3D0F" w:rsidRPr="0022103C" w:rsidRDefault="009E3D0F" w:rsidP="009E3D0F">
            <w:pPr>
              <w:pStyle w:val="TableFiguresBold0"/>
            </w:pPr>
            <w:r w:rsidRPr="0022103C">
              <w:t>487</w:t>
            </w:r>
          </w:p>
        </w:tc>
        <w:tc>
          <w:tcPr>
            <w:tcW w:w="709" w:type="dxa"/>
          </w:tcPr>
          <w:p w14:paraId="76399861" w14:textId="64E7D8CA" w:rsidR="009E3D0F" w:rsidRPr="0022103C" w:rsidRDefault="009E3D0F" w:rsidP="009E3D0F">
            <w:pPr>
              <w:pStyle w:val="TableFigures"/>
            </w:pPr>
            <w:r w:rsidRPr="0022103C">
              <w:t>212</w:t>
            </w:r>
          </w:p>
        </w:tc>
      </w:tr>
      <w:tr w:rsidR="009E3D0F" w:rsidRPr="00FF04DA" w14:paraId="2E3AE526" w14:textId="77777777" w:rsidTr="003C3132">
        <w:tc>
          <w:tcPr>
            <w:tcW w:w="4451" w:type="dxa"/>
            <w:shd w:val="clear" w:color="auto" w:fill="auto"/>
            <w:vAlign w:val="bottom"/>
          </w:tcPr>
          <w:p w14:paraId="39795581" w14:textId="48DA5A6D" w:rsidR="009E3D0F" w:rsidRPr="0022103C" w:rsidRDefault="009E3D0F" w:rsidP="009E3D0F">
            <w:pPr>
              <w:pStyle w:val="Tabletext"/>
              <w:rPr>
                <w:szCs w:val="20"/>
              </w:rPr>
            </w:pPr>
            <w:r w:rsidRPr="0022103C">
              <w:rPr>
                <w:szCs w:val="20"/>
              </w:rPr>
              <w:t>Other investment income</w:t>
            </w:r>
          </w:p>
        </w:tc>
        <w:tc>
          <w:tcPr>
            <w:tcW w:w="1786" w:type="dxa"/>
          </w:tcPr>
          <w:p w14:paraId="7ED213D2" w14:textId="7DC4ED1C" w:rsidR="009E3D0F" w:rsidRPr="0022103C" w:rsidRDefault="009E3D0F" w:rsidP="00FD1A13">
            <w:pPr>
              <w:pStyle w:val="TableFiguresBold0"/>
            </w:pPr>
            <w:r w:rsidRPr="0022103C">
              <w:t>–</w:t>
            </w:r>
          </w:p>
        </w:tc>
        <w:tc>
          <w:tcPr>
            <w:tcW w:w="709" w:type="dxa"/>
          </w:tcPr>
          <w:p w14:paraId="5C4F56F3" w14:textId="5FB12DBF" w:rsidR="009E3D0F" w:rsidRPr="0022103C" w:rsidRDefault="009E3D0F" w:rsidP="009E3D0F">
            <w:pPr>
              <w:pStyle w:val="TableFiguresBold0"/>
            </w:pPr>
            <w:r w:rsidRPr="0022103C">
              <w:t>–</w:t>
            </w:r>
          </w:p>
        </w:tc>
        <w:tc>
          <w:tcPr>
            <w:tcW w:w="992" w:type="dxa"/>
            <w:shd w:val="clear" w:color="auto" w:fill="auto"/>
          </w:tcPr>
          <w:p w14:paraId="03504525" w14:textId="276E6A58" w:rsidR="009E3D0F" w:rsidRPr="0022103C" w:rsidRDefault="009E3D0F" w:rsidP="009E3D0F">
            <w:pPr>
              <w:pStyle w:val="TableFiguresBold0"/>
            </w:pPr>
            <w:r w:rsidRPr="0022103C">
              <w:t>–</w:t>
            </w:r>
          </w:p>
        </w:tc>
        <w:tc>
          <w:tcPr>
            <w:tcW w:w="851" w:type="dxa"/>
            <w:shd w:val="clear" w:color="auto" w:fill="auto"/>
          </w:tcPr>
          <w:p w14:paraId="39793BD6" w14:textId="5D8BFCAB" w:rsidR="009E3D0F" w:rsidRPr="0022103C" w:rsidRDefault="009E3D0F" w:rsidP="009E3D0F">
            <w:pPr>
              <w:pStyle w:val="TableFigures"/>
            </w:pPr>
            <w:r w:rsidRPr="0022103C">
              <w:t>5</w:t>
            </w:r>
          </w:p>
        </w:tc>
        <w:tc>
          <w:tcPr>
            <w:tcW w:w="850" w:type="dxa"/>
          </w:tcPr>
          <w:p w14:paraId="7AF95EB4" w14:textId="7F52B1CF" w:rsidR="009E3D0F" w:rsidRPr="0022103C" w:rsidRDefault="009E3D0F" w:rsidP="009E3D0F">
            <w:pPr>
              <w:pStyle w:val="TableFiguresBold0"/>
            </w:pPr>
            <w:r w:rsidRPr="0022103C">
              <w:t>–</w:t>
            </w:r>
          </w:p>
        </w:tc>
        <w:tc>
          <w:tcPr>
            <w:tcW w:w="709" w:type="dxa"/>
          </w:tcPr>
          <w:p w14:paraId="4BB307B1" w14:textId="176EFFC9" w:rsidR="009E3D0F" w:rsidRPr="0022103C" w:rsidRDefault="009E3D0F" w:rsidP="009E3D0F">
            <w:pPr>
              <w:pStyle w:val="TableFigures"/>
            </w:pPr>
            <w:r w:rsidRPr="0022103C">
              <w:t>3</w:t>
            </w:r>
          </w:p>
        </w:tc>
      </w:tr>
      <w:tr w:rsidR="009E3D0F" w:rsidRPr="00FF04DA" w14:paraId="011D9698" w14:textId="77777777" w:rsidTr="003C3132">
        <w:tc>
          <w:tcPr>
            <w:tcW w:w="4451" w:type="dxa"/>
            <w:tcBorders>
              <w:bottom w:val="single" w:sz="4" w:space="0" w:color="808080" w:themeColor="background1" w:themeShade="80"/>
            </w:tcBorders>
            <w:shd w:val="clear" w:color="auto" w:fill="auto"/>
            <w:vAlign w:val="bottom"/>
          </w:tcPr>
          <w:p w14:paraId="4962264D" w14:textId="77777777" w:rsidR="009E3D0F" w:rsidRPr="0022103C" w:rsidRDefault="009E3D0F" w:rsidP="009E3D0F">
            <w:pPr>
              <w:pStyle w:val="Tabletext"/>
              <w:rPr>
                <w:szCs w:val="20"/>
              </w:rPr>
            </w:pPr>
            <w:r w:rsidRPr="0022103C">
              <w:rPr>
                <w:szCs w:val="20"/>
              </w:rPr>
              <w:t>Tax in respect of adjustments</w:t>
            </w:r>
          </w:p>
        </w:tc>
        <w:tc>
          <w:tcPr>
            <w:tcW w:w="1786" w:type="dxa"/>
            <w:tcBorders>
              <w:bottom w:val="single" w:sz="4" w:space="0" w:color="808080" w:themeColor="background1" w:themeShade="80"/>
            </w:tcBorders>
          </w:tcPr>
          <w:p w14:paraId="556434BC" w14:textId="0688EA3F" w:rsidR="009E3D0F" w:rsidRPr="0022103C" w:rsidRDefault="009E3D0F" w:rsidP="0022103C">
            <w:pPr>
              <w:pStyle w:val="TableFiguresBracketsBold"/>
            </w:pPr>
            <w:r w:rsidRPr="0022103C">
              <w:t>(183)</w:t>
            </w:r>
          </w:p>
        </w:tc>
        <w:tc>
          <w:tcPr>
            <w:tcW w:w="709" w:type="dxa"/>
            <w:tcBorders>
              <w:bottom w:val="single" w:sz="4" w:space="0" w:color="808080" w:themeColor="background1" w:themeShade="80"/>
            </w:tcBorders>
          </w:tcPr>
          <w:p w14:paraId="0047E532" w14:textId="607D9618" w:rsidR="009E3D0F" w:rsidRPr="0022103C" w:rsidRDefault="009E3D0F">
            <w:pPr>
              <w:pStyle w:val="TableFiguresBold0"/>
            </w:pPr>
            <w:r w:rsidRPr="0022103C">
              <w:t>–</w:t>
            </w:r>
          </w:p>
        </w:tc>
        <w:tc>
          <w:tcPr>
            <w:tcW w:w="992" w:type="dxa"/>
            <w:tcBorders>
              <w:bottom w:val="single" w:sz="4" w:space="0" w:color="808080" w:themeColor="background1" w:themeShade="80"/>
            </w:tcBorders>
            <w:shd w:val="clear" w:color="auto" w:fill="auto"/>
          </w:tcPr>
          <w:p w14:paraId="61305AEC" w14:textId="78709F24" w:rsidR="009E3D0F" w:rsidRPr="0022103C" w:rsidRDefault="009E3D0F" w:rsidP="0022103C">
            <w:pPr>
              <w:pStyle w:val="TableFiguresBracketsBold"/>
            </w:pPr>
            <w:r w:rsidRPr="0022103C">
              <w:t>(183)</w:t>
            </w:r>
          </w:p>
        </w:tc>
        <w:tc>
          <w:tcPr>
            <w:tcW w:w="851" w:type="dxa"/>
            <w:tcBorders>
              <w:bottom w:val="single" w:sz="4" w:space="0" w:color="808080" w:themeColor="background1" w:themeShade="80"/>
            </w:tcBorders>
            <w:shd w:val="clear" w:color="auto" w:fill="auto"/>
          </w:tcPr>
          <w:p w14:paraId="171CEC93" w14:textId="74366736" w:rsidR="009E3D0F" w:rsidRPr="0022103C" w:rsidRDefault="009E3D0F" w:rsidP="0022103C">
            <w:pPr>
              <w:pStyle w:val="TableFiguresBrackets"/>
              <w:rPr>
                <w:b/>
              </w:rPr>
            </w:pPr>
            <w:r w:rsidRPr="0022103C">
              <w:t>(81)</w:t>
            </w:r>
          </w:p>
        </w:tc>
        <w:tc>
          <w:tcPr>
            <w:tcW w:w="850" w:type="dxa"/>
            <w:tcBorders>
              <w:bottom w:val="single" w:sz="4" w:space="0" w:color="808080" w:themeColor="background1" w:themeShade="80"/>
            </w:tcBorders>
          </w:tcPr>
          <w:p w14:paraId="4BAC8749" w14:textId="27CF4EEA" w:rsidR="009E3D0F" w:rsidRPr="0022103C" w:rsidRDefault="009E3D0F" w:rsidP="0022103C">
            <w:pPr>
              <w:pStyle w:val="TableFiguresBracketsBold"/>
            </w:pPr>
            <w:r w:rsidRPr="0022103C">
              <w:t>(</w:t>
            </w:r>
            <w:r w:rsidR="00F45148" w:rsidRPr="0022103C">
              <w:t>92)</w:t>
            </w:r>
          </w:p>
        </w:tc>
        <w:tc>
          <w:tcPr>
            <w:tcW w:w="709" w:type="dxa"/>
            <w:tcBorders>
              <w:bottom w:val="single" w:sz="4" w:space="0" w:color="808080" w:themeColor="background1" w:themeShade="80"/>
            </w:tcBorders>
            <w:shd w:val="clear" w:color="auto" w:fill="auto"/>
          </w:tcPr>
          <w:p w14:paraId="34CEEB17" w14:textId="1C080B82" w:rsidR="009E3D0F" w:rsidRPr="0022103C" w:rsidRDefault="00F45148" w:rsidP="0022103C">
            <w:pPr>
              <w:pStyle w:val="TableFiguresBrackets"/>
            </w:pPr>
            <w:r w:rsidRPr="0022103C">
              <w:t>(41)</w:t>
            </w:r>
          </w:p>
        </w:tc>
      </w:tr>
      <w:tr w:rsidR="009E3D0F" w:rsidRPr="00FF04DA" w14:paraId="5927116E" w14:textId="77777777" w:rsidTr="003C3132">
        <w:tc>
          <w:tcPr>
            <w:tcW w:w="4451" w:type="dxa"/>
            <w:tcBorders>
              <w:top w:val="single" w:sz="4" w:space="0" w:color="808080" w:themeColor="background1" w:themeShade="80"/>
              <w:bottom w:val="single" w:sz="4" w:space="0" w:color="808080" w:themeColor="background1" w:themeShade="80"/>
            </w:tcBorders>
            <w:shd w:val="clear" w:color="auto" w:fill="auto"/>
            <w:vAlign w:val="bottom"/>
          </w:tcPr>
          <w:p w14:paraId="6726F266" w14:textId="77777777" w:rsidR="009E3D0F" w:rsidRPr="0022103C" w:rsidRDefault="009E3D0F" w:rsidP="009E3D0F">
            <w:pPr>
              <w:pStyle w:val="TabletextBold"/>
              <w:rPr>
                <w:szCs w:val="20"/>
              </w:rPr>
            </w:pPr>
            <w:r w:rsidRPr="0022103C">
              <w:rPr>
                <w:szCs w:val="20"/>
              </w:rPr>
              <w:t>Total adjustments</w:t>
            </w:r>
          </w:p>
        </w:tc>
        <w:tc>
          <w:tcPr>
            <w:tcW w:w="1786" w:type="dxa"/>
            <w:tcBorders>
              <w:top w:val="single" w:sz="4" w:space="0" w:color="808080" w:themeColor="background1" w:themeShade="80"/>
              <w:bottom w:val="single" w:sz="4" w:space="0" w:color="808080" w:themeColor="background1" w:themeShade="80"/>
            </w:tcBorders>
          </w:tcPr>
          <w:p w14:paraId="5C2E2133" w14:textId="30042308" w:rsidR="009E3D0F" w:rsidRPr="0022103C" w:rsidRDefault="00F45148" w:rsidP="009E3D0F">
            <w:pPr>
              <w:pStyle w:val="TableFiguresBold0"/>
            </w:pPr>
            <w:r w:rsidRPr="0022103C">
              <w:t>811</w:t>
            </w:r>
          </w:p>
        </w:tc>
        <w:tc>
          <w:tcPr>
            <w:tcW w:w="709" w:type="dxa"/>
            <w:tcBorders>
              <w:top w:val="single" w:sz="4" w:space="0" w:color="808080" w:themeColor="background1" w:themeShade="80"/>
              <w:bottom w:val="single" w:sz="4" w:space="0" w:color="808080" w:themeColor="background1" w:themeShade="80"/>
            </w:tcBorders>
          </w:tcPr>
          <w:p w14:paraId="70BC8747" w14:textId="2F8961CC" w:rsidR="009E3D0F" w:rsidRPr="0022103C" w:rsidRDefault="00F45148" w:rsidP="0022103C">
            <w:pPr>
              <w:pStyle w:val="TableFiguresBracketsBold"/>
            </w:pPr>
            <w:r w:rsidRPr="0022103C">
              <w:t>(1)</w:t>
            </w:r>
          </w:p>
        </w:tc>
        <w:tc>
          <w:tcPr>
            <w:tcW w:w="992" w:type="dxa"/>
            <w:tcBorders>
              <w:top w:val="single" w:sz="4" w:space="0" w:color="808080" w:themeColor="background1" w:themeShade="80"/>
              <w:bottom w:val="single" w:sz="4" w:space="0" w:color="808080" w:themeColor="background1" w:themeShade="80"/>
            </w:tcBorders>
            <w:shd w:val="clear" w:color="auto" w:fill="auto"/>
          </w:tcPr>
          <w:p w14:paraId="0B9EA243" w14:textId="1EF5DD11" w:rsidR="009E3D0F" w:rsidRPr="0022103C" w:rsidRDefault="00F45148" w:rsidP="009E3D0F">
            <w:pPr>
              <w:pStyle w:val="TableFiguresBold0"/>
            </w:pPr>
            <w:r w:rsidRPr="0022103C">
              <w:t>810</w:t>
            </w:r>
          </w:p>
        </w:tc>
        <w:tc>
          <w:tcPr>
            <w:tcW w:w="851" w:type="dxa"/>
            <w:tcBorders>
              <w:top w:val="single" w:sz="4" w:space="0" w:color="808080" w:themeColor="background1" w:themeShade="80"/>
              <w:bottom w:val="single" w:sz="4" w:space="0" w:color="808080" w:themeColor="background1" w:themeShade="80"/>
            </w:tcBorders>
            <w:shd w:val="clear" w:color="auto" w:fill="auto"/>
          </w:tcPr>
          <w:p w14:paraId="5FC3945E" w14:textId="62E67DCB" w:rsidR="009E3D0F" w:rsidRPr="0022103C" w:rsidRDefault="00F45148" w:rsidP="009E3D0F">
            <w:pPr>
              <w:pStyle w:val="TableFigures"/>
              <w:rPr>
                <w:b/>
              </w:rPr>
            </w:pPr>
            <w:r w:rsidRPr="0022103C">
              <w:t>350</w:t>
            </w:r>
          </w:p>
        </w:tc>
        <w:tc>
          <w:tcPr>
            <w:tcW w:w="850" w:type="dxa"/>
            <w:tcBorders>
              <w:top w:val="single" w:sz="4" w:space="0" w:color="808080" w:themeColor="background1" w:themeShade="80"/>
              <w:bottom w:val="single" w:sz="4" w:space="0" w:color="808080" w:themeColor="background1" w:themeShade="80"/>
            </w:tcBorders>
          </w:tcPr>
          <w:p w14:paraId="6D1FC48B" w14:textId="085579EB" w:rsidR="009E3D0F" w:rsidRPr="0022103C" w:rsidRDefault="00F45148" w:rsidP="009E3D0F">
            <w:pPr>
              <w:pStyle w:val="TableFiguresBold0"/>
            </w:pPr>
            <w:r w:rsidRPr="0022103C">
              <w:t>405</w:t>
            </w:r>
          </w:p>
        </w:tc>
        <w:tc>
          <w:tcPr>
            <w:tcW w:w="709" w:type="dxa"/>
            <w:tcBorders>
              <w:top w:val="single" w:sz="4" w:space="0" w:color="808080" w:themeColor="background1" w:themeShade="80"/>
              <w:bottom w:val="single" w:sz="4" w:space="0" w:color="808080" w:themeColor="background1" w:themeShade="80"/>
            </w:tcBorders>
            <w:shd w:val="clear" w:color="auto" w:fill="auto"/>
          </w:tcPr>
          <w:p w14:paraId="76C405FF" w14:textId="5B47EAEE" w:rsidR="009E3D0F" w:rsidRPr="0022103C" w:rsidRDefault="00F45148" w:rsidP="009E3D0F">
            <w:pPr>
              <w:pStyle w:val="TableFigures"/>
            </w:pPr>
            <w:r w:rsidRPr="0022103C">
              <w:t>175</w:t>
            </w:r>
          </w:p>
        </w:tc>
      </w:tr>
      <w:tr w:rsidR="009E3D0F" w:rsidRPr="00FF04DA" w14:paraId="18BC1794" w14:textId="77777777" w:rsidTr="003C3132">
        <w:tc>
          <w:tcPr>
            <w:tcW w:w="4451" w:type="dxa"/>
            <w:tcBorders>
              <w:top w:val="single" w:sz="4" w:space="0" w:color="808080" w:themeColor="background1" w:themeShade="80"/>
              <w:bottom w:val="single" w:sz="4" w:space="0" w:color="808080" w:themeColor="background1" w:themeShade="80"/>
            </w:tcBorders>
            <w:shd w:val="clear" w:color="auto" w:fill="auto"/>
            <w:vAlign w:val="bottom"/>
          </w:tcPr>
          <w:p w14:paraId="4AD4844C" w14:textId="77777777" w:rsidR="009E3D0F" w:rsidRPr="0022103C" w:rsidDel="005F2591" w:rsidRDefault="009E3D0F" w:rsidP="009E3D0F">
            <w:pPr>
              <w:pStyle w:val="TabletextBold"/>
              <w:rPr>
                <w:szCs w:val="20"/>
              </w:rPr>
            </w:pPr>
            <w:r w:rsidRPr="0022103C">
              <w:rPr>
                <w:szCs w:val="20"/>
              </w:rPr>
              <w:t>Profit/(loss) after tax</w:t>
            </w:r>
          </w:p>
        </w:tc>
        <w:tc>
          <w:tcPr>
            <w:tcW w:w="1786" w:type="dxa"/>
            <w:tcBorders>
              <w:top w:val="single" w:sz="4" w:space="0" w:color="808080" w:themeColor="background1" w:themeShade="80"/>
              <w:bottom w:val="single" w:sz="4" w:space="0" w:color="808080" w:themeColor="background1" w:themeShade="80"/>
            </w:tcBorders>
          </w:tcPr>
          <w:p w14:paraId="55E4418F" w14:textId="09500914" w:rsidR="009E3D0F" w:rsidRPr="0022103C" w:rsidDel="00D97B6E" w:rsidRDefault="00F45148" w:rsidP="009E3D0F">
            <w:pPr>
              <w:pStyle w:val="TableFiguresBold0"/>
            </w:pPr>
            <w:r w:rsidRPr="0022103C">
              <w:t>923</w:t>
            </w:r>
          </w:p>
        </w:tc>
        <w:tc>
          <w:tcPr>
            <w:tcW w:w="709" w:type="dxa"/>
            <w:tcBorders>
              <w:top w:val="single" w:sz="4" w:space="0" w:color="808080" w:themeColor="background1" w:themeShade="80"/>
              <w:bottom w:val="single" w:sz="4" w:space="0" w:color="808080" w:themeColor="background1" w:themeShade="80"/>
            </w:tcBorders>
          </w:tcPr>
          <w:p w14:paraId="30B3DEA5" w14:textId="5E016211" w:rsidR="009E3D0F" w:rsidRPr="0022103C" w:rsidDel="00D97B6E" w:rsidRDefault="00F45148" w:rsidP="0022103C">
            <w:pPr>
              <w:pStyle w:val="TableFiguresBracketsBold"/>
            </w:pPr>
            <w:r w:rsidRPr="0022103C">
              <w:t>(1)</w:t>
            </w:r>
          </w:p>
        </w:tc>
        <w:tc>
          <w:tcPr>
            <w:tcW w:w="992" w:type="dxa"/>
            <w:tcBorders>
              <w:top w:val="single" w:sz="4" w:space="0" w:color="808080" w:themeColor="background1" w:themeShade="80"/>
              <w:bottom w:val="single" w:sz="4" w:space="0" w:color="808080" w:themeColor="background1" w:themeShade="80"/>
            </w:tcBorders>
            <w:shd w:val="clear" w:color="auto" w:fill="auto"/>
          </w:tcPr>
          <w:p w14:paraId="7F7135A8" w14:textId="453F5C3B" w:rsidR="009E3D0F" w:rsidRPr="0022103C" w:rsidDel="00D97B6E" w:rsidRDefault="00F45148" w:rsidP="009E3D0F">
            <w:pPr>
              <w:pStyle w:val="TableFiguresBold0"/>
            </w:pPr>
            <w:r w:rsidRPr="0022103C">
              <w:t>922</w:t>
            </w:r>
          </w:p>
        </w:tc>
        <w:tc>
          <w:tcPr>
            <w:tcW w:w="851" w:type="dxa"/>
            <w:tcBorders>
              <w:top w:val="single" w:sz="4" w:space="0" w:color="808080" w:themeColor="background1" w:themeShade="80"/>
              <w:bottom w:val="single" w:sz="4" w:space="0" w:color="808080" w:themeColor="background1" w:themeShade="80"/>
            </w:tcBorders>
            <w:shd w:val="clear" w:color="auto" w:fill="auto"/>
          </w:tcPr>
          <w:p w14:paraId="35246671" w14:textId="74CDAC44" w:rsidR="009E3D0F" w:rsidRPr="0022103C" w:rsidRDefault="00F45148" w:rsidP="00FD1A13">
            <w:pPr>
              <w:pStyle w:val="TableFigures"/>
            </w:pPr>
            <w:r w:rsidRPr="0022103C">
              <w:t>472</w:t>
            </w:r>
          </w:p>
        </w:tc>
        <w:tc>
          <w:tcPr>
            <w:tcW w:w="850" w:type="dxa"/>
            <w:tcBorders>
              <w:top w:val="single" w:sz="4" w:space="0" w:color="808080" w:themeColor="background1" w:themeShade="80"/>
              <w:bottom w:val="single" w:sz="4" w:space="0" w:color="808080" w:themeColor="background1" w:themeShade="80"/>
            </w:tcBorders>
          </w:tcPr>
          <w:p w14:paraId="507AD2FE" w14:textId="3C31B45F" w:rsidR="009E3D0F" w:rsidRPr="0022103C" w:rsidRDefault="00F45148" w:rsidP="009E3D0F">
            <w:pPr>
              <w:pStyle w:val="TableFiguresBold0"/>
            </w:pPr>
            <w:r w:rsidRPr="0022103C">
              <w:t>461</w:t>
            </w:r>
          </w:p>
        </w:tc>
        <w:tc>
          <w:tcPr>
            <w:tcW w:w="709" w:type="dxa"/>
            <w:tcBorders>
              <w:top w:val="single" w:sz="4" w:space="0" w:color="808080" w:themeColor="background1" w:themeShade="80"/>
              <w:bottom w:val="single" w:sz="4" w:space="0" w:color="808080" w:themeColor="background1" w:themeShade="80"/>
            </w:tcBorders>
            <w:shd w:val="clear" w:color="auto" w:fill="auto"/>
          </w:tcPr>
          <w:p w14:paraId="12FD413A" w14:textId="7F913295" w:rsidR="009E3D0F" w:rsidRPr="0022103C" w:rsidRDefault="00F45148" w:rsidP="009E3D0F">
            <w:pPr>
              <w:pStyle w:val="TableFigures"/>
            </w:pPr>
            <w:r w:rsidRPr="0022103C">
              <w:t>236</w:t>
            </w:r>
          </w:p>
        </w:tc>
      </w:tr>
      <w:tr w:rsidR="009E3D0F" w:rsidRPr="00FF04DA" w14:paraId="08D40C51" w14:textId="77777777" w:rsidTr="003C3132">
        <w:tc>
          <w:tcPr>
            <w:tcW w:w="4451" w:type="dxa"/>
            <w:tcBorders>
              <w:top w:val="single" w:sz="4" w:space="0" w:color="808080" w:themeColor="background1" w:themeShade="80"/>
              <w:bottom w:val="single" w:sz="4" w:space="0" w:color="808080" w:themeColor="background1" w:themeShade="80"/>
            </w:tcBorders>
            <w:shd w:val="clear" w:color="auto" w:fill="auto"/>
            <w:vAlign w:val="bottom"/>
          </w:tcPr>
          <w:p w14:paraId="02E14383" w14:textId="77777777" w:rsidR="009E3D0F" w:rsidRPr="0022103C" w:rsidDel="005F2591" w:rsidRDefault="009E3D0F" w:rsidP="009E3D0F">
            <w:pPr>
              <w:pStyle w:val="Tabletext"/>
            </w:pPr>
            <w:r w:rsidRPr="0022103C">
              <w:t>Other comprehensive income</w:t>
            </w:r>
          </w:p>
        </w:tc>
        <w:tc>
          <w:tcPr>
            <w:tcW w:w="1786" w:type="dxa"/>
            <w:tcBorders>
              <w:top w:val="single" w:sz="4" w:space="0" w:color="808080" w:themeColor="background1" w:themeShade="80"/>
              <w:bottom w:val="single" w:sz="4" w:space="0" w:color="808080" w:themeColor="background1" w:themeShade="80"/>
            </w:tcBorders>
          </w:tcPr>
          <w:p w14:paraId="16E7BBA7" w14:textId="48E16D1B" w:rsidR="009E3D0F" w:rsidRPr="0022103C" w:rsidDel="00D97B6E" w:rsidRDefault="009E3D0F" w:rsidP="00FD1A13">
            <w:pPr>
              <w:pStyle w:val="TableFiguresBold0"/>
            </w:pPr>
            <w:r w:rsidRPr="0022103C">
              <w:t>–</w:t>
            </w:r>
          </w:p>
        </w:tc>
        <w:tc>
          <w:tcPr>
            <w:tcW w:w="709" w:type="dxa"/>
            <w:tcBorders>
              <w:top w:val="single" w:sz="4" w:space="0" w:color="808080" w:themeColor="background1" w:themeShade="80"/>
              <w:bottom w:val="single" w:sz="4" w:space="0" w:color="808080" w:themeColor="background1" w:themeShade="80"/>
            </w:tcBorders>
          </w:tcPr>
          <w:p w14:paraId="5316BEF3" w14:textId="69855195" w:rsidR="009E3D0F" w:rsidRPr="0022103C" w:rsidDel="00D97B6E" w:rsidRDefault="009E3D0F" w:rsidP="00FD1A13">
            <w:pPr>
              <w:pStyle w:val="TableFiguresBold0"/>
            </w:pPr>
            <w:r w:rsidRPr="0022103C">
              <w:t>–</w:t>
            </w:r>
          </w:p>
        </w:tc>
        <w:tc>
          <w:tcPr>
            <w:tcW w:w="992" w:type="dxa"/>
            <w:tcBorders>
              <w:top w:val="single" w:sz="4" w:space="0" w:color="808080" w:themeColor="background1" w:themeShade="80"/>
              <w:bottom w:val="single" w:sz="4" w:space="0" w:color="808080" w:themeColor="background1" w:themeShade="80"/>
            </w:tcBorders>
            <w:shd w:val="clear" w:color="auto" w:fill="auto"/>
          </w:tcPr>
          <w:p w14:paraId="2AA8537C" w14:textId="79F65D35" w:rsidR="009E3D0F" w:rsidRPr="0022103C" w:rsidDel="00D97B6E" w:rsidRDefault="009E3D0F">
            <w:pPr>
              <w:pStyle w:val="TableFiguresBold0"/>
            </w:pPr>
            <w:r w:rsidRPr="0022103C">
              <w:t>–</w:t>
            </w:r>
          </w:p>
        </w:tc>
        <w:tc>
          <w:tcPr>
            <w:tcW w:w="851" w:type="dxa"/>
            <w:tcBorders>
              <w:top w:val="single" w:sz="4" w:space="0" w:color="808080" w:themeColor="background1" w:themeShade="80"/>
              <w:bottom w:val="single" w:sz="4" w:space="0" w:color="808080" w:themeColor="background1" w:themeShade="80"/>
            </w:tcBorders>
            <w:shd w:val="clear" w:color="auto" w:fill="auto"/>
          </w:tcPr>
          <w:p w14:paraId="16978268" w14:textId="12CF0C54" w:rsidR="009E3D0F" w:rsidRPr="0022103C" w:rsidRDefault="009E3D0F" w:rsidP="009E3D0F">
            <w:pPr>
              <w:pStyle w:val="TableFigures"/>
              <w:rPr>
                <w:b/>
              </w:rPr>
            </w:pPr>
            <w:r w:rsidRPr="0022103C">
              <w:t>–</w:t>
            </w:r>
          </w:p>
        </w:tc>
        <w:tc>
          <w:tcPr>
            <w:tcW w:w="850" w:type="dxa"/>
            <w:tcBorders>
              <w:top w:val="single" w:sz="4" w:space="0" w:color="808080" w:themeColor="background1" w:themeShade="80"/>
              <w:bottom w:val="single" w:sz="4" w:space="0" w:color="808080" w:themeColor="background1" w:themeShade="80"/>
            </w:tcBorders>
          </w:tcPr>
          <w:p w14:paraId="4D7298C3" w14:textId="4790DF5C" w:rsidR="009E3D0F" w:rsidRPr="0022103C" w:rsidRDefault="009E3D0F" w:rsidP="00FD1A13">
            <w:pPr>
              <w:pStyle w:val="TableFiguresBold0"/>
            </w:pPr>
            <w:r w:rsidRPr="0022103C">
              <w:t>–</w:t>
            </w:r>
          </w:p>
        </w:tc>
        <w:tc>
          <w:tcPr>
            <w:tcW w:w="709" w:type="dxa"/>
            <w:tcBorders>
              <w:top w:val="single" w:sz="4" w:space="0" w:color="808080" w:themeColor="background1" w:themeShade="80"/>
              <w:bottom w:val="single" w:sz="4" w:space="0" w:color="808080" w:themeColor="background1" w:themeShade="80"/>
            </w:tcBorders>
            <w:shd w:val="clear" w:color="auto" w:fill="auto"/>
          </w:tcPr>
          <w:p w14:paraId="405B4788" w14:textId="7012D618" w:rsidR="009E3D0F" w:rsidRPr="0022103C" w:rsidRDefault="009E3D0F" w:rsidP="009E3D0F">
            <w:pPr>
              <w:pStyle w:val="TableFigures"/>
            </w:pPr>
            <w:r w:rsidRPr="0022103C">
              <w:t>–</w:t>
            </w:r>
          </w:p>
        </w:tc>
      </w:tr>
      <w:tr w:rsidR="009E3D0F" w:rsidRPr="00FF04DA" w14:paraId="62F38FAB" w14:textId="77777777" w:rsidTr="003C3132">
        <w:tc>
          <w:tcPr>
            <w:tcW w:w="4451" w:type="dxa"/>
            <w:tcBorders>
              <w:top w:val="single" w:sz="4" w:space="0" w:color="808080" w:themeColor="background1" w:themeShade="80"/>
              <w:bottom w:val="single" w:sz="8" w:space="0" w:color="808080" w:themeColor="background1" w:themeShade="80"/>
            </w:tcBorders>
            <w:shd w:val="clear" w:color="auto" w:fill="auto"/>
            <w:vAlign w:val="bottom"/>
          </w:tcPr>
          <w:p w14:paraId="49E94615" w14:textId="2F85B886" w:rsidR="009E3D0F" w:rsidRPr="0022103C" w:rsidDel="005F2591" w:rsidRDefault="009E3D0F" w:rsidP="009E3D0F">
            <w:pPr>
              <w:pStyle w:val="TabletextBold"/>
              <w:rPr>
                <w:szCs w:val="20"/>
              </w:rPr>
            </w:pPr>
            <w:r w:rsidRPr="0022103C">
              <w:rPr>
                <w:szCs w:val="20"/>
              </w:rPr>
              <w:t>Total comprehensive income/(expense) for the year</w:t>
            </w:r>
          </w:p>
        </w:tc>
        <w:tc>
          <w:tcPr>
            <w:tcW w:w="1786" w:type="dxa"/>
            <w:tcBorders>
              <w:top w:val="single" w:sz="4" w:space="0" w:color="808080" w:themeColor="background1" w:themeShade="80"/>
              <w:bottom w:val="single" w:sz="8" w:space="0" w:color="808080" w:themeColor="background1" w:themeShade="80"/>
            </w:tcBorders>
          </w:tcPr>
          <w:p w14:paraId="1532787C" w14:textId="6C557D04" w:rsidR="009E3D0F" w:rsidRPr="0022103C" w:rsidDel="00D97B6E" w:rsidRDefault="00F45148" w:rsidP="009E3D0F">
            <w:pPr>
              <w:pStyle w:val="TableFiguresBold0"/>
            </w:pPr>
            <w:r w:rsidRPr="0022103C">
              <w:t>923</w:t>
            </w:r>
          </w:p>
        </w:tc>
        <w:tc>
          <w:tcPr>
            <w:tcW w:w="709" w:type="dxa"/>
            <w:tcBorders>
              <w:top w:val="single" w:sz="4" w:space="0" w:color="808080" w:themeColor="background1" w:themeShade="80"/>
              <w:bottom w:val="single" w:sz="8" w:space="0" w:color="808080" w:themeColor="background1" w:themeShade="80"/>
            </w:tcBorders>
          </w:tcPr>
          <w:p w14:paraId="4C44F341" w14:textId="2E2F5438" w:rsidR="009E3D0F" w:rsidRPr="0022103C" w:rsidDel="00D97B6E" w:rsidRDefault="00F45148" w:rsidP="0022103C">
            <w:pPr>
              <w:pStyle w:val="TableFiguresBracketsBold"/>
            </w:pPr>
            <w:r w:rsidRPr="0022103C">
              <w:t>(1)</w:t>
            </w:r>
          </w:p>
        </w:tc>
        <w:tc>
          <w:tcPr>
            <w:tcW w:w="992" w:type="dxa"/>
            <w:tcBorders>
              <w:top w:val="single" w:sz="4" w:space="0" w:color="808080" w:themeColor="background1" w:themeShade="80"/>
              <w:bottom w:val="single" w:sz="8" w:space="0" w:color="808080" w:themeColor="background1" w:themeShade="80"/>
            </w:tcBorders>
            <w:shd w:val="clear" w:color="auto" w:fill="auto"/>
          </w:tcPr>
          <w:p w14:paraId="0C34E606" w14:textId="7A4BB41A" w:rsidR="009E3D0F" w:rsidRPr="0022103C" w:rsidDel="00D97B6E" w:rsidRDefault="00F45148" w:rsidP="009E3D0F">
            <w:pPr>
              <w:pStyle w:val="TableFiguresBold0"/>
            </w:pPr>
            <w:r w:rsidRPr="0022103C">
              <w:t>922</w:t>
            </w:r>
          </w:p>
        </w:tc>
        <w:tc>
          <w:tcPr>
            <w:tcW w:w="851" w:type="dxa"/>
            <w:tcBorders>
              <w:top w:val="single" w:sz="4" w:space="0" w:color="808080" w:themeColor="background1" w:themeShade="80"/>
              <w:bottom w:val="single" w:sz="8" w:space="0" w:color="808080" w:themeColor="background1" w:themeShade="80"/>
            </w:tcBorders>
            <w:shd w:val="clear" w:color="auto" w:fill="auto"/>
          </w:tcPr>
          <w:p w14:paraId="64692CC0" w14:textId="6ECBA1DA" w:rsidR="009E3D0F" w:rsidRPr="0022103C" w:rsidRDefault="00F45148" w:rsidP="009E3D0F">
            <w:pPr>
              <w:pStyle w:val="TableFigures"/>
              <w:rPr>
                <w:b/>
              </w:rPr>
            </w:pPr>
            <w:r w:rsidRPr="0022103C">
              <w:t>472</w:t>
            </w:r>
          </w:p>
        </w:tc>
        <w:tc>
          <w:tcPr>
            <w:tcW w:w="850" w:type="dxa"/>
            <w:tcBorders>
              <w:top w:val="single" w:sz="4" w:space="0" w:color="808080" w:themeColor="background1" w:themeShade="80"/>
              <w:bottom w:val="single" w:sz="8" w:space="0" w:color="808080" w:themeColor="background1" w:themeShade="80"/>
            </w:tcBorders>
          </w:tcPr>
          <w:p w14:paraId="31E6A0E9" w14:textId="3F83607D" w:rsidR="009E3D0F" w:rsidRPr="0022103C" w:rsidRDefault="00F45148" w:rsidP="009E3D0F">
            <w:pPr>
              <w:pStyle w:val="TableFiguresBold0"/>
            </w:pPr>
            <w:r w:rsidRPr="0022103C">
              <w:t>461</w:t>
            </w:r>
          </w:p>
        </w:tc>
        <w:tc>
          <w:tcPr>
            <w:tcW w:w="709" w:type="dxa"/>
            <w:tcBorders>
              <w:top w:val="single" w:sz="4" w:space="0" w:color="808080" w:themeColor="background1" w:themeShade="80"/>
              <w:bottom w:val="single" w:sz="8" w:space="0" w:color="808080" w:themeColor="background1" w:themeShade="80"/>
            </w:tcBorders>
            <w:shd w:val="clear" w:color="auto" w:fill="auto"/>
          </w:tcPr>
          <w:p w14:paraId="77B7D858" w14:textId="04475AD9" w:rsidR="009E3D0F" w:rsidRPr="0022103C" w:rsidRDefault="00F45148" w:rsidP="009E3D0F">
            <w:pPr>
              <w:pStyle w:val="TableFigures"/>
            </w:pPr>
            <w:r w:rsidRPr="0022103C">
              <w:t>236</w:t>
            </w:r>
          </w:p>
        </w:tc>
      </w:tr>
    </w:tbl>
    <w:p w14:paraId="36CD1080" w14:textId="77777777" w:rsidR="00953C29" w:rsidRPr="005F6D8A" w:rsidRDefault="00953C29" w:rsidP="00953C29">
      <w:pPr>
        <w:pStyle w:val="FootnotesNoSpace"/>
        <w:rPr>
          <w:i w:val="0"/>
          <w:color w:val="FF0000"/>
        </w:rPr>
      </w:pPr>
      <w:bookmarkStart w:id="9" w:name="RANGE!A1:G47"/>
    </w:p>
    <w:p w14:paraId="4941F6CC" w14:textId="77777777" w:rsidR="00F45148" w:rsidRDefault="00953C29" w:rsidP="00F45148">
      <w:pPr>
        <w:pStyle w:val="FootnotesNoSpace"/>
      </w:pPr>
      <w:r w:rsidRPr="00F45148">
        <w:t xml:space="preserve">1 </w:t>
      </w:r>
      <w:r w:rsidR="00F45148" w:rsidRPr="00F45148">
        <w:t xml:space="preserve">Total revenue at 100% of £270 million (2020: £249 million) includes: Gross rental income £270 million (2020: £242 million) and proceeds from sale of trading properties £nil (2020: £7 million). Proceeds from sale of trading properties is presented net of cost of sale and shown within adjustments in the table above. Profit on sale of trading properties was £nil in 2021 and 2020. </w:t>
      </w:r>
    </w:p>
    <w:p w14:paraId="2BBA528A" w14:textId="77777777" w:rsidR="00F45148" w:rsidRDefault="00F45148" w:rsidP="00F45148">
      <w:pPr>
        <w:pStyle w:val="FootnotesNoSpace"/>
      </w:pPr>
      <w:r w:rsidRPr="00F45148">
        <w:t xml:space="preserve">2 Property management fees paid to SEGRO. </w:t>
      </w:r>
    </w:p>
    <w:p w14:paraId="40F10566" w14:textId="02A5BFC3" w:rsidR="00F45148" w:rsidRPr="00F45148" w:rsidRDefault="00F45148" w:rsidP="00F45148">
      <w:pPr>
        <w:pStyle w:val="FootnotesNoSpace"/>
      </w:pPr>
      <w:r w:rsidRPr="00F45148">
        <w:t>3 Performance fees recognised by SEGRO.</w:t>
      </w:r>
    </w:p>
    <w:p w14:paraId="161B7228" w14:textId="77777777" w:rsidR="005E793C" w:rsidRPr="00554556" w:rsidRDefault="005E793C" w:rsidP="005E793C">
      <w:pPr>
        <w:pStyle w:val="Heading3"/>
      </w:pPr>
      <w:r w:rsidRPr="00554556">
        <w:t>6(ii) Summarised Balance Sheet information in respect of the Group’s joint ventures</w:t>
      </w:r>
    </w:p>
    <w:tbl>
      <w:tblPr>
        <w:tblW w:w="10348" w:type="dxa"/>
        <w:tblCellMar>
          <w:left w:w="0" w:type="dxa"/>
          <w:right w:w="0" w:type="dxa"/>
        </w:tblCellMar>
        <w:tblLook w:val="01E0" w:firstRow="1" w:lastRow="1" w:firstColumn="1" w:lastColumn="1" w:noHBand="0" w:noVBand="0"/>
      </w:tblPr>
      <w:tblGrid>
        <w:gridCol w:w="4536"/>
        <w:gridCol w:w="1701"/>
        <w:gridCol w:w="709"/>
        <w:gridCol w:w="992"/>
        <w:gridCol w:w="793"/>
        <w:gridCol w:w="769"/>
        <w:gridCol w:w="848"/>
      </w:tblGrid>
      <w:tr w:rsidR="006748D3" w:rsidRPr="006748D3" w14:paraId="623F3DCF" w14:textId="77777777" w:rsidTr="006748D3">
        <w:trPr>
          <w:trHeight w:val="734"/>
        </w:trPr>
        <w:tc>
          <w:tcPr>
            <w:tcW w:w="4536" w:type="dxa"/>
            <w:tcBorders>
              <w:bottom w:val="single" w:sz="8" w:space="0" w:color="999999"/>
            </w:tcBorders>
            <w:shd w:val="clear" w:color="auto" w:fill="auto"/>
            <w:vAlign w:val="bottom"/>
          </w:tcPr>
          <w:p w14:paraId="35F734F6" w14:textId="77777777" w:rsidR="006748D3" w:rsidRPr="006748D3" w:rsidRDefault="006748D3" w:rsidP="00E30618">
            <w:pPr>
              <w:pStyle w:val="TableColHeads"/>
              <w:spacing w:line="-180" w:lineRule="auto"/>
            </w:pPr>
          </w:p>
        </w:tc>
        <w:tc>
          <w:tcPr>
            <w:tcW w:w="1701" w:type="dxa"/>
            <w:tcBorders>
              <w:bottom w:val="single" w:sz="8" w:space="0" w:color="999999"/>
            </w:tcBorders>
          </w:tcPr>
          <w:p w14:paraId="67B77F55" w14:textId="2DCF0F01" w:rsidR="006748D3" w:rsidRPr="006748D3" w:rsidRDefault="006748D3" w:rsidP="00E30618">
            <w:pPr>
              <w:pStyle w:val="TableColHeadsBold0"/>
            </w:pPr>
            <w:r w:rsidRPr="006748D3">
              <w:t>SELP</w:t>
            </w:r>
          </w:p>
          <w:p w14:paraId="059CC20A" w14:textId="77777777" w:rsidR="006748D3" w:rsidRPr="006748D3" w:rsidRDefault="006748D3" w:rsidP="00E30618">
            <w:pPr>
              <w:pStyle w:val="TableColHeadsBold0"/>
            </w:pPr>
            <w:r w:rsidRPr="006748D3">
              <w:t>£m</w:t>
            </w:r>
          </w:p>
        </w:tc>
        <w:tc>
          <w:tcPr>
            <w:tcW w:w="709" w:type="dxa"/>
            <w:tcBorders>
              <w:bottom w:val="single" w:sz="8" w:space="0" w:color="999999"/>
            </w:tcBorders>
          </w:tcPr>
          <w:p w14:paraId="0068195E" w14:textId="77777777" w:rsidR="006748D3" w:rsidRPr="006748D3" w:rsidRDefault="006748D3" w:rsidP="00E30618">
            <w:pPr>
              <w:pStyle w:val="TableColHeadsBold0"/>
            </w:pPr>
            <w:r w:rsidRPr="006748D3">
              <w:t>Other</w:t>
            </w:r>
          </w:p>
          <w:p w14:paraId="34A1E020" w14:textId="77777777" w:rsidR="006748D3" w:rsidRPr="006748D3" w:rsidRDefault="006748D3" w:rsidP="00E30618">
            <w:pPr>
              <w:pStyle w:val="TableColHeadsBold0"/>
            </w:pPr>
            <w:r w:rsidRPr="006748D3">
              <w:t>£m</w:t>
            </w:r>
          </w:p>
        </w:tc>
        <w:tc>
          <w:tcPr>
            <w:tcW w:w="992" w:type="dxa"/>
            <w:tcBorders>
              <w:bottom w:val="single" w:sz="8" w:space="0" w:color="999999"/>
            </w:tcBorders>
            <w:shd w:val="clear" w:color="auto" w:fill="auto"/>
            <w:vAlign w:val="bottom"/>
          </w:tcPr>
          <w:p w14:paraId="411FEF36" w14:textId="77777777" w:rsidR="006748D3" w:rsidRPr="006748D3" w:rsidRDefault="006748D3" w:rsidP="00E30618">
            <w:pPr>
              <w:pStyle w:val="TableColHeadsBold0"/>
            </w:pPr>
            <w:r w:rsidRPr="006748D3">
              <w:t>At 100%</w:t>
            </w:r>
          </w:p>
          <w:p w14:paraId="0128CCB4" w14:textId="238E4DB2" w:rsidR="006748D3" w:rsidRPr="006748D3" w:rsidRDefault="006748D3" w:rsidP="00E30618">
            <w:pPr>
              <w:pStyle w:val="TableColHeadsBold0"/>
            </w:pPr>
            <w:r w:rsidRPr="006748D3">
              <w:t>2021</w:t>
            </w:r>
          </w:p>
          <w:p w14:paraId="1541BFF4" w14:textId="77777777" w:rsidR="006748D3" w:rsidRPr="006748D3" w:rsidRDefault="006748D3" w:rsidP="00E30618">
            <w:pPr>
              <w:pStyle w:val="TableColHeadsBold0"/>
            </w:pPr>
            <w:r w:rsidRPr="006748D3">
              <w:t>£m</w:t>
            </w:r>
          </w:p>
        </w:tc>
        <w:tc>
          <w:tcPr>
            <w:tcW w:w="793" w:type="dxa"/>
            <w:tcBorders>
              <w:bottom w:val="single" w:sz="8" w:space="0" w:color="999999"/>
            </w:tcBorders>
            <w:shd w:val="clear" w:color="auto" w:fill="auto"/>
            <w:vAlign w:val="bottom"/>
          </w:tcPr>
          <w:p w14:paraId="166DADB7" w14:textId="4C7705E9" w:rsidR="006748D3" w:rsidRPr="006748D3" w:rsidRDefault="006748D3" w:rsidP="00E30618">
            <w:pPr>
              <w:pStyle w:val="TableColHeadsBold0"/>
              <w:rPr>
                <w:b w:val="0"/>
                <w:bCs w:val="0"/>
              </w:rPr>
            </w:pPr>
            <w:r w:rsidRPr="006748D3">
              <w:rPr>
                <w:b w:val="0"/>
                <w:bCs w:val="0"/>
              </w:rPr>
              <w:t>At 100% 2020</w:t>
            </w:r>
          </w:p>
          <w:p w14:paraId="08ADFBB2" w14:textId="77777777" w:rsidR="006748D3" w:rsidRPr="006748D3" w:rsidRDefault="006748D3" w:rsidP="00E30618">
            <w:pPr>
              <w:pStyle w:val="TableColHeadsBold0"/>
            </w:pPr>
            <w:r w:rsidRPr="006748D3">
              <w:rPr>
                <w:b w:val="0"/>
                <w:bCs w:val="0"/>
              </w:rPr>
              <w:t>£m</w:t>
            </w:r>
          </w:p>
        </w:tc>
        <w:tc>
          <w:tcPr>
            <w:tcW w:w="769" w:type="dxa"/>
            <w:tcBorders>
              <w:bottom w:val="single" w:sz="8" w:space="0" w:color="999999"/>
            </w:tcBorders>
          </w:tcPr>
          <w:p w14:paraId="3895D6B9" w14:textId="38396AC0" w:rsidR="006748D3" w:rsidRPr="006748D3" w:rsidRDefault="006748D3" w:rsidP="00E30618">
            <w:pPr>
              <w:pStyle w:val="TableColHeadsBold0"/>
            </w:pPr>
            <w:r w:rsidRPr="006748D3">
              <w:t>At 50% 2021</w:t>
            </w:r>
          </w:p>
          <w:p w14:paraId="675B55D7" w14:textId="77777777" w:rsidR="006748D3" w:rsidRPr="006748D3" w:rsidRDefault="006748D3" w:rsidP="00E30618">
            <w:pPr>
              <w:pStyle w:val="TableColHeadsBold0"/>
            </w:pPr>
            <w:r w:rsidRPr="006748D3">
              <w:t>£m</w:t>
            </w:r>
          </w:p>
        </w:tc>
        <w:tc>
          <w:tcPr>
            <w:tcW w:w="848" w:type="dxa"/>
            <w:tcBorders>
              <w:bottom w:val="single" w:sz="8" w:space="0" w:color="999999"/>
            </w:tcBorders>
            <w:shd w:val="clear" w:color="auto" w:fill="auto"/>
            <w:vAlign w:val="bottom"/>
          </w:tcPr>
          <w:p w14:paraId="35F902C1" w14:textId="4351F3D8" w:rsidR="006748D3" w:rsidRPr="006748D3" w:rsidRDefault="006748D3" w:rsidP="00E30618">
            <w:pPr>
              <w:pStyle w:val="TableColHeadsBold0"/>
              <w:rPr>
                <w:b w:val="0"/>
                <w:bCs w:val="0"/>
              </w:rPr>
            </w:pPr>
            <w:r w:rsidRPr="006748D3">
              <w:rPr>
                <w:b w:val="0"/>
                <w:bCs w:val="0"/>
              </w:rPr>
              <w:t>At 50% 2020</w:t>
            </w:r>
          </w:p>
          <w:p w14:paraId="2CEB844D" w14:textId="77777777" w:rsidR="006748D3" w:rsidRPr="006748D3" w:rsidRDefault="006748D3" w:rsidP="00E30618">
            <w:pPr>
              <w:pStyle w:val="TableColHeadsBold0"/>
            </w:pPr>
            <w:r w:rsidRPr="006748D3">
              <w:rPr>
                <w:b w:val="0"/>
                <w:bCs w:val="0"/>
              </w:rPr>
              <w:t>£m</w:t>
            </w:r>
          </w:p>
        </w:tc>
      </w:tr>
      <w:tr w:rsidR="006748D3" w:rsidRPr="006748D3" w14:paraId="1A318C46" w14:textId="77777777" w:rsidTr="006748D3">
        <w:tc>
          <w:tcPr>
            <w:tcW w:w="4536" w:type="dxa"/>
            <w:tcBorders>
              <w:top w:val="single" w:sz="8" w:space="0" w:color="999999"/>
            </w:tcBorders>
            <w:shd w:val="clear" w:color="auto" w:fill="auto"/>
            <w:vAlign w:val="bottom"/>
          </w:tcPr>
          <w:p w14:paraId="2F33251D" w14:textId="5136E275" w:rsidR="006748D3" w:rsidRPr="006748D3" w:rsidRDefault="006748D3" w:rsidP="00B93C1D">
            <w:pPr>
              <w:pStyle w:val="Tabletext"/>
            </w:pPr>
            <w:r w:rsidRPr="006748D3">
              <w:t>Investment properties</w:t>
            </w:r>
            <w:r w:rsidR="00960216" w:rsidRPr="00BA4E4C">
              <w:rPr>
                <w:sz w:val="14"/>
                <w:szCs w:val="20"/>
                <w:vertAlign w:val="superscript"/>
              </w:rPr>
              <w:t>1</w:t>
            </w:r>
          </w:p>
        </w:tc>
        <w:tc>
          <w:tcPr>
            <w:tcW w:w="1701" w:type="dxa"/>
            <w:tcBorders>
              <w:top w:val="single" w:sz="8" w:space="0" w:color="999999"/>
            </w:tcBorders>
          </w:tcPr>
          <w:p w14:paraId="58238720" w14:textId="007FC916" w:rsidR="006748D3" w:rsidRPr="006748D3" w:rsidRDefault="006748D3" w:rsidP="00B93C1D">
            <w:pPr>
              <w:pStyle w:val="TableFiguresBold0"/>
            </w:pPr>
            <w:r w:rsidRPr="006748D3">
              <w:t>5,804</w:t>
            </w:r>
          </w:p>
        </w:tc>
        <w:tc>
          <w:tcPr>
            <w:tcW w:w="709" w:type="dxa"/>
            <w:tcBorders>
              <w:top w:val="single" w:sz="8" w:space="0" w:color="999999"/>
            </w:tcBorders>
          </w:tcPr>
          <w:p w14:paraId="385BC278" w14:textId="7D81DEC6" w:rsidR="006748D3" w:rsidRPr="006748D3" w:rsidRDefault="006748D3" w:rsidP="002313ED">
            <w:pPr>
              <w:pStyle w:val="TableFiguresBold0"/>
            </w:pPr>
            <w:r w:rsidRPr="006748D3">
              <w:t>14</w:t>
            </w:r>
          </w:p>
        </w:tc>
        <w:tc>
          <w:tcPr>
            <w:tcW w:w="992" w:type="dxa"/>
            <w:tcBorders>
              <w:top w:val="single" w:sz="8" w:space="0" w:color="999999"/>
            </w:tcBorders>
            <w:shd w:val="clear" w:color="auto" w:fill="auto"/>
          </w:tcPr>
          <w:p w14:paraId="33405009" w14:textId="20F8766A" w:rsidR="006748D3" w:rsidRPr="006748D3" w:rsidRDefault="006748D3" w:rsidP="00B93C1D">
            <w:pPr>
              <w:pStyle w:val="TableFiguresBold0"/>
            </w:pPr>
            <w:r w:rsidRPr="006748D3">
              <w:t>5,818</w:t>
            </w:r>
          </w:p>
        </w:tc>
        <w:tc>
          <w:tcPr>
            <w:tcW w:w="793" w:type="dxa"/>
            <w:tcBorders>
              <w:top w:val="single" w:sz="8" w:space="0" w:color="999999"/>
            </w:tcBorders>
            <w:shd w:val="clear" w:color="auto" w:fill="auto"/>
          </w:tcPr>
          <w:p w14:paraId="454B25F6" w14:textId="34223B54" w:rsidR="006748D3" w:rsidRPr="006748D3" w:rsidRDefault="006748D3" w:rsidP="00B93C1D">
            <w:pPr>
              <w:pStyle w:val="TableFigures"/>
            </w:pPr>
            <w:r w:rsidRPr="006748D3">
              <w:t>4,695</w:t>
            </w:r>
          </w:p>
        </w:tc>
        <w:tc>
          <w:tcPr>
            <w:tcW w:w="769" w:type="dxa"/>
            <w:tcBorders>
              <w:top w:val="single" w:sz="8" w:space="0" w:color="999999"/>
            </w:tcBorders>
          </w:tcPr>
          <w:p w14:paraId="6EFC2D26" w14:textId="52FDBFC7" w:rsidR="006748D3" w:rsidRPr="006748D3" w:rsidRDefault="006748D3" w:rsidP="00B93C1D">
            <w:pPr>
              <w:pStyle w:val="TableFiguresBold0"/>
            </w:pPr>
            <w:r w:rsidRPr="006748D3">
              <w:t>2,909</w:t>
            </w:r>
          </w:p>
        </w:tc>
        <w:tc>
          <w:tcPr>
            <w:tcW w:w="848" w:type="dxa"/>
            <w:tcBorders>
              <w:top w:val="single" w:sz="8" w:space="0" w:color="999999"/>
            </w:tcBorders>
            <w:shd w:val="clear" w:color="auto" w:fill="auto"/>
          </w:tcPr>
          <w:p w14:paraId="5B5D0264" w14:textId="5A2203BC" w:rsidR="006748D3" w:rsidRPr="006748D3" w:rsidRDefault="006748D3" w:rsidP="00B93C1D">
            <w:pPr>
              <w:pStyle w:val="TableFigures"/>
            </w:pPr>
            <w:r w:rsidRPr="006748D3">
              <w:t>2,348</w:t>
            </w:r>
          </w:p>
        </w:tc>
      </w:tr>
      <w:tr w:rsidR="006748D3" w:rsidRPr="006748D3" w14:paraId="483BC196" w14:textId="77777777" w:rsidTr="006748D3">
        <w:tc>
          <w:tcPr>
            <w:tcW w:w="4536" w:type="dxa"/>
            <w:tcBorders>
              <w:top w:val="single" w:sz="4" w:space="0" w:color="999999"/>
              <w:bottom w:val="single" w:sz="4" w:space="0" w:color="999999"/>
            </w:tcBorders>
            <w:shd w:val="clear" w:color="auto" w:fill="auto"/>
            <w:vAlign w:val="bottom"/>
          </w:tcPr>
          <w:p w14:paraId="4D0E963B" w14:textId="77777777" w:rsidR="006748D3" w:rsidRPr="006748D3" w:rsidRDefault="006748D3" w:rsidP="00B93C1D">
            <w:pPr>
              <w:pStyle w:val="TabletextBold"/>
              <w:rPr>
                <w:szCs w:val="20"/>
              </w:rPr>
            </w:pPr>
            <w:r w:rsidRPr="006748D3">
              <w:rPr>
                <w:szCs w:val="20"/>
              </w:rPr>
              <w:t>Total non-current assets</w:t>
            </w:r>
          </w:p>
        </w:tc>
        <w:tc>
          <w:tcPr>
            <w:tcW w:w="1701" w:type="dxa"/>
            <w:tcBorders>
              <w:top w:val="single" w:sz="4" w:space="0" w:color="999999"/>
              <w:bottom w:val="single" w:sz="4" w:space="0" w:color="999999"/>
            </w:tcBorders>
          </w:tcPr>
          <w:p w14:paraId="43A638CA" w14:textId="58357E98" w:rsidR="006748D3" w:rsidRPr="006748D3" w:rsidRDefault="006748D3" w:rsidP="00B93C1D">
            <w:pPr>
              <w:pStyle w:val="TableFiguresBold0"/>
            </w:pPr>
            <w:r w:rsidRPr="006748D3">
              <w:t>5,804</w:t>
            </w:r>
          </w:p>
        </w:tc>
        <w:tc>
          <w:tcPr>
            <w:tcW w:w="709" w:type="dxa"/>
            <w:tcBorders>
              <w:top w:val="single" w:sz="4" w:space="0" w:color="999999"/>
              <w:bottom w:val="single" w:sz="4" w:space="0" w:color="999999"/>
            </w:tcBorders>
          </w:tcPr>
          <w:p w14:paraId="7C5EE0F2" w14:textId="6FF4D2B2" w:rsidR="006748D3" w:rsidRPr="00FD1A13" w:rsidRDefault="006748D3" w:rsidP="00FD1A13">
            <w:pPr>
              <w:pStyle w:val="TableFiguresBold0"/>
            </w:pPr>
            <w:r w:rsidRPr="0022103C">
              <w:t>14</w:t>
            </w:r>
          </w:p>
        </w:tc>
        <w:tc>
          <w:tcPr>
            <w:tcW w:w="992" w:type="dxa"/>
            <w:tcBorders>
              <w:top w:val="single" w:sz="4" w:space="0" w:color="999999"/>
              <w:bottom w:val="single" w:sz="4" w:space="0" w:color="999999"/>
            </w:tcBorders>
            <w:shd w:val="clear" w:color="auto" w:fill="auto"/>
          </w:tcPr>
          <w:p w14:paraId="5EE8A1B8" w14:textId="6C9FC652" w:rsidR="006748D3" w:rsidRPr="006748D3" w:rsidRDefault="006748D3" w:rsidP="00B93C1D">
            <w:pPr>
              <w:pStyle w:val="TableFiguresBold0"/>
            </w:pPr>
            <w:r w:rsidRPr="006748D3">
              <w:t>5,818</w:t>
            </w:r>
          </w:p>
        </w:tc>
        <w:tc>
          <w:tcPr>
            <w:tcW w:w="793" w:type="dxa"/>
            <w:tcBorders>
              <w:top w:val="single" w:sz="4" w:space="0" w:color="999999"/>
              <w:bottom w:val="single" w:sz="4" w:space="0" w:color="999999"/>
            </w:tcBorders>
            <w:shd w:val="clear" w:color="auto" w:fill="auto"/>
          </w:tcPr>
          <w:p w14:paraId="1D90E8C9" w14:textId="1E2BEDF5" w:rsidR="006748D3" w:rsidRPr="006748D3" w:rsidRDefault="006748D3" w:rsidP="00B93C1D">
            <w:pPr>
              <w:pStyle w:val="TableFigures"/>
            </w:pPr>
            <w:r w:rsidRPr="006748D3">
              <w:t>4,695</w:t>
            </w:r>
          </w:p>
        </w:tc>
        <w:tc>
          <w:tcPr>
            <w:tcW w:w="769" w:type="dxa"/>
            <w:tcBorders>
              <w:top w:val="single" w:sz="4" w:space="0" w:color="999999"/>
              <w:bottom w:val="single" w:sz="4" w:space="0" w:color="999999"/>
            </w:tcBorders>
          </w:tcPr>
          <w:p w14:paraId="5B3F31CC" w14:textId="1D8012DE" w:rsidR="006748D3" w:rsidRPr="006748D3" w:rsidRDefault="006748D3" w:rsidP="00B93C1D">
            <w:pPr>
              <w:pStyle w:val="TableFiguresBold0"/>
            </w:pPr>
            <w:r w:rsidRPr="006748D3">
              <w:t>2,909</w:t>
            </w:r>
          </w:p>
        </w:tc>
        <w:tc>
          <w:tcPr>
            <w:tcW w:w="848" w:type="dxa"/>
            <w:tcBorders>
              <w:top w:val="single" w:sz="4" w:space="0" w:color="999999"/>
              <w:bottom w:val="single" w:sz="4" w:space="0" w:color="999999"/>
            </w:tcBorders>
            <w:shd w:val="clear" w:color="auto" w:fill="auto"/>
          </w:tcPr>
          <w:p w14:paraId="22664397" w14:textId="7006532E" w:rsidR="006748D3" w:rsidRPr="006748D3" w:rsidRDefault="006748D3" w:rsidP="00B93C1D">
            <w:pPr>
              <w:pStyle w:val="TableFigures"/>
            </w:pPr>
            <w:r w:rsidRPr="006748D3">
              <w:t>2,348</w:t>
            </w:r>
          </w:p>
        </w:tc>
      </w:tr>
      <w:tr w:rsidR="006748D3" w:rsidRPr="006748D3" w14:paraId="52A5B63B" w14:textId="77777777" w:rsidTr="006748D3">
        <w:tc>
          <w:tcPr>
            <w:tcW w:w="4536" w:type="dxa"/>
            <w:shd w:val="clear" w:color="auto" w:fill="auto"/>
            <w:vAlign w:val="bottom"/>
          </w:tcPr>
          <w:p w14:paraId="10618859" w14:textId="77777777" w:rsidR="006748D3" w:rsidRPr="006748D3" w:rsidRDefault="006748D3" w:rsidP="00B93C1D">
            <w:pPr>
              <w:pStyle w:val="Tabletext"/>
              <w:rPr>
                <w:szCs w:val="20"/>
              </w:rPr>
            </w:pPr>
            <w:r w:rsidRPr="006748D3">
              <w:rPr>
                <w:szCs w:val="20"/>
              </w:rPr>
              <w:t>Other receivables</w:t>
            </w:r>
          </w:p>
        </w:tc>
        <w:tc>
          <w:tcPr>
            <w:tcW w:w="1701" w:type="dxa"/>
          </w:tcPr>
          <w:p w14:paraId="08B86932" w14:textId="00883C11" w:rsidR="006748D3" w:rsidRPr="006748D3" w:rsidRDefault="006748D3" w:rsidP="00B93C1D">
            <w:pPr>
              <w:pStyle w:val="TableFiguresBold0"/>
            </w:pPr>
            <w:r w:rsidRPr="006748D3">
              <w:t>75</w:t>
            </w:r>
          </w:p>
        </w:tc>
        <w:tc>
          <w:tcPr>
            <w:tcW w:w="709" w:type="dxa"/>
          </w:tcPr>
          <w:p w14:paraId="457B29FA" w14:textId="736178F7" w:rsidR="006748D3" w:rsidRPr="006748D3" w:rsidRDefault="006748D3" w:rsidP="00B93C1D">
            <w:pPr>
              <w:pStyle w:val="TableFiguresBold0"/>
            </w:pPr>
            <w:r w:rsidRPr="006748D3">
              <w:t>3</w:t>
            </w:r>
          </w:p>
        </w:tc>
        <w:tc>
          <w:tcPr>
            <w:tcW w:w="992" w:type="dxa"/>
            <w:shd w:val="clear" w:color="auto" w:fill="auto"/>
          </w:tcPr>
          <w:p w14:paraId="21062554" w14:textId="79F02499" w:rsidR="006748D3" w:rsidRPr="006748D3" w:rsidRDefault="006748D3" w:rsidP="00B93C1D">
            <w:pPr>
              <w:pStyle w:val="TableFiguresBold0"/>
            </w:pPr>
            <w:r w:rsidRPr="006748D3">
              <w:t>78</w:t>
            </w:r>
          </w:p>
        </w:tc>
        <w:tc>
          <w:tcPr>
            <w:tcW w:w="793" w:type="dxa"/>
            <w:shd w:val="clear" w:color="auto" w:fill="auto"/>
          </w:tcPr>
          <w:p w14:paraId="03D2C243" w14:textId="32AB51FE" w:rsidR="006748D3" w:rsidRPr="006748D3" w:rsidRDefault="006748D3" w:rsidP="00B93C1D">
            <w:pPr>
              <w:pStyle w:val="TableFigures"/>
            </w:pPr>
            <w:r w:rsidRPr="006748D3">
              <w:t>115</w:t>
            </w:r>
          </w:p>
        </w:tc>
        <w:tc>
          <w:tcPr>
            <w:tcW w:w="769" w:type="dxa"/>
          </w:tcPr>
          <w:p w14:paraId="47734767" w14:textId="0030DCDE" w:rsidR="006748D3" w:rsidRPr="006748D3" w:rsidRDefault="006748D3" w:rsidP="00B93C1D">
            <w:pPr>
              <w:pStyle w:val="TableFiguresBold0"/>
            </w:pPr>
            <w:r w:rsidRPr="006748D3">
              <w:t>39</w:t>
            </w:r>
          </w:p>
        </w:tc>
        <w:tc>
          <w:tcPr>
            <w:tcW w:w="848" w:type="dxa"/>
            <w:shd w:val="clear" w:color="auto" w:fill="auto"/>
          </w:tcPr>
          <w:p w14:paraId="2C8703B3" w14:textId="115470F1" w:rsidR="006748D3" w:rsidRPr="006748D3" w:rsidRDefault="006748D3" w:rsidP="00B93C1D">
            <w:pPr>
              <w:pStyle w:val="TableFigures"/>
              <w:rPr>
                <w:bCs/>
              </w:rPr>
            </w:pPr>
            <w:r w:rsidRPr="006748D3">
              <w:t>57</w:t>
            </w:r>
          </w:p>
        </w:tc>
      </w:tr>
      <w:tr w:rsidR="006748D3" w:rsidRPr="006748D3" w14:paraId="3CC240EB" w14:textId="77777777" w:rsidTr="006748D3">
        <w:tc>
          <w:tcPr>
            <w:tcW w:w="4536" w:type="dxa"/>
            <w:tcBorders>
              <w:bottom w:val="single" w:sz="4" w:space="0" w:color="999999"/>
            </w:tcBorders>
            <w:shd w:val="clear" w:color="auto" w:fill="auto"/>
            <w:vAlign w:val="bottom"/>
          </w:tcPr>
          <w:p w14:paraId="3A4CC4DC" w14:textId="77777777" w:rsidR="006748D3" w:rsidRPr="006748D3" w:rsidRDefault="006748D3" w:rsidP="00B93C1D">
            <w:pPr>
              <w:pStyle w:val="Tabletext"/>
              <w:rPr>
                <w:szCs w:val="20"/>
              </w:rPr>
            </w:pPr>
            <w:r w:rsidRPr="006748D3">
              <w:rPr>
                <w:szCs w:val="20"/>
              </w:rPr>
              <w:t>Cash and cash equivalents</w:t>
            </w:r>
          </w:p>
        </w:tc>
        <w:tc>
          <w:tcPr>
            <w:tcW w:w="1701" w:type="dxa"/>
            <w:tcBorders>
              <w:bottom w:val="single" w:sz="4" w:space="0" w:color="999999"/>
            </w:tcBorders>
          </w:tcPr>
          <w:p w14:paraId="2E28F414" w14:textId="436DF2A6" w:rsidR="006748D3" w:rsidRPr="006748D3" w:rsidRDefault="006748D3" w:rsidP="00B93C1D">
            <w:pPr>
              <w:pStyle w:val="TableFiguresBold0"/>
            </w:pPr>
            <w:r w:rsidRPr="006748D3">
              <w:t>43</w:t>
            </w:r>
          </w:p>
        </w:tc>
        <w:tc>
          <w:tcPr>
            <w:tcW w:w="709" w:type="dxa"/>
            <w:tcBorders>
              <w:bottom w:val="single" w:sz="4" w:space="0" w:color="999999"/>
            </w:tcBorders>
          </w:tcPr>
          <w:p w14:paraId="4FDE6BC8" w14:textId="3EA776DC" w:rsidR="006748D3" w:rsidRPr="006748D3" w:rsidRDefault="006748D3" w:rsidP="00B93C1D">
            <w:pPr>
              <w:pStyle w:val="TableFiguresBold0"/>
            </w:pPr>
            <w:r w:rsidRPr="006748D3">
              <w:t>–</w:t>
            </w:r>
          </w:p>
        </w:tc>
        <w:tc>
          <w:tcPr>
            <w:tcW w:w="992" w:type="dxa"/>
            <w:tcBorders>
              <w:bottom w:val="single" w:sz="4" w:space="0" w:color="999999"/>
            </w:tcBorders>
            <w:shd w:val="clear" w:color="auto" w:fill="auto"/>
          </w:tcPr>
          <w:p w14:paraId="22D9C0A2" w14:textId="1D7865B4" w:rsidR="006748D3" w:rsidRPr="006748D3" w:rsidRDefault="006748D3" w:rsidP="00B93C1D">
            <w:pPr>
              <w:pStyle w:val="TableFiguresBold0"/>
            </w:pPr>
            <w:r w:rsidRPr="006748D3">
              <w:t>43</w:t>
            </w:r>
          </w:p>
        </w:tc>
        <w:tc>
          <w:tcPr>
            <w:tcW w:w="793" w:type="dxa"/>
            <w:tcBorders>
              <w:bottom w:val="single" w:sz="4" w:space="0" w:color="999999"/>
            </w:tcBorders>
            <w:shd w:val="clear" w:color="auto" w:fill="auto"/>
          </w:tcPr>
          <w:p w14:paraId="16BFCCB0" w14:textId="542371BD" w:rsidR="006748D3" w:rsidRPr="006748D3" w:rsidRDefault="006748D3" w:rsidP="00B93C1D">
            <w:pPr>
              <w:pStyle w:val="TableFigures"/>
            </w:pPr>
            <w:r w:rsidRPr="006748D3">
              <w:t>48</w:t>
            </w:r>
          </w:p>
        </w:tc>
        <w:tc>
          <w:tcPr>
            <w:tcW w:w="769" w:type="dxa"/>
            <w:tcBorders>
              <w:bottom w:val="single" w:sz="4" w:space="0" w:color="999999"/>
            </w:tcBorders>
          </w:tcPr>
          <w:p w14:paraId="571C3A80" w14:textId="42943735" w:rsidR="006748D3" w:rsidRPr="006748D3" w:rsidRDefault="006748D3" w:rsidP="00B93C1D">
            <w:pPr>
              <w:pStyle w:val="TableFiguresBold0"/>
            </w:pPr>
            <w:r w:rsidRPr="006748D3">
              <w:t>22</w:t>
            </w:r>
          </w:p>
        </w:tc>
        <w:tc>
          <w:tcPr>
            <w:tcW w:w="848" w:type="dxa"/>
            <w:tcBorders>
              <w:bottom w:val="single" w:sz="4" w:space="0" w:color="999999"/>
            </w:tcBorders>
            <w:shd w:val="clear" w:color="auto" w:fill="auto"/>
          </w:tcPr>
          <w:p w14:paraId="70FD3409" w14:textId="6EB07FC3" w:rsidR="006748D3" w:rsidRPr="006748D3" w:rsidRDefault="006748D3" w:rsidP="00B93C1D">
            <w:pPr>
              <w:pStyle w:val="TableFigures"/>
              <w:rPr>
                <w:bCs/>
              </w:rPr>
            </w:pPr>
            <w:r w:rsidRPr="006748D3">
              <w:t>24</w:t>
            </w:r>
          </w:p>
        </w:tc>
      </w:tr>
      <w:tr w:rsidR="006748D3" w:rsidRPr="006748D3" w14:paraId="39ECD072" w14:textId="77777777" w:rsidTr="006748D3">
        <w:tc>
          <w:tcPr>
            <w:tcW w:w="4536" w:type="dxa"/>
            <w:tcBorders>
              <w:top w:val="single" w:sz="4" w:space="0" w:color="999999"/>
              <w:bottom w:val="single" w:sz="8" w:space="0" w:color="999999"/>
            </w:tcBorders>
            <w:shd w:val="clear" w:color="auto" w:fill="auto"/>
            <w:vAlign w:val="bottom"/>
          </w:tcPr>
          <w:p w14:paraId="034156C2" w14:textId="77777777" w:rsidR="006748D3" w:rsidRPr="006748D3" w:rsidRDefault="006748D3" w:rsidP="00B93C1D">
            <w:pPr>
              <w:pStyle w:val="TabletextBold"/>
              <w:rPr>
                <w:szCs w:val="20"/>
              </w:rPr>
            </w:pPr>
            <w:r w:rsidRPr="006748D3">
              <w:rPr>
                <w:szCs w:val="20"/>
              </w:rPr>
              <w:t>Total current assets</w:t>
            </w:r>
          </w:p>
        </w:tc>
        <w:tc>
          <w:tcPr>
            <w:tcW w:w="1701" w:type="dxa"/>
            <w:tcBorders>
              <w:top w:val="single" w:sz="4" w:space="0" w:color="999999"/>
              <w:bottom w:val="single" w:sz="8" w:space="0" w:color="999999"/>
            </w:tcBorders>
          </w:tcPr>
          <w:p w14:paraId="7CAA0CB7" w14:textId="30BE84C4" w:rsidR="006748D3" w:rsidRPr="006748D3" w:rsidRDefault="006748D3" w:rsidP="00B93C1D">
            <w:pPr>
              <w:pStyle w:val="TableFiguresBold0"/>
            </w:pPr>
            <w:r w:rsidRPr="006748D3">
              <w:t>118</w:t>
            </w:r>
          </w:p>
        </w:tc>
        <w:tc>
          <w:tcPr>
            <w:tcW w:w="709" w:type="dxa"/>
            <w:tcBorders>
              <w:top w:val="single" w:sz="4" w:space="0" w:color="999999"/>
              <w:bottom w:val="single" w:sz="8" w:space="0" w:color="999999"/>
            </w:tcBorders>
          </w:tcPr>
          <w:p w14:paraId="597747A9" w14:textId="260D3A5F" w:rsidR="006748D3" w:rsidRPr="006748D3" w:rsidRDefault="006748D3" w:rsidP="00B93C1D">
            <w:pPr>
              <w:pStyle w:val="TableFiguresBold0"/>
            </w:pPr>
            <w:r w:rsidRPr="006748D3">
              <w:t>3</w:t>
            </w:r>
          </w:p>
        </w:tc>
        <w:tc>
          <w:tcPr>
            <w:tcW w:w="992" w:type="dxa"/>
            <w:tcBorders>
              <w:top w:val="single" w:sz="4" w:space="0" w:color="999999"/>
              <w:bottom w:val="single" w:sz="8" w:space="0" w:color="999999"/>
            </w:tcBorders>
            <w:shd w:val="clear" w:color="auto" w:fill="auto"/>
          </w:tcPr>
          <w:p w14:paraId="50050F63" w14:textId="01B62236" w:rsidR="006748D3" w:rsidRPr="006748D3" w:rsidRDefault="006748D3" w:rsidP="00B93C1D">
            <w:pPr>
              <w:pStyle w:val="TableFiguresBold0"/>
            </w:pPr>
            <w:r w:rsidRPr="006748D3">
              <w:t>121</w:t>
            </w:r>
          </w:p>
        </w:tc>
        <w:tc>
          <w:tcPr>
            <w:tcW w:w="793" w:type="dxa"/>
            <w:tcBorders>
              <w:top w:val="single" w:sz="4" w:space="0" w:color="999999"/>
              <w:bottom w:val="single" w:sz="8" w:space="0" w:color="999999"/>
            </w:tcBorders>
            <w:shd w:val="clear" w:color="auto" w:fill="auto"/>
          </w:tcPr>
          <w:p w14:paraId="6D2C1F81" w14:textId="69D16BB0" w:rsidR="006748D3" w:rsidRPr="006748D3" w:rsidRDefault="006748D3" w:rsidP="00B93C1D">
            <w:pPr>
              <w:pStyle w:val="TableFigures"/>
            </w:pPr>
            <w:r w:rsidRPr="006748D3">
              <w:t>163</w:t>
            </w:r>
          </w:p>
        </w:tc>
        <w:tc>
          <w:tcPr>
            <w:tcW w:w="769" w:type="dxa"/>
            <w:tcBorders>
              <w:top w:val="single" w:sz="4" w:space="0" w:color="999999"/>
              <w:bottom w:val="single" w:sz="8" w:space="0" w:color="999999"/>
            </w:tcBorders>
          </w:tcPr>
          <w:p w14:paraId="50C19033" w14:textId="59CB8807" w:rsidR="006748D3" w:rsidRPr="006748D3" w:rsidRDefault="006748D3" w:rsidP="00B93C1D">
            <w:pPr>
              <w:pStyle w:val="TableFiguresBold0"/>
            </w:pPr>
            <w:r w:rsidRPr="006748D3">
              <w:t>61</w:t>
            </w:r>
          </w:p>
        </w:tc>
        <w:tc>
          <w:tcPr>
            <w:tcW w:w="848" w:type="dxa"/>
            <w:tcBorders>
              <w:top w:val="single" w:sz="4" w:space="0" w:color="999999"/>
              <w:bottom w:val="single" w:sz="8" w:space="0" w:color="999999"/>
            </w:tcBorders>
            <w:shd w:val="clear" w:color="auto" w:fill="auto"/>
          </w:tcPr>
          <w:p w14:paraId="2CC5C394" w14:textId="1C4F6064" w:rsidR="006748D3" w:rsidRPr="006748D3" w:rsidRDefault="006748D3" w:rsidP="00B93C1D">
            <w:pPr>
              <w:pStyle w:val="TableFigures"/>
            </w:pPr>
            <w:r w:rsidRPr="006748D3">
              <w:t>81</w:t>
            </w:r>
          </w:p>
        </w:tc>
      </w:tr>
      <w:tr w:rsidR="006748D3" w:rsidRPr="006748D3" w14:paraId="2CE268B6" w14:textId="77777777" w:rsidTr="006748D3">
        <w:tc>
          <w:tcPr>
            <w:tcW w:w="4536" w:type="dxa"/>
            <w:tcBorders>
              <w:top w:val="single" w:sz="8" w:space="0" w:color="999999"/>
              <w:bottom w:val="single" w:sz="4" w:space="0" w:color="999999"/>
            </w:tcBorders>
            <w:shd w:val="clear" w:color="auto" w:fill="auto"/>
            <w:vAlign w:val="bottom"/>
          </w:tcPr>
          <w:p w14:paraId="4D056A6C" w14:textId="77777777" w:rsidR="006748D3" w:rsidRPr="006748D3" w:rsidRDefault="006748D3" w:rsidP="00B93C1D">
            <w:pPr>
              <w:pStyle w:val="TabletextBold"/>
              <w:rPr>
                <w:szCs w:val="20"/>
              </w:rPr>
            </w:pPr>
            <w:r w:rsidRPr="006748D3">
              <w:rPr>
                <w:szCs w:val="20"/>
              </w:rPr>
              <w:t>Total assets</w:t>
            </w:r>
          </w:p>
        </w:tc>
        <w:tc>
          <w:tcPr>
            <w:tcW w:w="1701" w:type="dxa"/>
            <w:tcBorders>
              <w:top w:val="single" w:sz="8" w:space="0" w:color="999999"/>
              <w:bottom w:val="single" w:sz="4" w:space="0" w:color="999999"/>
            </w:tcBorders>
          </w:tcPr>
          <w:p w14:paraId="63D0963C" w14:textId="1C787EBF" w:rsidR="006748D3" w:rsidRPr="006748D3" w:rsidRDefault="006748D3" w:rsidP="00B93C1D">
            <w:pPr>
              <w:pStyle w:val="TableFiguresBold0"/>
            </w:pPr>
            <w:r w:rsidRPr="006748D3">
              <w:t>5,922</w:t>
            </w:r>
          </w:p>
        </w:tc>
        <w:tc>
          <w:tcPr>
            <w:tcW w:w="709" w:type="dxa"/>
            <w:tcBorders>
              <w:top w:val="single" w:sz="8" w:space="0" w:color="999999"/>
              <w:bottom w:val="single" w:sz="4" w:space="0" w:color="999999"/>
            </w:tcBorders>
          </w:tcPr>
          <w:p w14:paraId="7C67677F" w14:textId="6F2C2533" w:rsidR="006748D3" w:rsidRPr="006748D3" w:rsidRDefault="006748D3" w:rsidP="00B93C1D">
            <w:pPr>
              <w:pStyle w:val="TableFiguresBold0"/>
            </w:pPr>
            <w:r w:rsidRPr="006748D3">
              <w:t>17</w:t>
            </w:r>
          </w:p>
        </w:tc>
        <w:tc>
          <w:tcPr>
            <w:tcW w:w="992" w:type="dxa"/>
            <w:tcBorders>
              <w:top w:val="single" w:sz="8" w:space="0" w:color="999999"/>
              <w:bottom w:val="single" w:sz="4" w:space="0" w:color="999999"/>
            </w:tcBorders>
            <w:shd w:val="clear" w:color="auto" w:fill="auto"/>
          </w:tcPr>
          <w:p w14:paraId="25FA792F" w14:textId="31B7A9A5" w:rsidR="006748D3" w:rsidRPr="006748D3" w:rsidRDefault="006748D3" w:rsidP="00B93C1D">
            <w:pPr>
              <w:pStyle w:val="TableFiguresBold0"/>
            </w:pPr>
            <w:r w:rsidRPr="006748D3">
              <w:t>5,939</w:t>
            </w:r>
          </w:p>
        </w:tc>
        <w:tc>
          <w:tcPr>
            <w:tcW w:w="793" w:type="dxa"/>
            <w:tcBorders>
              <w:top w:val="single" w:sz="8" w:space="0" w:color="999999"/>
              <w:bottom w:val="single" w:sz="4" w:space="0" w:color="999999"/>
            </w:tcBorders>
            <w:shd w:val="clear" w:color="auto" w:fill="auto"/>
          </w:tcPr>
          <w:p w14:paraId="1507D845" w14:textId="6B622DC2" w:rsidR="006748D3" w:rsidRPr="006748D3" w:rsidRDefault="006748D3" w:rsidP="00B93C1D">
            <w:pPr>
              <w:pStyle w:val="TableFigures"/>
            </w:pPr>
            <w:r w:rsidRPr="006748D3">
              <w:t>4,858</w:t>
            </w:r>
          </w:p>
        </w:tc>
        <w:tc>
          <w:tcPr>
            <w:tcW w:w="769" w:type="dxa"/>
            <w:tcBorders>
              <w:top w:val="single" w:sz="8" w:space="0" w:color="999999"/>
              <w:bottom w:val="single" w:sz="4" w:space="0" w:color="999999"/>
            </w:tcBorders>
          </w:tcPr>
          <w:p w14:paraId="69007A86" w14:textId="0548A505" w:rsidR="006748D3" w:rsidRPr="006748D3" w:rsidRDefault="006748D3" w:rsidP="00B93C1D">
            <w:pPr>
              <w:pStyle w:val="TableFiguresBold0"/>
            </w:pPr>
            <w:r w:rsidRPr="006748D3">
              <w:t>2,970</w:t>
            </w:r>
          </w:p>
        </w:tc>
        <w:tc>
          <w:tcPr>
            <w:tcW w:w="848" w:type="dxa"/>
            <w:tcBorders>
              <w:top w:val="single" w:sz="8" w:space="0" w:color="999999"/>
              <w:bottom w:val="single" w:sz="4" w:space="0" w:color="999999"/>
            </w:tcBorders>
            <w:shd w:val="clear" w:color="auto" w:fill="auto"/>
          </w:tcPr>
          <w:p w14:paraId="52694E01" w14:textId="114984BC" w:rsidR="006748D3" w:rsidRPr="006748D3" w:rsidRDefault="006748D3" w:rsidP="00B93C1D">
            <w:pPr>
              <w:pStyle w:val="TableFigures"/>
            </w:pPr>
            <w:r w:rsidRPr="006748D3">
              <w:t>2,429</w:t>
            </w:r>
          </w:p>
        </w:tc>
      </w:tr>
      <w:tr w:rsidR="006748D3" w:rsidRPr="006748D3" w14:paraId="403989AE" w14:textId="77777777" w:rsidTr="006748D3">
        <w:tc>
          <w:tcPr>
            <w:tcW w:w="4536" w:type="dxa"/>
            <w:tcBorders>
              <w:top w:val="single" w:sz="4" w:space="0" w:color="999999"/>
            </w:tcBorders>
            <w:shd w:val="clear" w:color="auto" w:fill="auto"/>
            <w:vAlign w:val="bottom"/>
          </w:tcPr>
          <w:p w14:paraId="5157BA0D" w14:textId="62ABBF7F" w:rsidR="006748D3" w:rsidRPr="006748D3" w:rsidRDefault="006748D3" w:rsidP="00B93C1D">
            <w:pPr>
              <w:pStyle w:val="Tabletext"/>
              <w:rPr>
                <w:szCs w:val="20"/>
              </w:rPr>
            </w:pPr>
            <w:r w:rsidRPr="006748D3">
              <w:rPr>
                <w:szCs w:val="20"/>
              </w:rPr>
              <w:t>Borrowings</w:t>
            </w:r>
          </w:p>
        </w:tc>
        <w:tc>
          <w:tcPr>
            <w:tcW w:w="1701" w:type="dxa"/>
            <w:tcBorders>
              <w:top w:val="single" w:sz="4" w:space="0" w:color="999999"/>
            </w:tcBorders>
          </w:tcPr>
          <w:p w14:paraId="2D895D24" w14:textId="1E9FFACE" w:rsidR="006748D3" w:rsidRPr="006748D3" w:rsidRDefault="006748D3" w:rsidP="0022103C">
            <w:pPr>
              <w:pStyle w:val="TableFiguresBracketsBold"/>
            </w:pPr>
            <w:r w:rsidRPr="006748D3">
              <w:t>(1,723)</w:t>
            </w:r>
          </w:p>
        </w:tc>
        <w:tc>
          <w:tcPr>
            <w:tcW w:w="709" w:type="dxa"/>
            <w:tcBorders>
              <w:top w:val="single" w:sz="4" w:space="0" w:color="999999"/>
            </w:tcBorders>
          </w:tcPr>
          <w:p w14:paraId="2FB64004" w14:textId="608F3DED" w:rsidR="006748D3" w:rsidRPr="00FD1A13" w:rsidRDefault="006748D3">
            <w:pPr>
              <w:pStyle w:val="TableFiguresBold0"/>
            </w:pPr>
            <w:r w:rsidRPr="0022103C">
              <w:t>–</w:t>
            </w:r>
          </w:p>
        </w:tc>
        <w:tc>
          <w:tcPr>
            <w:tcW w:w="992" w:type="dxa"/>
            <w:tcBorders>
              <w:top w:val="single" w:sz="4" w:space="0" w:color="999999"/>
            </w:tcBorders>
            <w:shd w:val="clear" w:color="auto" w:fill="auto"/>
          </w:tcPr>
          <w:p w14:paraId="7DC2A08E" w14:textId="279A2098" w:rsidR="006748D3" w:rsidRPr="006748D3" w:rsidRDefault="006748D3" w:rsidP="0022103C">
            <w:pPr>
              <w:pStyle w:val="TableFiguresBracketsBold"/>
            </w:pPr>
            <w:r w:rsidRPr="006748D3">
              <w:t>(1,723)</w:t>
            </w:r>
          </w:p>
        </w:tc>
        <w:tc>
          <w:tcPr>
            <w:tcW w:w="793" w:type="dxa"/>
            <w:tcBorders>
              <w:top w:val="single" w:sz="4" w:space="0" w:color="999999"/>
            </w:tcBorders>
            <w:shd w:val="clear" w:color="auto" w:fill="auto"/>
          </w:tcPr>
          <w:p w14:paraId="2E967640" w14:textId="08411393" w:rsidR="006748D3" w:rsidRPr="006748D3" w:rsidRDefault="006748D3" w:rsidP="0022103C">
            <w:pPr>
              <w:pStyle w:val="TableFiguresBrackets"/>
            </w:pPr>
            <w:r w:rsidRPr="006748D3">
              <w:t>(1,574)</w:t>
            </w:r>
          </w:p>
        </w:tc>
        <w:tc>
          <w:tcPr>
            <w:tcW w:w="769" w:type="dxa"/>
            <w:tcBorders>
              <w:top w:val="single" w:sz="4" w:space="0" w:color="999999"/>
            </w:tcBorders>
          </w:tcPr>
          <w:p w14:paraId="5D434918" w14:textId="1BA85FB0" w:rsidR="006748D3" w:rsidRPr="006748D3" w:rsidRDefault="006748D3" w:rsidP="0022103C">
            <w:pPr>
              <w:pStyle w:val="TableFiguresBracketsBold"/>
            </w:pPr>
            <w:r w:rsidRPr="006748D3">
              <w:t>(862)</w:t>
            </w:r>
          </w:p>
        </w:tc>
        <w:tc>
          <w:tcPr>
            <w:tcW w:w="848" w:type="dxa"/>
            <w:tcBorders>
              <w:top w:val="single" w:sz="4" w:space="0" w:color="999999"/>
            </w:tcBorders>
          </w:tcPr>
          <w:p w14:paraId="7958015F" w14:textId="6B1DC0C0" w:rsidR="006748D3" w:rsidRPr="006748D3" w:rsidRDefault="006748D3" w:rsidP="0022103C">
            <w:pPr>
              <w:pStyle w:val="TableFiguresBrackets"/>
            </w:pPr>
            <w:r w:rsidRPr="006748D3">
              <w:t>(787)</w:t>
            </w:r>
          </w:p>
        </w:tc>
      </w:tr>
      <w:tr w:rsidR="006748D3" w:rsidRPr="006748D3" w14:paraId="028C534C" w14:textId="77777777" w:rsidTr="006748D3">
        <w:tc>
          <w:tcPr>
            <w:tcW w:w="4536" w:type="dxa"/>
            <w:shd w:val="clear" w:color="auto" w:fill="auto"/>
            <w:vAlign w:val="bottom"/>
          </w:tcPr>
          <w:p w14:paraId="7A63AEE6" w14:textId="77777777" w:rsidR="006748D3" w:rsidRPr="006748D3" w:rsidRDefault="006748D3" w:rsidP="00B93C1D">
            <w:pPr>
              <w:pStyle w:val="Tabletext"/>
              <w:rPr>
                <w:szCs w:val="20"/>
              </w:rPr>
            </w:pPr>
            <w:r w:rsidRPr="006748D3">
              <w:rPr>
                <w:szCs w:val="20"/>
              </w:rPr>
              <w:t>Deferred tax</w:t>
            </w:r>
          </w:p>
        </w:tc>
        <w:tc>
          <w:tcPr>
            <w:tcW w:w="1701" w:type="dxa"/>
          </w:tcPr>
          <w:p w14:paraId="5D39B3D3" w14:textId="40C4739A" w:rsidR="006748D3" w:rsidRPr="006748D3" w:rsidRDefault="006748D3" w:rsidP="0022103C">
            <w:pPr>
              <w:pStyle w:val="TableFiguresBracketsBold"/>
            </w:pPr>
            <w:r w:rsidRPr="006748D3">
              <w:t>(504)</w:t>
            </w:r>
          </w:p>
        </w:tc>
        <w:tc>
          <w:tcPr>
            <w:tcW w:w="709" w:type="dxa"/>
          </w:tcPr>
          <w:p w14:paraId="6F6BB556" w14:textId="2E6840A1" w:rsidR="006748D3" w:rsidRPr="00FD1A13" w:rsidRDefault="006748D3">
            <w:pPr>
              <w:pStyle w:val="TableFiguresBold0"/>
            </w:pPr>
            <w:r w:rsidRPr="0022103C">
              <w:t>–</w:t>
            </w:r>
          </w:p>
        </w:tc>
        <w:tc>
          <w:tcPr>
            <w:tcW w:w="992" w:type="dxa"/>
            <w:shd w:val="clear" w:color="auto" w:fill="auto"/>
          </w:tcPr>
          <w:p w14:paraId="121890D1" w14:textId="6C534B0F" w:rsidR="006748D3" w:rsidRPr="006748D3" w:rsidRDefault="006748D3" w:rsidP="0022103C">
            <w:pPr>
              <w:pStyle w:val="TableFiguresBracketsBold"/>
            </w:pPr>
            <w:r w:rsidRPr="006748D3">
              <w:t>(504)</w:t>
            </w:r>
          </w:p>
        </w:tc>
        <w:tc>
          <w:tcPr>
            <w:tcW w:w="793" w:type="dxa"/>
            <w:shd w:val="clear" w:color="auto" w:fill="auto"/>
          </w:tcPr>
          <w:p w14:paraId="53785D0B" w14:textId="0B6813A5" w:rsidR="006748D3" w:rsidRPr="006748D3" w:rsidRDefault="006748D3" w:rsidP="0022103C">
            <w:pPr>
              <w:pStyle w:val="TableFiguresBrackets"/>
            </w:pPr>
            <w:r w:rsidRPr="006748D3">
              <w:t>(346)</w:t>
            </w:r>
          </w:p>
        </w:tc>
        <w:tc>
          <w:tcPr>
            <w:tcW w:w="769" w:type="dxa"/>
          </w:tcPr>
          <w:p w14:paraId="4B9654E6" w14:textId="76EEC856" w:rsidR="006748D3" w:rsidRPr="006748D3" w:rsidRDefault="006748D3" w:rsidP="0022103C">
            <w:pPr>
              <w:pStyle w:val="TableFiguresBracketsBold"/>
            </w:pPr>
            <w:r w:rsidRPr="006748D3">
              <w:t>(252)</w:t>
            </w:r>
          </w:p>
        </w:tc>
        <w:tc>
          <w:tcPr>
            <w:tcW w:w="848" w:type="dxa"/>
          </w:tcPr>
          <w:p w14:paraId="6143D697" w14:textId="6714F9C6" w:rsidR="006748D3" w:rsidRPr="006748D3" w:rsidRDefault="006748D3" w:rsidP="0022103C">
            <w:pPr>
              <w:pStyle w:val="TableFiguresBrackets"/>
            </w:pPr>
            <w:r w:rsidRPr="006748D3">
              <w:t>(173)</w:t>
            </w:r>
          </w:p>
        </w:tc>
      </w:tr>
      <w:tr w:rsidR="006748D3" w:rsidRPr="006748D3" w14:paraId="344497C5" w14:textId="77777777" w:rsidTr="006748D3">
        <w:tc>
          <w:tcPr>
            <w:tcW w:w="4536" w:type="dxa"/>
            <w:tcBorders>
              <w:top w:val="single" w:sz="4" w:space="0" w:color="808080" w:themeColor="background1" w:themeShade="80"/>
              <w:bottom w:val="single" w:sz="8" w:space="0" w:color="808080" w:themeColor="background1" w:themeShade="80"/>
            </w:tcBorders>
            <w:shd w:val="clear" w:color="auto" w:fill="auto"/>
            <w:vAlign w:val="bottom"/>
          </w:tcPr>
          <w:p w14:paraId="49A84E6B" w14:textId="77777777" w:rsidR="006748D3" w:rsidRPr="006748D3" w:rsidRDefault="006748D3" w:rsidP="00B93C1D">
            <w:pPr>
              <w:pStyle w:val="Tabletext"/>
              <w:rPr>
                <w:b/>
                <w:bCs/>
              </w:rPr>
            </w:pPr>
            <w:r w:rsidRPr="006748D3">
              <w:rPr>
                <w:b/>
                <w:bCs/>
              </w:rPr>
              <w:t>Total non-current liabilities</w:t>
            </w:r>
          </w:p>
        </w:tc>
        <w:tc>
          <w:tcPr>
            <w:tcW w:w="1701" w:type="dxa"/>
            <w:tcBorders>
              <w:top w:val="single" w:sz="4" w:space="0" w:color="808080" w:themeColor="background1" w:themeShade="80"/>
              <w:bottom w:val="single" w:sz="8" w:space="0" w:color="808080" w:themeColor="background1" w:themeShade="80"/>
            </w:tcBorders>
          </w:tcPr>
          <w:p w14:paraId="58D532A4" w14:textId="51637B2E" w:rsidR="006748D3" w:rsidRPr="006748D3" w:rsidRDefault="006748D3" w:rsidP="0022103C">
            <w:pPr>
              <w:pStyle w:val="TableFiguresBracketsBold"/>
            </w:pPr>
            <w:r w:rsidRPr="006748D3">
              <w:t>(2,227)</w:t>
            </w:r>
          </w:p>
        </w:tc>
        <w:tc>
          <w:tcPr>
            <w:tcW w:w="709" w:type="dxa"/>
            <w:tcBorders>
              <w:top w:val="single" w:sz="4" w:space="0" w:color="808080" w:themeColor="background1" w:themeShade="80"/>
              <w:bottom w:val="single" w:sz="8" w:space="0" w:color="808080" w:themeColor="background1" w:themeShade="80"/>
            </w:tcBorders>
          </w:tcPr>
          <w:p w14:paraId="799EF0A0" w14:textId="7EB47FC2" w:rsidR="006748D3" w:rsidRPr="00FD1A13" w:rsidRDefault="006748D3">
            <w:pPr>
              <w:pStyle w:val="TableFiguresBold0"/>
            </w:pPr>
            <w:r w:rsidRPr="0022103C">
              <w:t>–</w:t>
            </w:r>
          </w:p>
        </w:tc>
        <w:tc>
          <w:tcPr>
            <w:tcW w:w="992" w:type="dxa"/>
            <w:tcBorders>
              <w:top w:val="single" w:sz="4" w:space="0" w:color="808080" w:themeColor="background1" w:themeShade="80"/>
              <w:bottom w:val="single" w:sz="8" w:space="0" w:color="808080" w:themeColor="background1" w:themeShade="80"/>
            </w:tcBorders>
            <w:shd w:val="clear" w:color="auto" w:fill="auto"/>
          </w:tcPr>
          <w:p w14:paraId="618226BB" w14:textId="4BE17912" w:rsidR="006748D3" w:rsidRPr="006748D3" w:rsidRDefault="006748D3" w:rsidP="0022103C">
            <w:pPr>
              <w:pStyle w:val="TableFiguresBracketsBold"/>
            </w:pPr>
            <w:r w:rsidRPr="006748D3">
              <w:t>(2,227)</w:t>
            </w:r>
          </w:p>
        </w:tc>
        <w:tc>
          <w:tcPr>
            <w:tcW w:w="793" w:type="dxa"/>
            <w:tcBorders>
              <w:top w:val="single" w:sz="4" w:space="0" w:color="808080" w:themeColor="background1" w:themeShade="80"/>
              <w:bottom w:val="single" w:sz="8" w:space="0" w:color="808080" w:themeColor="background1" w:themeShade="80"/>
            </w:tcBorders>
            <w:shd w:val="clear" w:color="auto" w:fill="auto"/>
          </w:tcPr>
          <w:p w14:paraId="5914B078" w14:textId="072D2F0B" w:rsidR="006748D3" w:rsidRPr="006748D3" w:rsidRDefault="006748D3" w:rsidP="0022103C">
            <w:pPr>
              <w:pStyle w:val="TableFiguresBrackets"/>
            </w:pPr>
            <w:r w:rsidRPr="006748D3">
              <w:t>(1,920)</w:t>
            </w:r>
          </w:p>
        </w:tc>
        <w:tc>
          <w:tcPr>
            <w:tcW w:w="769" w:type="dxa"/>
            <w:tcBorders>
              <w:top w:val="single" w:sz="4" w:space="0" w:color="808080" w:themeColor="background1" w:themeShade="80"/>
              <w:bottom w:val="single" w:sz="8" w:space="0" w:color="808080" w:themeColor="background1" w:themeShade="80"/>
            </w:tcBorders>
          </w:tcPr>
          <w:p w14:paraId="09C2D1F3" w14:textId="14A8C00F" w:rsidR="006748D3" w:rsidRPr="006748D3" w:rsidRDefault="006748D3" w:rsidP="0022103C">
            <w:pPr>
              <w:pStyle w:val="TableFiguresBracketsBold"/>
            </w:pPr>
            <w:r w:rsidRPr="006748D3">
              <w:t>(1,114)</w:t>
            </w:r>
          </w:p>
        </w:tc>
        <w:tc>
          <w:tcPr>
            <w:tcW w:w="848" w:type="dxa"/>
            <w:tcBorders>
              <w:top w:val="single" w:sz="4" w:space="0" w:color="808080" w:themeColor="background1" w:themeShade="80"/>
              <w:bottom w:val="single" w:sz="8" w:space="0" w:color="808080" w:themeColor="background1" w:themeShade="80"/>
            </w:tcBorders>
          </w:tcPr>
          <w:p w14:paraId="11FD0F67" w14:textId="03D90E96" w:rsidR="006748D3" w:rsidRPr="00FD1A13" w:rsidRDefault="006748D3" w:rsidP="0022103C">
            <w:pPr>
              <w:pStyle w:val="TableFiguresBrackets"/>
            </w:pPr>
            <w:r w:rsidRPr="00FD1A13">
              <w:t>(960)</w:t>
            </w:r>
          </w:p>
        </w:tc>
      </w:tr>
      <w:tr w:rsidR="006748D3" w:rsidRPr="006748D3" w14:paraId="491BC755" w14:textId="77777777" w:rsidTr="006748D3">
        <w:tc>
          <w:tcPr>
            <w:tcW w:w="4536" w:type="dxa"/>
            <w:shd w:val="clear" w:color="auto" w:fill="auto"/>
            <w:vAlign w:val="bottom"/>
          </w:tcPr>
          <w:p w14:paraId="6E08D5EA" w14:textId="77777777" w:rsidR="006748D3" w:rsidRPr="006748D3" w:rsidRDefault="006748D3" w:rsidP="00B93C1D">
            <w:pPr>
              <w:pStyle w:val="Tabletext"/>
              <w:rPr>
                <w:szCs w:val="20"/>
              </w:rPr>
            </w:pPr>
            <w:r w:rsidRPr="006748D3">
              <w:rPr>
                <w:szCs w:val="20"/>
              </w:rPr>
              <w:t>Other liabilities</w:t>
            </w:r>
          </w:p>
        </w:tc>
        <w:tc>
          <w:tcPr>
            <w:tcW w:w="1701" w:type="dxa"/>
          </w:tcPr>
          <w:p w14:paraId="64035D61" w14:textId="3BC58D9B" w:rsidR="006748D3" w:rsidRPr="006748D3" w:rsidRDefault="006748D3" w:rsidP="0022103C">
            <w:pPr>
              <w:pStyle w:val="TableFiguresBracketsBold"/>
            </w:pPr>
            <w:r w:rsidRPr="006748D3">
              <w:t>(122)</w:t>
            </w:r>
          </w:p>
        </w:tc>
        <w:tc>
          <w:tcPr>
            <w:tcW w:w="709" w:type="dxa"/>
          </w:tcPr>
          <w:p w14:paraId="6BB0F989" w14:textId="2AB3AF8C" w:rsidR="006748D3" w:rsidRPr="00FD1A13" w:rsidRDefault="006748D3">
            <w:pPr>
              <w:pStyle w:val="TableFiguresBold0"/>
            </w:pPr>
            <w:r w:rsidRPr="0022103C">
              <w:t>–</w:t>
            </w:r>
          </w:p>
        </w:tc>
        <w:tc>
          <w:tcPr>
            <w:tcW w:w="992" w:type="dxa"/>
            <w:shd w:val="clear" w:color="auto" w:fill="auto"/>
          </w:tcPr>
          <w:p w14:paraId="7F61F82C" w14:textId="61D2183D" w:rsidR="006748D3" w:rsidRPr="006748D3" w:rsidRDefault="006748D3" w:rsidP="0022103C">
            <w:pPr>
              <w:pStyle w:val="TableFiguresBracketsBold"/>
            </w:pPr>
            <w:r w:rsidRPr="006748D3">
              <w:t>(122)</w:t>
            </w:r>
          </w:p>
        </w:tc>
        <w:tc>
          <w:tcPr>
            <w:tcW w:w="793" w:type="dxa"/>
            <w:shd w:val="clear" w:color="auto" w:fill="auto"/>
          </w:tcPr>
          <w:p w14:paraId="6C7AB67A" w14:textId="023FA91D" w:rsidR="006748D3" w:rsidRPr="006748D3" w:rsidRDefault="006748D3" w:rsidP="0022103C">
            <w:pPr>
              <w:pStyle w:val="TableFiguresBrackets"/>
            </w:pPr>
            <w:r w:rsidRPr="006748D3">
              <w:t>(92)</w:t>
            </w:r>
          </w:p>
        </w:tc>
        <w:tc>
          <w:tcPr>
            <w:tcW w:w="769" w:type="dxa"/>
          </w:tcPr>
          <w:p w14:paraId="3AB76852" w14:textId="29DA248E" w:rsidR="006748D3" w:rsidRPr="006748D3" w:rsidRDefault="006748D3" w:rsidP="0022103C">
            <w:pPr>
              <w:pStyle w:val="TableFiguresBracketsBold"/>
            </w:pPr>
            <w:r w:rsidRPr="006748D3">
              <w:t>(61)</w:t>
            </w:r>
          </w:p>
        </w:tc>
        <w:tc>
          <w:tcPr>
            <w:tcW w:w="848" w:type="dxa"/>
            <w:shd w:val="clear" w:color="auto" w:fill="auto"/>
          </w:tcPr>
          <w:p w14:paraId="2929F153" w14:textId="31D8E2DF" w:rsidR="006748D3" w:rsidRPr="006748D3" w:rsidRDefault="006748D3" w:rsidP="0022103C">
            <w:pPr>
              <w:pStyle w:val="TableFiguresBrackets"/>
            </w:pPr>
            <w:r w:rsidRPr="006748D3">
              <w:t>(46)</w:t>
            </w:r>
          </w:p>
        </w:tc>
      </w:tr>
      <w:tr w:rsidR="006748D3" w:rsidRPr="006748D3" w14:paraId="3A501A3A" w14:textId="77777777" w:rsidTr="006748D3">
        <w:tc>
          <w:tcPr>
            <w:tcW w:w="4536" w:type="dxa"/>
            <w:tcBorders>
              <w:top w:val="single" w:sz="4" w:space="0" w:color="808080" w:themeColor="background1" w:themeShade="80"/>
              <w:bottom w:val="single" w:sz="8" w:space="0" w:color="808080" w:themeColor="background1" w:themeShade="80"/>
            </w:tcBorders>
            <w:shd w:val="clear" w:color="auto" w:fill="auto"/>
            <w:vAlign w:val="bottom"/>
          </w:tcPr>
          <w:p w14:paraId="49BADAF9" w14:textId="77777777" w:rsidR="006748D3" w:rsidRPr="006748D3" w:rsidRDefault="006748D3" w:rsidP="00B93C1D">
            <w:pPr>
              <w:pStyle w:val="TabletextBold"/>
              <w:rPr>
                <w:szCs w:val="20"/>
              </w:rPr>
            </w:pPr>
            <w:r w:rsidRPr="006748D3">
              <w:rPr>
                <w:szCs w:val="20"/>
              </w:rPr>
              <w:t>Total current liabilities</w:t>
            </w:r>
          </w:p>
        </w:tc>
        <w:tc>
          <w:tcPr>
            <w:tcW w:w="1701" w:type="dxa"/>
            <w:tcBorders>
              <w:top w:val="single" w:sz="4" w:space="0" w:color="808080" w:themeColor="background1" w:themeShade="80"/>
              <w:bottom w:val="single" w:sz="8" w:space="0" w:color="808080" w:themeColor="background1" w:themeShade="80"/>
            </w:tcBorders>
          </w:tcPr>
          <w:p w14:paraId="206F6D28" w14:textId="43D8FA8C" w:rsidR="006748D3" w:rsidRPr="006748D3" w:rsidRDefault="006748D3" w:rsidP="0022103C">
            <w:pPr>
              <w:pStyle w:val="TableFiguresBracketsBold"/>
            </w:pPr>
            <w:r w:rsidRPr="006748D3">
              <w:t>(122)</w:t>
            </w:r>
          </w:p>
        </w:tc>
        <w:tc>
          <w:tcPr>
            <w:tcW w:w="709" w:type="dxa"/>
            <w:tcBorders>
              <w:top w:val="single" w:sz="4" w:space="0" w:color="808080" w:themeColor="background1" w:themeShade="80"/>
              <w:bottom w:val="single" w:sz="8" w:space="0" w:color="808080" w:themeColor="background1" w:themeShade="80"/>
            </w:tcBorders>
          </w:tcPr>
          <w:p w14:paraId="48FF31F2" w14:textId="21CB5C29" w:rsidR="006748D3" w:rsidRPr="00FD1A13" w:rsidRDefault="006748D3">
            <w:pPr>
              <w:pStyle w:val="TableFiguresBold0"/>
            </w:pPr>
            <w:r w:rsidRPr="0022103C">
              <w:t>–</w:t>
            </w:r>
          </w:p>
        </w:tc>
        <w:tc>
          <w:tcPr>
            <w:tcW w:w="992" w:type="dxa"/>
            <w:tcBorders>
              <w:top w:val="single" w:sz="4" w:space="0" w:color="808080" w:themeColor="background1" w:themeShade="80"/>
              <w:bottom w:val="single" w:sz="8" w:space="0" w:color="808080" w:themeColor="background1" w:themeShade="80"/>
            </w:tcBorders>
            <w:shd w:val="clear" w:color="auto" w:fill="auto"/>
          </w:tcPr>
          <w:p w14:paraId="012BE6DC" w14:textId="7B4D4F2E" w:rsidR="006748D3" w:rsidRPr="006748D3" w:rsidRDefault="006748D3" w:rsidP="0022103C">
            <w:pPr>
              <w:pStyle w:val="TableFiguresBracketsBold"/>
            </w:pPr>
            <w:r w:rsidRPr="006748D3">
              <w:t>(122)</w:t>
            </w:r>
          </w:p>
        </w:tc>
        <w:tc>
          <w:tcPr>
            <w:tcW w:w="793" w:type="dxa"/>
            <w:tcBorders>
              <w:top w:val="single" w:sz="4" w:space="0" w:color="808080" w:themeColor="background1" w:themeShade="80"/>
              <w:bottom w:val="single" w:sz="8" w:space="0" w:color="808080" w:themeColor="background1" w:themeShade="80"/>
            </w:tcBorders>
            <w:shd w:val="clear" w:color="auto" w:fill="auto"/>
          </w:tcPr>
          <w:p w14:paraId="0C444683" w14:textId="33AD6A89" w:rsidR="006748D3" w:rsidRPr="006748D3" w:rsidRDefault="006748D3" w:rsidP="0022103C">
            <w:pPr>
              <w:pStyle w:val="TableFiguresBrackets"/>
            </w:pPr>
            <w:r w:rsidRPr="006748D3">
              <w:t>(92)</w:t>
            </w:r>
          </w:p>
        </w:tc>
        <w:tc>
          <w:tcPr>
            <w:tcW w:w="769" w:type="dxa"/>
            <w:tcBorders>
              <w:top w:val="single" w:sz="4" w:space="0" w:color="808080" w:themeColor="background1" w:themeShade="80"/>
              <w:bottom w:val="single" w:sz="8" w:space="0" w:color="808080" w:themeColor="background1" w:themeShade="80"/>
            </w:tcBorders>
          </w:tcPr>
          <w:p w14:paraId="3251D919" w14:textId="18C8F50C" w:rsidR="006748D3" w:rsidRPr="006748D3" w:rsidRDefault="006748D3" w:rsidP="0022103C">
            <w:pPr>
              <w:pStyle w:val="TableFiguresBracketsBold"/>
            </w:pPr>
            <w:r w:rsidRPr="006748D3">
              <w:t>(61)</w:t>
            </w:r>
          </w:p>
        </w:tc>
        <w:tc>
          <w:tcPr>
            <w:tcW w:w="848" w:type="dxa"/>
            <w:tcBorders>
              <w:top w:val="single" w:sz="4" w:space="0" w:color="808080" w:themeColor="background1" w:themeShade="80"/>
              <w:bottom w:val="single" w:sz="8" w:space="0" w:color="808080" w:themeColor="background1" w:themeShade="80"/>
            </w:tcBorders>
            <w:shd w:val="clear" w:color="auto" w:fill="auto"/>
          </w:tcPr>
          <w:p w14:paraId="09025A55" w14:textId="512E8E30" w:rsidR="006748D3" w:rsidRPr="006748D3" w:rsidRDefault="006748D3" w:rsidP="0022103C">
            <w:pPr>
              <w:pStyle w:val="TableFiguresBrackets"/>
            </w:pPr>
            <w:r w:rsidRPr="006748D3">
              <w:t>(46)</w:t>
            </w:r>
          </w:p>
        </w:tc>
      </w:tr>
      <w:tr w:rsidR="006748D3" w:rsidRPr="006748D3" w14:paraId="339D0674" w14:textId="77777777" w:rsidTr="006748D3">
        <w:tc>
          <w:tcPr>
            <w:tcW w:w="4536" w:type="dxa"/>
            <w:tcBorders>
              <w:top w:val="single" w:sz="8" w:space="0" w:color="808080" w:themeColor="background1" w:themeShade="80"/>
              <w:bottom w:val="single" w:sz="8" w:space="0" w:color="808080" w:themeColor="background1" w:themeShade="80"/>
            </w:tcBorders>
            <w:shd w:val="clear" w:color="auto" w:fill="auto"/>
            <w:vAlign w:val="bottom"/>
          </w:tcPr>
          <w:p w14:paraId="2E0AECC4" w14:textId="77777777" w:rsidR="006748D3" w:rsidRPr="006748D3" w:rsidDel="005F2591" w:rsidRDefault="006748D3" w:rsidP="00B93C1D">
            <w:pPr>
              <w:pStyle w:val="TabletextBold"/>
              <w:rPr>
                <w:szCs w:val="20"/>
              </w:rPr>
            </w:pPr>
            <w:r w:rsidRPr="006748D3">
              <w:rPr>
                <w:szCs w:val="20"/>
              </w:rPr>
              <w:t>Total liabilities</w:t>
            </w:r>
          </w:p>
        </w:tc>
        <w:tc>
          <w:tcPr>
            <w:tcW w:w="1701" w:type="dxa"/>
            <w:tcBorders>
              <w:top w:val="single" w:sz="8" w:space="0" w:color="808080" w:themeColor="background1" w:themeShade="80"/>
              <w:bottom w:val="single" w:sz="8" w:space="0" w:color="808080" w:themeColor="background1" w:themeShade="80"/>
            </w:tcBorders>
          </w:tcPr>
          <w:p w14:paraId="7429D425" w14:textId="6E497D07" w:rsidR="006748D3" w:rsidRPr="006748D3" w:rsidDel="00D97B6E" w:rsidRDefault="006748D3" w:rsidP="0022103C">
            <w:pPr>
              <w:pStyle w:val="TableFiguresBracketsBold"/>
            </w:pPr>
            <w:r w:rsidRPr="006748D3">
              <w:t>(2,349)</w:t>
            </w:r>
          </w:p>
        </w:tc>
        <w:tc>
          <w:tcPr>
            <w:tcW w:w="709" w:type="dxa"/>
            <w:tcBorders>
              <w:top w:val="single" w:sz="8" w:space="0" w:color="808080" w:themeColor="background1" w:themeShade="80"/>
              <w:bottom w:val="single" w:sz="8" w:space="0" w:color="808080" w:themeColor="background1" w:themeShade="80"/>
            </w:tcBorders>
          </w:tcPr>
          <w:p w14:paraId="74247B95" w14:textId="6140D3AD" w:rsidR="006748D3" w:rsidRPr="006748D3" w:rsidDel="00D97B6E" w:rsidRDefault="006748D3" w:rsidP="00B93C1D">
            <w:pPr>
              <w:pStyle w:val="TableFiguresBold0"/>
            </w:pPr>
            <w:r w:rsidRPr="006748D3">
              <w:rPr>
                <w:rFonts w:hAnsi="Delta BQ Medium"/>
              </w:rPr>
              <w:t>–</w:t>
            </w:r>
          </w:p>
        </w:tc>
        <w:tc>
          <w:tcPr>
            <w:tcW w:w="992" w:type="dxa"/>
            <w:tcBorders>
              <w:top w:val="single" w:sz="8" w:space="0" w:color="808080" w:themeColor="background1" w:themeShade="80"/>
              <w:bottom w:val="single" w:sz="8" w:space="0" w:color="808080" w:themeColor="background1" w:themeShade="80"/>
            </w:tcBorders>
            <w:shd w:val="clear" w:color="auto" w:fill="auto"/>
          </w:tcPr>
          <w:p w14:paraId="36A5F3AC" w14:textId="6DDED0DE" w:rsidR="006748D3" w:rsidRPr="006748D3" w:rsidDel="00D97B6E" w:rsidRDefault="006748D3" w:rsidP="0022103C">
            <w:pPr>
              <w:pStyle w:val="TableFiguresBracketsBold"/>
            </w:pPr>
            <w:r w:rsidRPr="006748D3">
              <w:t>(2,349)</w:t>
            </w:r>
          </w:p>
        </w:tc>
        <w:tc>
          <w:tcPr>
            <w:tcW w:w="793" w:type="dxa"/>
            <w:tcBorders>
              <w:top w:val="single" w:sz="8" w:space="0" w:color="808080" w:themeColor="background1" w:themeShade="80"/>
              <w:bottom w:val="single" w:sz="8" w:space="0" w:color="808080" w:themeColor="background1" w:themeShade="80"/>
            </w:tcBorders>
            <w:shd w:val="clear" w:color="auto" w:fill="auto"/>
          </w:tcPr>
          <w:p w14:paraId="1781E0BC" w14:textId="1BB04F48" w:rsidR="006748D3" w:rsidRPr="006748D3" w:rsidRDefault="006748D3" w:rsidP="0022103C">
            <w:pPr>
              <w:pStyle w:val="TableFiguresBrackets"/>
            </w:pPr>
            <w:r w:rsidRPr="006748D3">
              <w:t>(2,012)</w:t>
            </w:r>
          </w:p>
        </w:tc>
        <w:tc>
          <w:tcPr>
            <w:tcW w:w="769" w:type="dxa"/>
            <w:tcBorders>
              <w:top w:val="single" w:sz="8" w:space="0" w:color="808080" w:themeColor="background1" w:themeShade="80"/>
              <w:bottom w:val="single" w:sz="8" w:space="0" w:color="808080" w:themeColor="background1" w:themeShade="80"/>
            </w:tcBorders>
          </w:tcPr>
          <w:p w14:paraId="6C973834" w14:textId="04D9477A" w:rsidR="006748D3" w:rsidRPr="006748D3" w:rsidRDefault="006748D3" w:rsidP="0022103C">
            <w:pPr>
              <w:pStyle w:val="TableFiguresBracketsBold"/>
            </w:pPr>
            <w:r w:rsidRPr="006748D3">
              <w:t>(1,175)</w:t>
            </w:r>
          </w:p>
        </w:tc>
        <w:tc>
          <w:tcPr>
            <w:tcW w:w="848" w:type="dxa"/>
            <w:tcBorders>
              <w:top w:val="single" w:sz="8" w:space="0" w:color="808080" w:themeColor="background1" w:themeShade="80"/>
              <w:bottom w:val="single" w:sz="8" w:space="0" w:color="808080" w:themeColor="background1" w:themeShade="80"/>
            </w:tcBorders>
            <w:shd w:val="clear" w:color="auto" w:fill="auto"/>
          </w:tcPr>
          <w:p w14:paraId="00540DAB" w14:textId="593A09FD" w:rsidR="006748D3" w:rsidRPr="006748D3" w:rsidRDefault="006748D3" w:rsidP="0022103C">
            <w:pPr>
              <w:pStyle w:val="TableFiguresBrackets"/>
            </w:pPr>
            <w:r w:rsidRPr="006748D3">
              <w:t>(1,006)</w:t>
            </w:r>
          </w:p>
        </w:tc>
      </w:tr>
      <w:tr w:rsidR="006748D3" w:rsidRPr="006748D3" w14:paraId="7EF585A2" w14:textId="77777777" w:rsidTr="006748D3">
        <w:tc>
          <w:tcPr>
            <w:tcW w:w="4536" w:type="dxa"/>
            <w:tcBorders>
              <w:top w:val="single" w:sz="8" w:space="0" w:color="808080" w:themeColor="background1" w:themeShade="80"/>
              <w:bottom w:val="single" w:sz="8" w:space="0" w:color="808080" w:themeColor="background1" w:themeShade="80"/>
            </w:tcBorders>
            <w:shd w:val="clear" w:color="auto" w:fill="auto"/>
            <w:vAlign w:val="bottom"/>
          </w:tcPr>
          <w:p w14:paraId="2A0D65DD" w14:textId="77777777" w:rsidR="006748D3" w:rsidRPr="006748D3" w:rsidDel="005F2591" w:rsidRDefault="006748D3" w:rsidP="00B93C1D">
            <w:pPr>
              <w:pStyle w:val="TabletextBold"/>
              <w:rPr>
                <w:szCs w:val="20"/>
              </w:rPr>
            </w:pPr>
            <w:r w:rsidRPr="006748D3">
              <w:rPr>
                <w:szCs w:val="20"/>
              </w:rPr>
              <w:t>Net assets</w:t>
            </w:r>
          </w:p>
        </w:tc>
        <w:tc>
          <w:tcPr>
            <w:tcW w:w="1701" w:type="dxa"/>
            <w:tcBorders>
              <w:top w:val="single" w:sz="8" w:space="0" w:color="808080" w:themeColor="background1" w:themeShade="80"/>
              <w:bottom w:val="single" w:sz="8" w:space="0" w:color="808080" w:themeColor="background1" w:themeShade="80"/>
            </w:tcBorders>
          </w:tcPr>
          <w:p w14:paraId="5F09895A" w14:textId="6820DA16" w:rsidR="006748D3" w:rsidRPr="006748D3" w:rsidDel="00D97B6E" w:rsidRDefault="006748D3" w:rsidP="00B93C1D">
            <w:pPr>
              <w:pStyle w:val="TableFiguresBold0"/>
            </w:pPr>
            <w:r w:rsidRPr="006748D3">
              <w:t>3,573</w:t>
            </w:r>
          </w:p>
        </w:tc>
        <w:tc>
          <w:tcPr>
            <w:tcW w:w="709" w:type="dxa"/>
            <w:tcBorders>
              <w:top w:val="single" w:sz="8" w:space="0" w:color="808080" w:themeColor="background1" w:themeShade="80"/>
              <w:bottom w:val="single" w:sz="8" w:space="0" w:color="808080" w:themeColor="background1" w:themeShade="80"/>
            </w:tcBorders>
          </w:tcPr>
          <w:p w14:paraId="4087955C" w14:textId="2EEE9A21" w:rsidR="006748D3" w:rsidRPr="006748D3" w:rsidDel="00D97B6E" w:rsidRDefault="006748D3" w:rsidP="00B93C1D">
            <w:pPr>
              <w:pStyle w:val="TableFiguresBold0"/>
            </w:pPr>
            <w:r w:rsidRPr="006748D3">
              <w:t>17</w:t>
            </w:r>
          </w:p>
        </w:tc>
        <w:tc>
          <w:tcPr>
            <w:tcW w:w="992" w:type="dxa"/>
            <w:tcBorders>
              <w:top w:val="single" w:sz="8" w:space="0" w:color="808080" w:themeColor="background1" w:themeShade="80"/>
              <w:bottom w:val="single" w:sz="8" w:space="0" w:color="808080" w:themeColor="background1" w:themeShade="80"/>
            </w:tcBorders>
            <w:shd w:val="clear" w:color="auto" w:fill="auto"/>
          </w:tcPr>
          <w:p w14:paraId="2C79B341" w14:textId="29271BEC" w:rsidR="006748D3" w:rsidRPr="006748D3" w:rsidDel="00D97B6E" w:rsidRDefault="006748D3" w:rsidP="00B93C1D">
            <w:pPr>
              <w:pStyle w:val="TableFiguresBold0"/>
            </w:pPr>
            <w:r w:rsidRPr="006748D3">
              <w:t>3,590</w:t>
            </w:r>
          </w:p>
        </w:tc>
        <w:tc>
          <w:tcPr>
            <w:tcW w:w="793" w:type="dxa"/>
            <w:tcBorders>
              <w:top w:val="single" w:sz="8" w:space="0" w:color="808080" w:themeColor="background1" w:themeShade="80"/>
              <w:bottom w:val="single" w:sz="8" w:space="0" w:color="808080" w:themeColor="background1" w:themeShade="80"/>
            </w:tcBorders>
            <w:shd w:val="clear" w:color="auto" w:fill="auto"/>
          </w:tcPr>
          <w:p w14:paraId="53DE8D5E" w14:textId="6A9FBCE3" w:rsidR="006748D3" w:rsidRPr="006748D3" w:rsidRDefault="006748D3" w:rsidP="00B93C1D">
            <w:pPr>
              <w:pStyle w:val="TableFigures"/>
            </w:pPr>
            <w:r w:rsidRPr="006748D3">
              <w:t>2,846</w:t>
            </w:r>
          </w:p>
        </w:tc>
        <w:tc>
          <w:tcPr>
            <w:tcW w:w="769" w:type="dxa"/>
            <w:tcBorders>
              <w:top w:val="single" w:sz="8" w:space="0" w:color="808080" w:themeColor="background1" w:themeShade="80"/>
              <w:bottom w:val="single" w:sz="8" w:space="0" w:color="808080" w:themeColor="background1" w:themeShade="80"/>
            </w:tcBorders>
          </w:tcPr>
          <w:p w14:paraId="1BE2374D" w14:textId="124D1286" w:rsidR="006748D3" w:rsidRPr="006748D3" w:rsidRDefault="006748D3" w:rsidP="00B93C1D">
            <w:pPr>
              <w:pStyle w:val="TableFiguresBold0"/>
            </w:pPr>
            <w:r w:rsidRPr="006748D3">
              <w:t>1,795</w:t>
            </w:r>
          </w:p>
        </w:tc>
        <w:tc>
          <w:tcPr>
            <w:tcW w:w="848" w:type="dxa"/>
            <w:tcBorders>
              <w:top w:val="single" w:sz="8" w:space="0" w:color="808080" w:themeColor="background1" w:themeShade="80"/>
              <w:bottom w:val="single" w:sz="8" w:space="0" w:color="808080" w:themeColor="background1" w:themeShade="80"/>
            </w:tcBorders>
            <w:shd w:val="clear" w:color="auto" w:fill="auto"/>
          </w:tcPr>
          <w:p w14:paraId="50704AE1" w14:textId="5E281243" w:rsidR="006748D3" w:rsidRPr="006748D3" w:rsidRDefault="006748D3" w:rsidP="00B93C1D">
            <w:pPr>
              <w:pStyle w:val="TableFigures"/>
            </w:pPr>
            <w:r w:rsidRPr="006748D3">
              <w:t>1,423</w:t>
            </w:r>
          </w:p>
        </w:tc>
      </w:tr>
    </w:tbl>
    <w:p w14:paraId="2C148745" w14:textId="7A036D9B" w:rsidR="005E793C" w:rsidRDefault="005E793C" w:rsidP="005E793C">
      <w:pPr>
        <w:pStyle w:val="FootnotesNoSpace"/>
        <w:rPr>
          <w:i w:val="0"/>
          <w:color w:val="FF0000"/>
          <w:highlight w:val="yellow"/>
        </w:rPr>
      </w:pPr>
    </w:p>
    <w:p w14:paraId="133E2FB5" w14:textId="4AA5E6A4" w:rsidR="00E7751B" w:rsidRDefault="00E7751B" w:rsidP="00E7751B">
      <w:pPr>
        <w:pStyle w:val="FootnotesNoSpace"/>
      </w:pPr>
      <w:r>
        <w:t xml:space="preserve">1 </w:t>
      </w:r>
      <w:r w:rsidRPr="00D7207E">
        <w:t>Investment properties held by SELP include assets held for sale of £97 million (at 100%) at 31 December 2021 (2020: £nil)</w:t>
      </w:r>
      <w:r w:rsidR="00960216">
        <w:t>.</w:t>
      </w:r>
      <w:r w:rsidRPr="00D7207E">
        <w:t xml:space="preserve"> </w:t>
      </w:r>
    </w:p>
    <w:p w14:paraId="0219BDF4" w14:textId="000C7C26" w:rsidR="006748D3" w:rsidRDefault="00130626" w:rsidP="006748D3">
      <w:pPr>
        <w:pStyle w:val="Heading3"/>
      </w:pPr>
      <w:r>
        <w:lastRenderedPageBreak/>
        <w:t>F</w:t>
      </w:r>
      <w:r w:rsidR="006748D3">
        <w:t xml:space="preserve">ees </w:t>
      </w:r>
    </w:p>
    <w:p w14:paraId="0789607C" w14:textId="77777777" w:rsidR="00130626" w:rsidRDefault="006748D3" w:rsidP="00963A36">
      <w:pPr>
        <w:pStyle w:val="Normal1"/>
      </w:pPr>
      <w:r>
        <w:t xml:space="preserve">SEGRO provides certain services, including venture advisory and asset management, to the SELP joint venture and receives fees for doing so. </w:t>
      </w:r>
    </w:p>
    <w:p w14:paraId="0EF0851E" w14:textId="57D3A616" w:rsidR="00130626" w:rsidRDefault="006748D3" w:rsidP="00963A36">
      <w:pPr>
        <w:pStyle w:val="Normal1"/>
      </w:pPr>
      <w:r>
        <w:t>Performance fees, denominated in euros, are payable from SELP to SEGRO based on SELP’s internal rate of return</w:t>
      </w:r>
      <w:r w:rsidR="00D7207E">
        <w:t xml:space="preserve"> (‘IRR’) </w:t>
      </w:r>
      <w:r>
        <w:t xml:space="preserve">subject to certain hurdle rates. The first IRR calculation was conducted in October 2018, the fifth anniversary of the inception of SELP, and a payment of €59 million (£52 million) was made to SEGRO, of which 50 per cent was subject to clawback based on performance over the remaining period to October 2023, SELP’s tenth anniversary. If performance has improved by the tenth anniversary, additional fees might be triggered. The IRR calculation to determine whether the hurdle rates will be met when the performance period ends in October 2023 is currently an estimation and sensitive to movements and assumptions in property valuations over the remaining performance period. </w:t>
      </w:r>
    </w:p>
    <w:p w14:paraId="3280E2A2" w14:textId="77777777" w:rsidR="00BE017A" w:rsidRDefault="006748D3" w:rsidP="00963A36">
      <w:pPr>
        <w:pStyle w:val="Normal1"/>
      </w:pPr>
      <w:r>
        <w:t xml:space="preserve">In 2018 SEGRO recognised a performance fee of £26 million in its Income Statement (representing the 50 per cent of the performance fee paid in 2018 not subject to clawback) and relates to the five year performance period to October 2018 (an equivalent performance fee expense of £26 million (£13 million at share) was recognised within the share of profit from joint ventures). </w:t>
      </w:r>
    </w:p>
    <w:p w14:paraId="05349289" w14:textId="0E642234" w:rsidR="00130626" w:rsidRDefault="006748D3" w:rsidP="00963A36">
      <w:pPr>
        <w:pStyle w:val="Normal1"/>
      </w:pPr>
      <w:r>
        <w:t xml:space="preserve">In 2021 SEGRO has recognised a performance fee of £26 million (€29 million) in the Income Statement and represents the additional 50 per cent of the performance fee paid in 2018 subject to future clawback. </w:t>
      </w:r>
    </w:p>
    <w:p w14:paraId="109E6C92" w14:textId="77777777" w:rsidR="00BE017A" w:rsidRDefault="00BE017A" w:rsidP="00963A36">
      <w:pPr>
        <w:pStyle w:val="Normal1"/>
      </w:pPr>
      <w:r>
        <w:t xml:space="preserve">Performance fee income is recognised during the performance period to the extent that it is highly probable there will not be a significant future reversal and the fee can be reliably estimated. </w:t>
      </w:r>
      <w:r w:rsidR="006748D3">
        <w:t xml:space="preserve">None of the £26 million performance fee recognised in 2021 will be reversed if property values fall by 17 per cent (the equivalent of 9 per cent per annum) between 31 December 2021 and the end of the performance period in 2023. If property values fall by over 19 per cent (the equivalent of 10 per cent per annum) all of the £26 million performance fee would be reversed. Based on SEGRO management’s assessment of market conditions at the year end, market outlook and the track record of property market trends, management considers a potential decrease in property values in excess of 17 per cent by October 2023 as highly </w:t>
      </w:r>
      <w:r>
        <w:t>im</w:t>
      </w:r>
      <w:r w:rsidR="006748D3">
        <w:t>probable</w:t>
      </w:r>
      <w:r>
        <w:t xml:space="preserve"> and so meets the criteria that there will not be a significant reversal of the performance fee recognised. </w:t>
      </w:r>
    </w:p>
    <w:p w14:paraId="37C4E187" w14:textId="7404439E" w:rsidR="00130626" w:rsidRDefault="006748D3" w:rsidP="00963A36">
      <w:pPr>
        <w:pStyle w:val="Normal1"/>
      </w:pPr>
      <w:r>
        <w:t xml:space="preserve">When consolidating the SELP Group financial statements into the SEGRO Group, an equivalent performance fee expense of £26 million (£13 million at share) has been recognised within the share of profit from joint ventures and reflected in </w:t>
      </w:r>
      <w:r w:rsidRPr="00335112">
        <w:t xml:space="preserve">table </w:t>
      </w:r>
      <w:r w:rsidR="00CB1B8E" w:rsidRPr="009A7454">
        <w:t>6</w:t>
      </w:r>
      <w:r w:rsidRPr="009A7454">
        <w:t>(i) above</w:t>
      </w:r>
      <w:r w:rsidRPr="00335112">
        <w:t>.</w:t>
      </w:r>
      <w:r>
        <w:t xml:space="preserve"> </w:t>
      </w:r>
    </w:p>
    <w:p w14:paraId="5F80F7EE" w14:textId="77777777" w:rsidR="00130626" w:rsidRDefault="006748D3" w:rsidP="00130626">
      <w:pPr>
        <w:pStyle w:val="Heading3"/>
      </w:pPr>
      <w:r>
        <w:t xml:space="preserve">Sensitivity </w:t>
      </w:r>
    </w:p>
    <w:p w14:paraId="64DF9A9B" w14:textId="62A2E7E7" w:rsidR="006748D3" w:rsidRDefault="006748D3" w:rsidP="00963A36">
      <w:pPr>
        <w:pStyle w:val="Normal1"/>
      </w:pPr>
      <w:r>
        <w:t>Based on current estimates of the IRR of SELP between inception in October 2013 and 31 December 2021, an additional performance fee due to SEGRO in 2023 could be in the region of €276 million (€138 million at share after accounting for the corresponding performance fee expense recognised in SELP). However, this is dependent on future events, in particular property valuation movements, to the end of the performance period in October 2023. The current estimates of the IRR is based on property values as at 31 December 2021: a 10 per cent decrease in property values would result in a €160 million decrease in the estimated fee and a 10 per cent increase in property values would result in a €160 million increase in the estimated fee. If property values decreased by 17 per cent no additional performance fee would be due.</w:t>
      </w:r>
      <w:r w:rsidR="00BE017A">
        <w:t xml:space="preserve"> A further performance fee </w:t>
      </w:r>
      <w:r w:rsidR="00960216">
        <w:t>above the £26 million record</w:t>
      </w:r>
      <w:r w:rsidR="008E56FC">
        <w:t>ed</w:t>
      </w:r>
      <w:r w:rsidR="00960216">
        <w:t xml:space="preserve"> during the year </w:t>
      </w:r>
      <w:r w:rsidR="00BE017A">
        <w:t xml:space="preserve">has not been recognised as management has not concluded that it is highly probable that there will not be a significant reversal. </w:t>
      </w:r>
      <w:r>
        <w:t xml:space="preserve"> </w:t>
      </w:r>
    </w:p>
    <w:p w14:paraId="7946978F" w14:textId="77777777" w:rsidR="005E793C" w:rsidRPr="00010924" w:rsidRDefault="005E793C" w:rsidP="005E793C">
      <w:pPr>
        <w:pStyle w:val="Heading2"/>
      </w:pPr>
      <w:r w:rsidRPr="00010924">
        <w:t>7. REALISED AND UNREALISED PROPERTY GAIN</w:t>
      </w:r>
    </w:p>
    <w:tbl>
      <w:tblPr>
        <w:tblW w:w="10773" w:type="dxa"/>
        <w:tblCellMar>
          <w:left w:w="0" w:type="dxa"/>
          <w:right w:w="0" w:type="dxa"/>
        </w:tblCellMar>
        <w:tblLook w:val="01E0" w:firstRow="1" w:lastRow="1" w:firstColumn="1" w:lastColumn="1" w:noHBand="0" w:noVBand="0"/>
      </w:tblPr>
      <w:tblGrid>
        <w:gridCol w:w="6985"/>
        <w:gridCol w:w="1187"/>
        <w:gridCol w:w="1187"/>
        <w:gridCol w:w="1414"/>
      </w:tblGrid>
      <w:tr w:rsidR="005F6D8A" w:rsidRPr="00010924" w14:paraId="08C1D862" w14:textId="77777777" w:rsidTr="00E30618">
        <w:tc>
          <w:tcPr>
            <w:tcW w:w="6985" w:type="dxa"/>
            <w:tcBorders>
              <w:bottom w:val="single" w:sz="8" w:space="0" w:color="999999"/>
            </w:tcBorders>
            <w:shd w:val="clear" w:color="auto" w:fill="auto"/>
            <w:vAlign w:val="bottom"/>
          </w:tcPr>
          <w:p w14:paraId="243150CC" w14:textId="77777777" w:rsidR="005E793C" w:rsidRPr="00010924" w:rsidRDefault="005E793C" w:rsidP="00E30618">
            <w:pPr>
              <w:pStyle w:val="Tabletext"/>
            </w:pPr>
          </w:p>
        </w:tc>
        <w:tc>
          <w:tcPr>
            <w:tcW w:w="1187" w:type="dxa"/>
            <w:tcBorders>
              <w:bottom w:val="single" w:sz="8" w:space="0" w:color="999999"/>
            </w:tcBorders>
            <w:shd w:val="clear" w:color="auto" w:fill="auto"/>
            <w:vAlign w:val="bottom"/>
          </w:tcPr>
          <w:p w14:paraId="12F561BA" w14:textId="77777777" w:rsidR="005E793C" w:rsidRPr="00010924" w:rsidRDefault="005E793C" w:rsidP="00E30618">
            <w:pPr>
              <w:pStyle w:val="TableColHeadsBold0"/>
            </w:pPr>
          </w:p>
        </w:tc>
        <w:tc>
          <w:tcPr>
            <w:tcW w:w="1187" w:type="dxa"/>
            <w:tcBorders>
              <w:bottom w:val="single" w:sz="8" w:space="0" w:color="999999"/>
            </w:tcBorders>
            <w:shd w:val="clear" w:color="auto" w:fill="auto"/>
            <w:vAlign w:val="bottom"/>
          </w:tcPr>
          <w:p w14:paraId="6AB2D836" w14:textId="274D7C2D" w:rsidR="005E793C" w:rsidRPr="00010924" w:rsidRDefault="005E793C" w:rsidP="00E30618">
            <w:pPr>
              <w:pStyle w:val="TableColHeadsBold0"/>
            </w:pPr>
            <w:r w:rsidRPr="00010924">
              <w:t>20</w:t>
            </w:r>
            <w:r w:rsidR="00C3482C" w:rsidRPr="00010924">
              <w:t>2</w:t>
            </w:r>
            <w:r w:rsidR="00010924" w:rsidRPr="00010924">
              <w:t>1</w:t>
            </w:r>
            <w:r w:rsidRPr="00010924">
              <w:br/>
              <w:t>£m</w:t>
            </w:r>
          </w:p>
        </w:tc>
        <w:tc>
          <w:tcPr>
            <w:tcW w:w="1414" w:type="dxa"/>
            <w:tcBorders>
              <w:bottom w:val="single" w:sz="8" w:space="0" w:color="999999"/>
            </w:tcBorders>
            <w:shd w:val="clear" w:color="auto" w:fill="auto"/>
            <w:vAlign w:val="bottom"/>
          </w:tcPr>
          <w:p w14:paraId="6A1D7FEF" w14:textId="6FC0A1BA" w:rsidR="005E793C" w:rsidRPr="00010924" w:rsidRDefault="005E793C" w:rsidP="00E30618">
            <w:pPr>
              <w:pStyle w:val="TableColHeadsBold0"/>
              <w:rPr>
                <w:b w:val="0"/>
              </w:rPr>
            </w:pPr>
            <w:r w:rsidRPr="00010924">
              <w:rPr>
                <w:b w:val="0"/>
              </w:rPr>
              <w:t>20</w:t>
            </w:r>
            <w:r w:rsidR="00010924" w:rsidRPr="00010924">
              <w:rPr>
                <w:b w:val="0"/>
              </w:rPr>
              <w:t>20</w:t>
            </w:r>
            <w:r w:rsidRPr="00010924">
              <w:rPr>
                <w:b w:val="0"/>
              </w:rPr>
              <w:br/>
              <w:t>£m</w:t>
            </w:r>
          </w:p>
        </w:tc>
      </w:tr>
      <w:tr w:rsidR="005F6D8A" w:rsidRPr="00010924" w14:paraId="307B9302" w14:textId="77777777" w:rsidTr="00CA0FDF">
        <w:tc>
          <w:tcPr>
            <w:tcW w:w="6985" w:type="dxa"/>
            <w:tcBorders>
              <w:top w:val="single" w:sz="8" w:space="0" w:color="999999"/>
            </w:tcBorders>
            <w:shd w:val="clear" w:color="auto" w:fill="auto"/>
            <w:vAlign w:val="bottom"/>
          </w:tcPr>
          <w:p w14:paraId="0F96D1F0" w14:textId="77777777" w:rsidR="00C3482C" w:rsidRPr="00010924" w:rsidRDefault="00C3482C" w:rsidP="00C3482C">
            <w:pPr>
              <w:pStyle w:val="Tabletext"/>
            </w:pPr>
            <w:r w:rsidRPr="00010924">
              <w:t>Profit on sale of investment properties</w:t>
            </w:r>
          </w:p>
        </w:tc>
        <w:tc>
          <w:tcPr>
            <w:tcW w:w="1187" w:type="dxa"/>
            <w:tcBorders>
              <w:top w:val="single" w:sz="8" w:space="0" w:color="999999"/>
            </w:tcBorders>
            <w:shd w:val="clear" w:color="auto" w:fill="auto"/>
            <w:vAlign w:val="bottom"/>
          </w:tcPr>
          <w:p w14:paraId="2800AFB8" w14:textId="77777777" w:rsidR="00C3482C" w:rsidRPr="00010924" w:rsidRDefault="00C3482C" w:rsidP="00C3482C">
            <w:pPr>
              <w:pStyle w:val="TableFiguresBold0"/>
            </w:pPr>
          </w:p>
        </w:tc>
        <w:tc>
          <w:tcPr>
            <w:tcW w:w="1187" w:type="dxa"/>
            <w:tcBorders>
              <w:top w:val="single" w:sz="8" w:space="0" w:color="999999"/>
            </w:tcBorders>
            <w:shd w:val="clear" w:color="auto" w:fill="auto"/>
          </w:tcPr>
          <w:p w14:paraId="3D61DCEB" w14:textId="1E2C2ACA" w:rsidR="00C3482C" w:rsidRPr="00010924" w:rsidRDefault="00010924" w:rsidP="00C3482C">
            <w:pPr>
              <w:pStyle w:val="TableFiguresBold0"/>
            </w:pPr>
            <w:r w:rsidRPr="00010924">
              <w:t>53</w:t>
            </w:r>
          </w:p>
        </w:tc>
        <w:tc>
          <w:tcPr>
            <w:tcW w:w="1414" w:type="dxa"/>
            <w:tcBorders>
              <w:top w:val="single" w:sz="8" w:space="0" w:color="999999"/>
            </w:tcBorders>
            <w:shd w:val="clear" w:color="auto" w:fill="auto"/>
          </w:tcPr>
          <w:p w14:paraId="6E64EA40" w14:textId="7CFB1392" w:rsidR="00C3482C" w:rsidRPr="00010924" w:rsidRDefault="00010924" w:rsidP="00C3482C">
            <w:pPr>
              <w:pStyle w:val="TableFigures"/>
            </w:pPr>
            <w:r w:rsidRPr="00010924">
              <w:t>5</w:t>
            </w:r>
          </w:p>
        </w:tc>
      </w:tr>
      <w:tr w:rsidR="005F6D8A" w:rsidRPr="00010924" w14:paraId="799892CF" w14:textId="77777777" w:rsidTr="00CA0FDF">
        <w:tc>
          <w:tcPr>
            <w:tcW w:w="6985" w:type="dxa"/>
            <w:shd w:val="clear" w:color="auto" w:fill="auto"/>
            <w:vAlign w:val="bottom"/>
          </w:tcPr>
          <w:p w14:paraId="0FC39403" w14:textId="7FBEA526" w:rsidR="00C3482C" w:rsidRPr="00010924" w:rsidRDefault="00C3482C" w:rsidP="00C3482C">
            <w:pPr>
              <w:pStyle w:val="Tabletext"/>
            </w:pPr>
            <w:r w:rsidRPr="00010924">
              <w:t>Valuation surplus on investment properties</w:t>
            </w:r>
            <w:r w:rsidRPr="00010924">
              <w:rPr>
                <w:vertAlign w:val="superscript"/>
              </w:rPr>
              <w:t>1</w:t>
            </w:r>
          </w:p>
        </w:tc>
        <w:tc>
          <w:tcPr>
            <w:tcW w:w="1187" w:type="dxa"/>
            <w:shd w:val="clear" w:color="auto" w:fill="auto"/>
            <w:vAlign w:val="bottom"/>
          </w:tcPr>
          <w:p w14:paraId="5D11FA39" w14:textId="77777777" w:rsidR="00C3482C" w:rsidRPr="00010924" w:rsidRDefault="00C3482C" w:rsidP="00C3482C">
            <w:pPr>
              <w:pStyle w:val="TableFiguresBold0"/>
            </w:pPr>
          </w:p>
        </w:tc>
        <w:tc>
          <w:tcPr>
            <w:tcW w:w="1187" w:type="dxa"/>
            <w:shd w:val="clear" w:color="auto" w:fill="auto"/>
          </w:tcPr>
          <w:p w14:paraId="15B95352" w14:textId="0CE59E0F" w:rsidR="00C3482C" w:rsidRPr="00010924" w:rsidRDefault="00010924" w:rsidP="00C3482C">
            <w:pPr>
              <w:pStyle w:val="TableFiguresBold0"/>
            </w:pPr>
            <w:r w:rsidRPr="00010924">
              <w:t>3,617</w:t>
            </w:r>
          </w:p>
        </w:tc>
        <w:tc>
          <w:tcPr>
            <w:tcW w:w="1414" w:type="dxa"/>
            <w:shd w:val="clear" w:color="auto" w:fill="auto"/>
          </w:tcPr>
          <w:p w14:paraId="01BE38E0" w14:textId="0CAC009F" w:rsidR="00C3482C" w:rsidRPr="00010924" w:rsidRDefault="00010924" w:rsidP="00C3482C">
            <w:pPr>
              <w:pStyle w:val="TableFigures"/>
            </w:pPr>
            <w:r w:rsidRPr="00010924">
              <w:t>971</w:t>
            </w:r>
          </w:p>
        </w:tc>
      </w:tr>
      <w:tr w:rsidR="005F6D8A" w:rsidRPr="00010924" w14:paraId="5809689C" w14:textId="77777777" w:rsidTr="00CA0FDF">
        <w:tc>
          <w:tcPr>
            <w:tcW w:w="6985" w:type="dxa"/>
            <w:shd w:val="clear" w:color="auto" w:fill="auto"/>
            <w:vAlign w:val="bottom"/>
          </w:tcPr>
          <w:p w14:paraId="7429BAA6" w14:textId="2D990528" w:rsidR="00C3482C" w:rsidRPr="00010924" w:rsidRDefault="00C3482C" w:rsidP="00C3482C">
            <w:pPr>
              <w:pStyle w:val="Tabletext"/>
            </w:pPr>
            <w:r w:rsidRPr="00010924">
              <w:t>Increase</w:t>
            </w:r>
            <w:r w:rsidR="00010924" w:rsidRPr="00010924">
              <w:t xml:space="preserve"> </w:t>
            </w:r>
            <w:r w:rsidRPr="00010924">
              <w:t>in provision for impairment of trading properties</w:t>
            </w:r>
          </w:p>
        </w:tc>
        <w:tc>
          <w:tcPr>
            <w:tcW w:w="1187" w:type="dxa"/>
            <w:shd w:val="clear" w:color="auto" w:fill="auto"/>
            <w:vAlign w:val="bottom"/>
          </w:tcPr>
          <w:p w14:paraId="7FEA7AE5" w14:textId="77777777" w:rsidR="00C3482C" w:rsidRPr="00010924" w:rsidRDefault="00C3482C" w:rsidP="00C3482C">
            <w:pPr>
              <w:pStyle w:val="TableFiguresBold0"/>
            </w:pPr>
          </w:p>
        </w:tc>
        <w:tc>
          <w:tcPr>
            <w:tcW w:w="1187" w:type="dxa"/>
            <w:shd w:val="clear" w:color="auto" w:fill="auto"/>
          </w:tcPr>
          <w:p w14:paraId="6179A87D" w14:textId="67CC2538" w:rsidR="00C3482C" w:rsidRPr="00010924" w:rsidRDefault="00010924" w:rsidP="002313ED">
            <w:pPr>
              <w:pStyle w:val="TableFiguresBracketsBold"/>
            </w:pPr>
            <w:r w:rsidRPr="00010924">
              <w:t>(1)</w:t>
            </w:r>
          </w:p>
        </w:tc>
        <w:tc>
          <w:tcPr>
            <w:tcW w:w="1414" w:type="dxa"/>
            <w:shd w:val="clear" w:color="auto" w:fill="auto"/>
          </w:tcPr>
          <w:p w14:paraId="1341A2A6" w14:textId="6CA49835" w:rsidR="00C3482C" w:rsidRPr="00010924" w:rsidRDefault="00010924" w:rsidP="00C3482C">
            <w:pPr>
              <w:pStyle w:val="TableFigures"/>
            </w:pPr>
            <w:r w:rsidRPr="00010924">
              <w:t>–</w:t>
            </w:r>
          </w:p>
        </w:tc>
      </w:tr>
      <w:tr w:rsidR="005F6D8A" w:rsidRPr="00010924" w14:paraId="799125B4" w14:textId="77777777" w:rsidTr="00CA0FDF">
        <w:tc>
          <w:tcPr>
            <w:tcW w:w="6985" w:type="dxa"/>
            <w:shd w:val="clear" w:color="auto" w:fill="auto"/>
            <w:vAlign w:val="bottom"/>
          </w:tcPr>
          <w:p w14:paraId="6D44FA32" w14:textId="0E9828BF" w:rsidR="00C3482C" w:rsidRPr="00010924" w:rsidRDefault="00C3482C" w:rsidP="00C3482C">
            <w:pPr>
              <w:pStyle w:val="Tabletext"/>
            </w:pPr>
            <w:r w:rsidRPr="00010924">
              <w:t>Increase in provision for impairment of other interests in property</w:t>
            </w:r>
          </w:p>
        </w:tc>
        <w:tc>
          <w:tcPr>
            <w:tcW w:w="1187" w:type="dxa"/>
            <w:shd w:val="clear" w:color="auto" w:fill="auto"/>
            <w:vAlign w:val="bottom"/>
          </w:tcPr>
          <w:p w14:paraId="0A3F4FC5" w14:textId="77777777" w:rsidR="00C3482C" w:rsidRPr="00010924" w:rsidRDefault="00C3482C" w:rsidP="00C3482C">
            <w:pPr>
              <w:pStyle w:val="TableFiguresBold0"/>
            </w:pPr>
          </w:p>
        </w:tc>
        <w:tc>
          <w:tcPr>
            <w:tcW w:w="1187" w:type="dxa"/>
            <w:shd w:val="clear" w:color="auto" w:fill="auto"/>
          </w:tcPr>
          <w:p w14:paraId="39E3F8EE" w14:textId="43B7647F" w:rsidR="00C3482C" w:rsidRPr="00010924" w:rsidRDefault="00010924" w:rsidP="007B28BE">
            <w:pPr>
              <w:pStyle w:val="TableFiguresBold0"/>
            </w:pPr>
            <w:r w:rsidRPr="00010924">
              <w:t>–</w:t>
            </w:r>
          </w:p>
        </w:tc>
        <w:tc>
          <w:tcPr>
            <w:tcW w:w="1414" w:type="dxa"/>
            <w:shd w:val="clear" w:color="auto" w:fill="auto"/>
          </w:tcPr>
          <w:p w14:paraId="79D19D6C" w14:textId="2FF53D15" w:rsidR="00C3482C" w:rsidRPr="00010924" w:rsidRDefault="00010924" w:rsidP="002313ED">
            <w:pPr>
              <w:pStyle w:val="TableFiguresBrackets"/>
            </w:pPr>
            <w:r w:rsidRPr="00010924">
              <w:t>(1)</w:t>
            </w:r>
          </w:p>
        </w:tc>
      </w:tr>
      <w:tr w:rsidR="005F6D8A" w:rsidRPr="00010924" w14:paraId="306F45A8" w14:textId="77777777" w:rsidTr="00CA0FDF">
        <w:tc>
          <w:tcPr>
            <w:tcW w:w="6985" w:type="dxa"/>
            <w:tcBorders>
              <w:bottom w:val="single" w:sz="4" w:space="0" w:color="999999"/>
            </w:tcBorders>
            <w:shd w:val="clear" w:color="auto" w:fill="auto"/>
            <w:vAlign w:val="bottom"/>
          </w:tcPr>
          <w:p w14:paraId="506052C4" w14:textId="1487559F" w:rsidR="00C3482C" w:rsidRPr="00010924" w:rsidRDefault="00C3482C" w:rsidP="00C3482C">
            <w:pPr>
              <w:pStyle w:val="Tabletext"/>
            </w:pPr>
            <w:r w:rsidRPr="00010924">
              <w:t>Valuation surplus on other investments</w:t>
            </w:r>
          </w:p>
        </w:tc>
        <w:tc>
          <w:tcPr>
            <w:tcW w:w="1187" w:type="dxa"/>
            <w:tcBorders>
              <w:bottom w:val="single" w:sz="4" w:space="0" w:color="999999"/>
            </w:tcBorders>
            <w:shd w:val="clear" w:color="auto" w:fill="auto"/>
            <w:vAlign w:val="bottom"/>
          </w:tcPr>
          <w:p w14:paraId="1A540418" w14:textId="77777777" w:rsidR="00C3482C" w:rsidRPr="00010924" w:rsidRDefault="00C3482C" w:rsidP="00C3482C">
            <w:pPr>
              <w:pStyle w:val="TableFiguresBracketsBold"/>
            </w:pPr>
          </w:p>
        </w:tc>
        <w:tc>
          <w:tcPr>
            <w:tcW w:w="1187" w:type="dxa"/>
            <w:tcBorders>
              <w:bottom w:val="single" w:sz="4" w:space="0" w:color="999999"/>
            </w:tcBorders>
            <w:shd w:val="clear" w:color="auto" w:fill="auto"/>
          </w:tcPr>
          <w:p w14:paraId="242DCCDC" w14:textId="075E80C8" w:rsidR="00C3482C" w:rsidRPr="00010924" w:rsidRDefault="00010924" w:rsidP="00C3482C">
            <w:pPr>
              <w:pStyle w:val="TableFiguresBold0"/>
            </w:pPr>
            <w:r w:rsidRPr="00010924">
              <w:t>–</w:t>
            </w:r>
          </w:p>
        </w:tc>
        <w:tc>
          <w:tcPr>
            <w:tcW w:w="1414" w:type="dxa"/>
            <w:tcBorders>
              <w:bottom w:val="single" w:sz="4" w:space="0" w:color="999999"/>
            </w:tcBorders>
            <w:shd w:val="clear" w:color="auto" w:fill="auto"/>
          </w:tcPr>
          <w:p w14:paraId="0C18D9FC" w14:textId="285E2AB8" w:rsidR="00C3482C" w:rsidRPr="00010924" w:rsidRDefault="00010924" w:rsidP="00C3482C">
            <w:pPr>
              <w:pStyle w:val="TableFigures"/>
            </w:pPr>
            <w:r w:rsidRPr="00010924">
              <w:t>14</w:t>
            </w:r>
          </w:p>
        </w:tc>
      </w:tr>
      <w:tr w:rsidR="005F6D8A" w:rsidRPr="00010924" w14:paraId="18598784" w14:textId="77777777" w:rsidTr="00CA0FDF">
        <w:tc>
          <w:tcPr>
            <w:tcW w:w="6985" w:type="dxa"/>
            <w:tcBorders>
              <w:top w:val="single" w:sz="4" w:space="0" w:color="999999"/>
              <w:bottom w:val="single" w:sz="4" w:space="0" w:color="999999"/>
            </w:tcBorders>
            <w:shd w:val="clear" w:color="auto" w:fill="auto"/>
            <w:vAlign w:val="bottom"/>
          </w:tcPr>
          <w:p w14:paraId="37CFFED8" w14:textId="77777777" w:rsidR="00C3482C" w:rsidRPr="00010924" w:rsidRDefault="00C3482C" w:rsidP="00C3482C">
            <w:pPr>
              <w:pStyle w:val="TabletextBold"/>
              <w:rPr>
                <w:szCs w:val="20"/>
              </w:rPr>
            </w:pPr>
            <w:r w:rsidRPr="00010924">
              <w:rPr>
                <w:szCs w:val="20"/>
              </w:rPr>
              <w:t xml:space="preserve">Total realised and unrealised property gain </w:t>
            </w:r>
          </w:p>
        </w:tc>
        <w:tc>
          <w:tcPr>
            <w:tcW w:w="1187" w:type="dxa"/>
            <w:tcBorders>
              <w:top w:val="single" w:sz="4" w:space="0" w:color="999999"/>
              <w:bottom w:val="single" w:sz="4" w:space="0" w:color="999999"/>
            </w:tcBorders>
            <w:shd w:val="clear" w:color="auto" w:fill="auto"/>
            <w:vAlign w:val="bottom"/>
          </w:tcPr>
          <w:p w14:paraId="417082E1" w14:textId="6E0452E2" w:rsidR="00C3482C" w:rsidRPr="00010924" w:rsidRDefault="00C3482C" w:rsidP="00C3482C">
            <w:pPr>
              <w:pStyle w:val="TableFiguresBold0"/>
            </w:pPr>
          </w:p>
        </w:tc>
        <w:tc>
          <w:tcPr>
            <w:tcW w:w="1187" w:type="dxa"/>
            <w:tcBorders>
              <w:top w:val="single" w:sz="4" w:space="0" w:color="999999"/>
              <w:bottom w:val="single" w:sz="4" w:space="0" w:color="999999"/>
            </w:tcBorders>
            <w:shd w:val="clear" w:color="auto" w:fill="auto"/>
          </w:tcPr>
          <w:p w14:paraId="1459C67C" w14:textId="470D95E0" w:rsidR="00C3482C" w:rsidRPr="00010924" w:rsidRDefault="00010924" w:rsidP="00C3482C">
            <w:pPr>
              <w:pStyle w:val="TableFiguresBold0"/>
            </w:pPr>
            <w:r w:rsidRPr="00010924">
              <w:t>3,669</w:t>
            </w:r>
          </w:p>
        </w:tc>
        <w:tc>
          <w:tcPr>
            <w:tcW w:w="1414" w:type="dxa"/>
            <w:tcBorders>
              <w:top w:val="single" w:sz="4" w:space="0" w:color="999999"/>
              <w:bottom w:val="single" w:sz="4" w:space="0" w:color="999999"/>
            </w:tcBorders>
            <w:shd w:val="clear" w:color="auto" w:fill="auto"/>
          </w:tcPr>
          <w:p w14:paraId="5320473B" w14:textId="57EEAA84" w:rsidR="00C3482C" w:rsidRPr="00010924" w:rsidRDefault="00010924" w:rsidP="00C3482C">
            <w:pPr>
              <w:pStyle w:val="TableFigures"/>
            </w:pPr>
            <w:r w:rsidRPr="00010924">
              <w:t>989</w:t>
            </w:r>
          </w:p>
        </w:tc>
      </w:tr>
    </w:tbl>
    <w:p w14:paraId="3DB087B4" w14:textId="5DB314DB" w:rsidR="005E793C" w:rsidRPr="00010924" w:rsidRDefault="005E793C" w:rsidP="005E793C">
      <w:pPr>
        <w:pStyle w:val="FootnotesNoSpace"/>
      </w:pPr>
      <w:r w:rsidRPr="00010924">
        <w:rPr>
          <w:highlight w:val="yellow"/>
        </w:rPr>
        <w:br/>
      </w:r>
      <w:r w:rsidRPr="00010924">
        <w:rPr>
          <w:i w:val="0"/>
        </w:rPr>
        <w:t xml:space="preserve">1 </w:t>
      </w:r>
      <w:r w:rsidR="001D7018" w:rsidRPr="00010924">
        <w:t>Includes £</w:t>
      </w:r>
      <w:r w:rsidR="00010924" w:rsidRPr="00010924">
        <w:t xml:space="preserve">3,618 </w:t>
      </w:r>
      <w:r w:rsidR="001D7018" w:rsidRPr="00010924">
        <w:t>million valuation surplus on investment properties (20</w:t>
      </w:r>
      <w:r w:rsidR="00010924" w:rsidRPr="00010924">
        <w:t>20</w:t>
      </w:r>
      <w:r w:rsidR="001D7018" w:rsidRPr="00010924">
        <w:t>: £</w:t>
      </w:r>
      <w:r w:rsidR="00010924" w:rsidRPr="00010924">
        <w:t>972</w:t>
      </w:r>
      <w:r w:rsidR="001D7018" w:rsidRPr="00010924">
        <w:t xml:space="preserve"> million) less £</w:t>
      </w:r>
      <w:r w:rsidR="00010924" w:rsidRPr="00010924">
        <w:t>1</w:t>
      </w:r>
      <w:r w:rsidR="001D7018" w:rsidRPr="00010924">
        <w:t xml:space="preserve"> million valuation loss on head lease ROU asset (20</w:t>
      </w:r>
      <w:r w:rsidR="00010924" w:rsidRPr="00010924">
        <w:t>20</w:t>
      </w:r>
      <w:r w:rsidR="001D7018" w:rsidRPr="00010924">
        <w:t>: £</w:t>
      </w:r>
      <w:r w:rsidR="00010924" w:rsidRPr="00010924">
        <w:t>1</w:t>
      </w:r>
      <w:r w:rsidR="00823C08" w:rsidRPr="00010924">
        <w:t xml:space="preserve"> </w:t>
      </w:r>
      <w:r w:rsidR="00DE4E52" w:rsidRPr="00010924">
        <w:t>million</w:t>
      </w:r>
      <w:r w:rsidR="001D7018" w:rsidRPr="00010924">
        <w:t>).</w:t>
      </w:r>
    </w:p>
    <w:p w14:paraId="375EEBD1" w14:textId="1C80F6AE" w:rsidR="00C3482C" w:rsidRPr="005F6D8A" w:rsidRDefault="00C3482C" w:rsidP="00C3482C">
      <w:pPr>
        <w:pStyle w:val="FootnotesNoSpace"/>
        <w:rPr>
          <w:color w:val="FF0000"/>
        </w:rPr>
      </w:pPr>
    </w:p>
    <w:p w14:paraId="0634B04E" w14:textId="77777777" w:rsidR="00010924" w:rsidRDefault="00010924" w:rsidP="00010924">
      <w:pPr>
        <w:pStyle w:val="Normal1"/>
      </w:pPr>
      <w:r>
        <w:t xml:space="preserve">Total valuation surplus on investment and trading properties total £4,103 million (2020: £1,183 million). This comprises £3,617 million surplus from investment properties (2020: £971 million), £1 million impairment from trading properties (2020: £nil) and £487 million surplus from joint ventures at share (2020: £212 million). </w:t>
      </w:r>
    </w:p>
    <w:p w14:paraId="28F1CC94" w14:textId="3A7C32A6" w:rsidR="00010924" w:rsidRDefault="00010924" w:rsidP="00010924">
      <w:pPr>
        <w:pStyle w:val="Normal1"/>
      </w:pPr>
      <w:r>
        <w:t xml:space="preserve">Details of profit on sale of trading properties are given in </w:t>
      </w:r>
      <w:r w:rsidRPr="007B28BE">
        <w:t>Note 1</w:t>
      </w:r>
      <w:r w:rsidR="00CB1B8E" w:rsidRPr="007B28BE">
        <w:t>2</w:t>
      </w:r>
      <w:r w:rsidRPr="007B28BE">
        <w:t>(ii).</w:t>
      </w:r>
    </w:p>
    <w:p w14:paraId="3852D96F" w14:textId="63C21D7A" w:rsidR="005E793C" w:rsidRPr="002F4806" w:rsidRDefault="005E793C" w:rsidP="005E793C">
      <w:pPr>
        <w:pStyle w:val="Heading2"/>
        <w:rPr>
          <w:rStyle w:val="Heading1Char"/>
          <w:b/>
          <w:caps w:val="0"/>
        </w:rPr>
      </w:pPr>
      <w:r w:rsidRPr="002F4806">
        <w:t>8. NET FINANCE COSTS</w:t>
      </w:r>
    </w:p>
    <w:tbl>
      <w:tblPr>
        <w:tblW w:w="10773" w:type="dxa"/>
        <w:tblLayout w:type="fixed"/>
        <w:tblCellMar>
          <w:left w:w="0" w:type="dxa"/>
          <w:right w:w="0" w:type="dxa"/>
        </w:tblCellMar>
        <w:tblLook w:val="01E0" w:firstRow="1" w:lastRow="1" w:firstColumn="1" w:lastColumn="1" w:noHBand="0" w:noVBand="0"/>
      </w:tblPr>
      <w:tblGrid>
        <w:gridCol w:w="6993"/>
        <w:gridCol w:w="1183"/>
        <w:gridCol w:w="1183"/>
        <w:gridCol w:w="1414"/>
      </w:tblGrid>
      <w:tr w:rsidR="005F6D8A" w:rsidRPr="002F4806" w14:paraId="4AD04B9D" w14:textId="77777777" w:rsidTr="00E30618">
        <w:tc>
          <w:tcPr>
            <w:tcW w:w="6993" w:type="dxa"/>
            <w:tcBorders>
              <w:bottom w:val="single" w:sz="8" w:space="0" w:color="999999"/>
            </w:tcBorders>
            <w:shd w:val="clear" w:color="auto" w:fill="auto"/>
            <w:vAlign w:val="bottom"/>
          </w:tcPr>
          <w:p w14:paraId="5D6C5761" w14:textId="77777777" w:rsidR="005E793C" w:rsidRPr="002F4806" w:rsidRDefault="005E793C" w:rsidP="00E30618">
            <w:pPr>
              <w:pStyle w:val="TabletextBold"/>
            </w:pPr>
            <w:r w:rsidRPr="002F4806">
              <w:t>Finance income</w:t>
            </w:r>
          </w:p>
        </w:tc>
        <w:tc>
          <w:tcPr>
            <w:tcW w:w="1183" w:type="dxa"/>
            <w:tcBorders>
              <w:bottom w:val="single" w:sz="8" w:space="0" w:color="999999"/>
            </w:tcBorders>
            <w:shd w:val="clear" w:color="auto" w:fill="auto"/>
            <w:vAlign w:val="bottom"/>
          </w:tcPr>
          <w:p w14:paraId="20611F33" w14:textId="77777777" w:rsidR="005E793C" w:rsidRPr="002F4806" w:rsidRDefault="005E793C" w:rsidP="00E30618">
            <w:pPr>
              <w:pStyle w:val="TableColHeadsBold0"/>
            </w:pPr>
          </w:p>
        </w:tc>
        <w:tc>
          <w:tcPr>
            <w:tcW w:w="1183" w:type="dxa"/>
            <w:tcBorders>
              <w:bottom w:val="single" w:sz="8" w:space="0" w:color="999999"/>
            </w:tcBorders>
            <w:shd w:val="clear" w:color="auto" w:fill="auto"/>
            <w:vAlign w:val="bottom"/>
          </w:tcPr>
          <w:p w14:paraId="48F69DC6" w14:textId="32D2DE08" w:rsidR="005E793C" w:rsidRPr="002F4806" w:rsidRDefault="005E793C" w:rsidP="00E30618">
            <w:pPr>
              <w:pStyle w:val="TableColHeadsBold0"/>
            </w:pPr>
            <w:r w:rsidRPr="002F4806">
              <w:t>20</w:t>
            </w:r>
            <w:r w:rsidR="00DE4E52" w:rsidRPr="002F4806">
              <w:t>2</w:t>
            </w:r>
            <w:r w:rsidR="002F4806" w:rsidRPr="002F4806">
              <w:t>1</w:t>
            </w:r>
            <w:r w:rsidRPr="002F4806">
              <w:br/>
              <w:t>£m</w:t>
            </w:r>
          </w:p>
        </w:tc>
        <w:tc>
          <w:tcPr>
            <w:tcW w:w="1414" w:type="dxa"/>
            <w:tcBorders>
              <w:bottom w:val="single" w:sz="8" w:space="0" w:color="999999"/>
            </w:tcBorders>
            <w:shd w:val="clear" w:color="auto" w:fill="auto"/>
            <w:vAlign w:val="bottom"/>
          </w:tcPr>
          <w:p w14:paraId="380FA240" w14:textId="5D4D3211" w:rsidR="005E793C" w:rsidRPr="002F4806" w:rsidRDefault="005E793C" w:rsidP="00E30618">
            <w:pPr>
              <w:pStyle w:val="TableColHeadsBold0"/>
              <w:rPr>
                <w:b w:val="0"/>
              </w:rPr>
            </w:pPr>
            <w:r w:rsidRPr="002F4806">
              <w:rPr>
                <w:b w:val="0"/>
              </w:rPr>
              <w:t>20</w:t>
            </w:r>
            <w:r w:rsidR="002F4806" w:rsidRPr="002F4806">
              <w:rPr>
                <w:b w:val="0"/>
              </w:rPr>
              <w:t>20</w:t>
            </w:r>
            <w:r w:rsidRPr="002F4806">
              <w:rPr>
                <w:b w:val="0"/>
              </w:rPr>
              <w:br/>
              <w:t>£m</w:t>
            </w:r>
          </w:p>
        </w:tc>
      </w:tr>
      <w:tr w:rsidR="005F6D8A" w:rsidRPr="00DD1D79" w14:paraId="72C431A4" w14:textId="77777777" w:rsidTr="00E30618">
        <w:tc>
          <w:tcPr>
            <w:tcW w:w="6993" w:type="dxa"/>
            <w:tcBorders>
              <w:top w:val="single" w:sz="8" w:space="0" w:color="999999"/>
            </w:tcBorders>
            <w:shd w:val="clear" w:color="auto" w:fill="auto"/>
            <w:vAlign w:val="bottom"/>
          </w:tcPr>
          <w:p w14:paraId="33F1A220" w14:textId="77777777" w:rsidR="005D6ADA" w:rsidRPr="00DD1D79" w:rsidRDefault="005D6ADA" w:rsidP="005D6ADA">
            <w:pPr>
              <w:pStyle w:val="Tabletext"/>
            </w:pPr>
            <w:r w:rsidRPr="00DD1D79">
              <w:t>Interest received on bank deposits and related derivatives</w:t>
            </w:r>
          </w:p>
        </w:tc>
        <w:tc>
          <w:tcPr>
            <w:tcW w:w="1183" w:type="dxa"/>
            <w:tcBorders>
              <w:top w:val="single" w:sz="8" w:space="0" w:color="999999"/>
            </w:tcBorders>
            <w:shd w:val="clear" w:color="auto" w:fill="auto"/>
            <w:vAlign w:val="bottom"/>
          </w:tcPr>
          <w:p w14:paraId="57E5622A" w14:textId="5445ED92" w:rsidR="005D6ADA" w:rsidRPr="00DD1D79" w:rsidRDefault="005D6ADA" w:rsidP="005D6ADA">
            <w:pPr>
              <w:pStyle w:val="TableFiguresBold0"/>
            </w:pPr>
          </w:p>
        </w:tc>
        <w:tc>
          <w:tcPr>
            <w:tcW w:w="1183" w:type="dxa"/>
            <w:tcBorders>
              <w:top w:val="single" w:sz="8" w:space="0" w:color="999999"/>
            </w:tcBorders>
            <w:shd w:val="clear" w:color="auto" w:fill="auto"/>
            <w:vAlign w:val="bottom"/>
          </w:tcPr>
          <w:p w14:paraId="15F3DC79" w14:textId="404FD001" w:rsidR="005D6ADA" w:rsidRPr="00DD1D79" w:rsidRDefault="002F4806" w:rsidP="00BE37F4">
            <w:pPr>
              <w:pStyle w:val="TableFiguresBold0"/>
            </w:pPr>
            <w:r w:rsidRPr="00DD1D79">
              <w:t>24</w:t>
            </w:r>
          </w:p>
        </w:tc>
        <w:tc>
          <w:tcPr>
            <w:tcW w:w="1414" w:type="dxa"/>
            <w:tcBorders>
              <w:top w:val="single" w:sz="8" w:space="0" w:color="999999"/>
            </w:tcBorders>
            <w:shd w:val="clear" w:color="auto" w:fill="auto"/>
            <w:vAlign w:val="bottom"/>
          </w:tcPr>
          <w:p w14:paraId="475DC10F" w14:textId="45AA00FF" w:rsidR="005D6ADA" w:rsidRPr="00DD1D79" w:rsidRDefault="002F4806" w:rsidP="005D6ADA">
            <w:pPr>
              <w:pStyle w:val="TableFigures"/>
            </w:pPr>
            <w:r w:rsidRPr="00DD1D79">
              <w:t>27</w:t>
            </w:r>
          </w:p>
        </w:tc>
      </w:tr>
      <w:tr w:rsidR="005F6D8A" w:rsidRPr="00DD1D79" w14:paraId="4AAEC534" w14:textId="77777777" w:rsidTr="00E30618">
        <w:tc>
          <w:tcPr>
            <w:tcW w:w="6993" w:type="dxa"/>
            <w:shd w:val="clear" w:color="auto" w:fill="auto"/>
            <w:vAlign w:val="bottom"/>
          </w:tcPr>
          <w:p w14:paraId="6BB14E92" w14:textId="77777777" w:rsidR="005D6ADA" w:rsidRPr="00DD1D79" w:rsidRDefault="005D6ADA" w:rsidP="005D6ADA">
            <w:pPr>
              <w:pStyle w:val="Tabletext"/>
            </w:pPr>
            <w:r w:rsidRPr="00DD1D79">
              <w:t>Fair value gain on interest rate swaps and other derivatives</w:t>
            </w:r>
          </w:p>
        </w:tc>
        <w:tc>
          <w:tcPr>
            <w:tcW w:w="1183" w:type="dxa"/>
            <w:shd w:val="clear" w:color="auto" w:fill="auto"/>
            <w:vAlign w:val="bottom"/>
          </w:tcPr>
          <w:p w14:paraId="0C2029C2" w14:textId="751E9031" w:rsidR="005D6ADA" w:rsidRPr="00DD1D79" w:rsidRDefault="005D6ADA" w:rsidP="005D6ADA">
            <w:pPr>
              <w:pStyle w:val="TableFiguresBold0"/>
            </w:pPr>
          </w:p>
        </w:tc>
        <w:tc>
          <w:tcPr>
            <w:tcW w:w="1183" w:type="dxa"/>
            <w:shd w:val="clear" w:color="auto" w:fill="auto"/>
            <w:vAlign w:val="bottom"/>
          </w:tcPr>
          <w:p w14:paraId="48EEAE8C" w14:textId="50192B11" w:rsidR="005D6ADA" w:rsidRPr="00DD1D79" w:rsidRDefault="002F4806" w:rsidP="00BE37F4">
            <w:pPr>
              <w:pStyle w:val="TableFiguresBold0"/>
            </w:pPr>
            <w:r w:rsidRPr="00DD1D79">
              <w:t>11</w:t>
            </w:r>
          </w:p>
        </w:tc>
        <w:tc>
          <w:tcPr>
            <w:tcW w:w="1414" w:type="dxa"/>
            <w:shd w:val="clear" w:color="auto" w:fill="auto"/>
            <w:vAlign w:val="bottom"/>
          </w:tcPr>
          <w:p w14:paraId="07AB1E1C" w14:textId="217F04CE" w:rsidR="005D6ADA" w:rsidRPr="00DD1D79" w:rsidRDefault="002F4806" w:rsidP="005D6ADA">
            <w:pPr>
              <w:pStyle w:val="TableFigures"/>
            </w:pPr>
            <w:r w:rsidRPr="00DD1D79">
              <w:t>23</w:t>
            </w:r>
          </w:p>
        </w:tc>
      </w:tr>
      <w:tr w:rsidR="005F6D8A" w:rsidRPr="00DD1D79" w14:paraId="5043278E" w14:textId="77777777" w:rsidTr="00E30618">
        <w:tc>
          <w:tcPr>
            <w:tcW w:w="6993" w:type="dxa"/>
            <w:tcBorders>
              <w:top w:val="single" w:sz="4" w:space="0" w:color="999999"/>
              <w:bottom w:val="single" w:sz="8" w:space="0" w:color="999999"/>
            </w:tcBorders>
            <w:shd w:val="clear" w:color="auto" w:fill="auto"/>
            <w:vAlign w:val="bottom"/>
          </w:tcPr>
          <w:p w14:paraId="621E630E" w14:textId="77777777" w:rsidR="005D6ADA" w:rsidRPr="00DD1D79" w:rsidRDefault="005D6ADA" w:rsidP="005D6ADA">
            <w:pPr>
              <w:pStyle w:val="TabletextBold"/>
            </w:pPr>
            <w:r w:rsidRPr="00DD1D79">
              <w:t>Total finance income</w:t>
            </w:r>
          </w:p>
        </w:tc>
        <w:tc>
          <w:tcPr>
            <w:tcW w:w="1183" w:type="dxa"/>
            <w:tcBorders>
              <w:top w:val="single" w:sz="4" w:space="0" w:color="999999"/>
              <w:bottom w:val="single" w:sz="8" w:space="0" w:color="999999"/>
            </w:tcBorders>
            <w:shd w:val="clear" w:color="auto" w:fill="auto"/>
            <w:vAlign w:val="bottom"/>
          </w:tcPr>
          <w:p w14:paraId="42CB0859" w14:textId="77777777" w:rsidR="005D6ADA" w:rsidRPr="00DD1D79" w:rsidRDefault="005D6ADA" w:rsidP="005D6ADA">
            <w:pPr>
              <w:pStyle w:val="TableFiguresBold0"/>
            </w:pPr>
          </w:p>
        </w:tc>
        <w:tc>
          <w:tcPr>
            <w:tcW w:w="1183" w:type="dxa"/>
            <w:tcBorders>
              <w:top w:val="single" w:sz="4" w:space="0" w:color="999999"/>
              <w:bottom w:val="single" w:sz="8" w:space="0" w:color="999999"/>
            </w:tcBorders>
            <w:shd w:val="clear" w:color="auto" w:fill="auto"/>
            <w:vAlign w:val="bottom"/>
          </w:tcPr>
          <w:p w14:paraId="020C0644" w14:textId="0A983F00" w:rsidR="005D6ADA" w:rsidRPr="00DD1D79" w:rsidRDefault="002F4806" w:rsidP="00BE37F4">
            <w:pPr>
              <w:pStyle w:val="TableFiguresBold0"/>
            </w:pPr>
            <w:r w:rsidRPr="00DD1D79">
              <w:t>35</w:t>
            </w:r>
          </w:p>
        </w:tc>
        <w:tc>
          <w:tcPr>
            <w:tcW w:w="1414" w:type="dxa"/>
            <w:tcBorders>
              <w:top w:val="single" w:sz="4" w:space="0" w:color="999999"/>
              <w:bottom w:val="single" w:sz="8" w:space="0" w:color="999999"/>
            </w:tcBorders>
            <w:shd w:val="clear" w:color="auto" w:fill="auto"/>
            <w:vAlign w:val="bottom"/>
          </w:tcPr>
          <w:p w14:paraId="22592091" w14:textId="629CB217" w:rsidR="005D6ADA" w:rsidRPr="00DD1D79" w:rsidRDefault="002F4806" w:rsidP="005D6ADA">
            <w:pPr>
              <w:pStyle w:val="TableFigures"/>
            </w:pPr>
            <w:r w:rsidRPr="00DD1D79">
              <w:t>50</w:t>
            </w:r>
          </w:p>
        </w:tc>
      </w:tr>
      <w:tr w:rsidR="005F6D8A" w:rsidRPr="00DD1D79" w14:paraId="41A392AD" w14:textId="77777777" w:rsidTr="00E30618">
        <w:tc>
          <w:tcPr>
            <w:tcW w:w="6993" w:type="dxa"/>
            <w:tcBorders>
              <w:top w:val="single" w:sz="8" w:space="0" w:color="999999"/>
            </w:tcBorders>
            <w:shd w:val="clear" w:color="auto" w:fill="auto"/>
            <w:vAlign w:val="bottom"/>
          </w:tcPr>
          <w:p w14:paraId="3B514B00" w14:textId="77777777" w:rsidR="005D6ADA" w:rsidRPr="00DD1D79" w:rsidRDefault="005D6ADA" w:rsidP="005D6ADA">
            <w:pPr>
              <w:pStyle w:val="TabletextBold"/>
            </w:pPr>
          </w:p>
        </w:tc>
        <w:tc>
          <w:tcPr>
            <w:tcW w:w="1183" w:type="dxa"/>
            <w:tcBorders>
              <w:top w:val="single" w:sz="8" w:space="0" w:color="999999"/>
            </w:tcBorders>
            <w:shd w:val="clear" w:color="auto" w:fill="auto"/>
            <w:vAlign w:val="bottom"/>
          </w:tcPr>
          <w:p w14:paraId="38B725BA" w14:textId="77777777" w:rsidR="005D6ADA" w:rsidRPr="00DD1D79" w:rsidRDefault="005D6ADA" w:rsidP="005D6ADA">
            <w:pPr>
              <w:pStyle w:val="TableFigures"/>
              <w:rPr>
                <w:b/>
                <w:szCs w:val="20"/>
              </w:rPr>
            </w:pPr>
          </w:p>
        </w:tc>
        <w:tc>
          <w:tcPr>
            <w:tcW w:w="1183" w:type="dxa"/>
            <w:tcBorders>
              <w:top w:val="single" w:sz="8" w:space="0" w:color="999999"/>
            </w:tcBorders>
            <w:shd w:val="clear" w:color="auto" w:fill="auto"/>
            <w:vAlign w:val="bottom"/>
          </w:tcPr>
          <w:p w14:paraId="652F2B88" w14:textId="77777777" w:rsidR="005D6ADA" w:rsidRPr="00DD1D79" w:rsidRDefault="005D6ADA" w:rsidP="005D6ADA">
            <w:pPr>
              <w:pStyle w:val="TableFigures"/>
              <w:rPr>
                <w:szCs w:val="20"/>
              </w:rPr>
            </w:pPr>
          </w:p>
        </w:tc>
        <w:tc>
          <w:tcPr>
            <w:tcW w:w="1414" w:type="dxa"/>
            <w:tcBorders>
              <w:top w:val="single" w:sz="8" w:space="0" w:color="999999"/>
            </w:tcBorders>
            <w:shd w:val="clear" w:color="auto" w:fill="auto"/>
            <w:vAlign w:val="bottom"/>
          </w:tcPr>
          <w:p w14:paraId="5DA5EDE0" w14:textId="77777777" w:rsidR="005D6ADA" w:rsidRPr="00DD1D79" w:rsidRDefault="005D6ADA" w:rsidP="005D6ADA">
            <w:pPr>
              <w:pStyle w:val="TableFigures"/>
              <w:rPr>
                <w:szCs w:val="20"/>
              </w:rPr>
            </w:pPr>
          </w:p>
        </w:tc>
      </w:tr>
      <w:tr w:rsidR="005F6D8A" w:rsidRPr="00DD1D79" w14:paraId="205310BD" w14:textId="77777777" w:rsidTr="00E30618">
        <w:tc>
          <w:tcPr>
            <w:tcW w:w="6993" w:type="dxa"/>
            <w:tcBorders>
              <w:bottom w:val="single" w:sz="4" w:space="0" w:color="999999"/>
            </w:tcBorders>
            <w:shd w:val="clear" w:color="auto" w:fill="auto"/>
            <w:vAlign w:val="bottom"/>
          </w:tcPr>
          <w:p w14:paraId="3B3ECAB1" w14:textId="77777777" w:rsidR="004D2298" w:rsidRPr="00DD1D79" w:rsidRDefault="004D2298" w:rsidP="004D2298">
            <w:pPr>
              <w:pStyle w:val="TabletextBold"/>
            </w:pPr>
            <w:r w:rsidRPr="00DD1D79">
              <w:t>Finance costs</w:t>
            </w:r>
          </w:p>
        </w:tc>
        <w:tc>
          <w:tcPr>
            <w:tcW w:w="1183" w:type="dxa"/>
            <w:tcBorders>
              <w:bottom w:val="single" w:sz="4" w:space="0" w:color="999999"/>
            </w:tcBorders>
            <w:shd w:val="clear" w:color="auto" w:fill="auto"/>
            <w:vAlign w:val="bottom"/>
          </w:tcPr>
          <w:p w14:paraId="72F2CBF4" w14:textId="77777777" w:rsidR="004D2298" w:rsidRPr="00DD1D79" w:rsidRDefault="004D2298" w:rsidP="004D2298">
            <w:pPr>
              <w:pStyle w:val="TableFigures"/>
              <w:rPr>
                <w:b/>
                <w:szCs w:val="20"/>
              </w:rPr>
            </w:pPr>
          </w:p>
        </w:tc>
        <w:tc>
          <w:tcPr>
            <w:tcW w:w="1183" w:type="dxa"/>
            <w:tcBorders>
              <w:bottom w:val="single" w:sz="4" w:space="0" w:color="999999"/>
            </w:tcBorders>
            <w:shd w:val="clear" w:color="auto" w:fill="auto"/>
            <w:vAlign w:val="bottom"/>
          </w:tcPr>
          <w:p w14:paraId="67873FCE" w14:textId="4A3A59FA" w:rsidR="004D2298" w:rsidRPr="00DD1D79" w:rsidRDefault="004D2298" w:rsidP="004D2298">
            <w:pPr>
              <w:pStyle w:val="TableFigures"/>
              <w:rPr>
                <w:b/>
                <w:bCs/>
                <w:szCs w:val="20"/>
              </w:rPr>
            </w:pPr>
            <w:r w:rsidRPr="00DD1D79">
              <w:rPr>
                <w:b/>
                <w:bCs/>
              </w:rPr>
              <w:t>202</w:t>
            </w:r>
            <w:r w:rsidR="002F4806" w:rsidRPr="00DD1D79">
              <w:rPr>
                <w:b/>
                <w:bCs/>
              </w:rPr>
              <w:t>1</w:t>
            </w:r>
            <w:r w:rsidRPr="00DD1D79">
              <w:rPr>
                <w:b/>
                <w:bCs/>
              </w:rPr>
              <w:br/>
              <w:t>£m</w:t>
            </w:r>
          </w:p>
        </w:tc>
        <w:tc>
          <w:tcPr>
            <w:tcW w:w="1414" w:type="dxa"/>
            <w:tcBorders>
              <w:bottom w:val="single" w:sz="4" w:space="0" w:color="999999"/>
            </w:tcBorders>
            <w:shd w:val="clear" w:color="auto" w:fill="auto"/>
            <w:vAlign w:val="bottom"/>
          </w:tcPr>
          <w:p w14:paraId="4AA7BEE4" w14:textId="337F66C7" w:rsidR="004D2298" w:rsidRPr="00DD1D79" w:rsidRDefault="004D2298" w:rsidP="004D2298">
            <w:pPr>
              <w:pStyle w:val="TableFigures"/>
              <w:rPr>
                <w:szCs w:val="20"/>
              </w:rPr>
            </w:pPr>
            <w:r w:rsidRPr="00DD1D79">
              <w:t>20</w:t>
            </w:r>
            <w:r w:rsidR="002F4806" w:rsidRPr="00DD1D79">
              <w:t>20</w:t>
            </w:r>
            <w:r w:rsidRPr="00DD1D79">
              <w:br/>
              <w:t>£m</w:t>
            </w:r>
          </w:p>
        </w:tc>
      </w:tr>
      <w:tr w:rsidR="005F6D8A" w:rsidRPr="00DD1D79" w14:paraId="59A794BC" w14:textId="77777777" w:rsidTr="00CA0FDF">
        <w:tc>
          <w:tcPr>
            <w:tcW w:w="6993" w:type="dxa"/>
            <w:shd w:val="clear" w:color="auto" w:fill="auto"/>
            <w:vAlign w:val="bottom"/>
          </w:tcPr>
          <w:p w14:paraId="2DB5E952" w14:textId="77777777" w:rsidR="004D2298" w:rsidRPr="00DD1D79" w:rsidRDefault="004D2298" w:rsidP="004D2298">
            <w:pPr>
              <w:pStyle w:val="Tabletext"/>
            </w:pPr>
            <w:r w:rsidRPr="00DD1D79">
              <w:t>Interest on overdrafts, loans and related derivatives</w:t>
            </w:r>
          </w:p>
        </w:tc>
        <w:tc>
          <w:tcPr>
            <w:tcW w:w="1183" w:type="dxa"/>
            <w:tcBorders>
              <w:top w:val="single" w:sz="4" w:space="0" w:color="999999"/>
            </w:tcBorders>
            <w:shd w:val="clear" w:color="auto" w:fill="auto"/>
            <w:vAlign w:val="bottom"/>
          </w:tcPr>
          <w:p w14:paraId="36C4AD48" w14:textId="77777777" w:rsidR="004D2298" w:rsidRPr="00DD1D79" w:rsidRDefault="004D2298" w:rsidP="004D2298">
            <w:pPr>
              <w:pStyle w:val="TableFiguresBracketsBold"/>
            </w:pPr>
          </w:p>
        </w:tc>
        <w:tc>
          <w:tcPr>
            <w:tcW w:w="1183" w:type="dxa"/>
            <w:tcBorders>
              <w:top w:val="single" w:sz="4" w:space="0" w:color="999999"/>
            </w:tcBorders>
            <w:shd w:val="clear" w:color="auto" w:fill="auto"/>
          </w:tcPr>
          <w:p w14:paraId="3238695D" w14:textId="2A7D85BB" w:rsidR="004D2298" w:rsidRPr="00DD1D79" w:rsidRDefault="004D2298" w:rsidP="004D2298">
            <w:pPr>
              <w:pStyle w:val="TableFiguresBracketsBold"/>
            </w:pPr>
            <w:r w:rsidRPr="00DD1D79">
              <w:t>(6</w:t>
            </w:r>
            <w:r w:rsidR="002F4806" w:rsidRPr="00DD1D79">
              <w:t>7</w:t>
            </w:r>
            <w:r w:rsidRPr="00DD1D79">
              <w:t>)</w:t>
            </w:r>
          </w:p>
        </w:tc>
        <w:tc>
          <w:tcPr>
            <w:tcW w:w="1414" w:type="dxa"/>
            <w:shd w:val="clear" w:color="auto" w:fill="auto"/>
          </w:tcPr>
          <w:p w14:paraId="392EF631" w14:textId="034DC1C2" w:rsidR="004D2298" w:rsidRPr="00DD1D79" w:rsidRDefault="004D2298" w:rsidP="004D2298">
            <w:pPr>
              <w:pStyle w:val="TableFiguresBrackets"/>
            </w:pPr>
            <w:r w:rsidRPr="00DD1D79">
              <w:t>(</w:t>
            </w:r>
            <w:r w:rsidR="002F4806" w:rsidRPr="00DD1D79">
              <w:t>68</w:t>
            </w:r>
            <w:r w:rsidRPr="00DD1D79">
              <w:t>)</w:t>
            </w:r>
          </w:p>
        </w:tc>
      </w:tr>
      <w:tr w:rsidR="005F6D8A" w:rsidRPr="00DD1D79" w14:paraId="6B9A258B" w14:textId="77777777" w:rsidTr="00CA0FDF">
        <w:tc>
          <w:tcPr>
            <w:tcW w:w="6993" w:type="dxa"/>
            <w:shd w:val="clear" w:color="auto" w:fill="auto"/>
            <w:vAlign w:val="bottom"/>
          </w:tcPr>
          <w:p w14:paraId="0D01CF76" w14:textId="77777777" w:rsidR="004D2298" w:rsidRPr="00DD1D79" w:rsidRDefault="004D2298" w:rsidP="004D2298">
            <w:pPr>
              <w:pStyle w:val="Tabletext"/>
            </w:pPr>
            <w:r w:rsidRPr="00DD1D79">
              <w:t>Cost of early close out of debt</w:t>
            </w:r>
          </w:p>
        </w:tc>
        <w:tc>
          <w:tcPr>
            <w:tcW w:w="1183" w:type="dxa"/>
            <w:shd w:val="clear" w:color="auto" w:fill="auto"/>
            <w:vAlign w:val="bottom"/>
          </w:tcPr>
          <w:p w14:paraId="19808935" w14:textId="77777777" w:rsidR="004D2298" w:rsidRPr="00DD1D79" w:rsidRDefault="004D2298" w:rsidP="004D2298">
            <w:pPr>
              <w:pStyle w:val="TableFiguresBracketsBold"/>
            </w:pPr>
          </w:p>
        </w:tc>
        <w:tc>
          <w:tcPr>
            <w:tcW w:w="1183" w:type="dxa"/>
            <w:shd w:val="clear" w:color="auto" w:fill="auto"/>
          </w:tcPr>
          <w:p w14:paraId="731C7797" w14:textId="295C70E1" w:rsidR="004D2298" w:rsidRPr="00DD1D79" w:rsidRDefault="002F4806" w:rsidP="007B28BE">
            <w:pPr>
              <w:pStyle w:val="TableFiguresBold0"/>
            </w:pPr>
            <w:r w:rsidRPr="00DD1D79">
              <w:t>–</w:t>
            </w:r>
          </w:p>
        </w:tc>
        <w:tc>
          <w:tcPr>
            <w:tcW w:w="1414" w:type="dxa"/>
            <w:shd w:val="clear" w:color="auto" w:fill="auto"/>
          </w:tcPr>
          <w:p w14:paraId="2624C4AF" w14:textId="71A7E105" w:rsidR="004D2298" w:rsidRPr="00DD1D79" w:rsidRDefault="004D2298" w:rsidP="004D2298">
            <w:pPr>
              <w:pStyle w:val="TableFiguresBrackets"/>
            </w:pPr>
            <w:r w:rsidRPr="00DD1D79">
              <w:t>(1</w:t>
            </w:r>
            <w:r w:rsidR="002F4806" w:rsidRPr="00DD1D79">
              <w:t>1</w:t>
            </w:r>
            <w:r w:rsidRPr="00DD1D79">
              <w:t>)</w:t>
            </w:r>
          </w:p>
        </w:tc>
      </w:tr>
      <w:tr w:rsidR="005F6D8A" w:rsidRPr="00DD1D79" w14:paraId="6DB868E7" w14:textId="77777777" w:rsidTr="00CA0FDF">
        <w:tc>
          <w:tcPr>
            <w:tcW w:w="6993" w:type="dxa"/>
            <w:shd w:val="clear" w:color="auto" w:fill="auto"/>
            <w:vAlign w:val="bottom"/>
          </w:tcPr>
          <w:p w14:paraId="139F39A3" w14:textId="77777777" w:rsidR="004D2298" w:rsidRPr="00DD1D79" w:rsidRDefault="004D2298" w:rsidP="004D2298">
            <w:pPr>
              <w:pStyle w:val="Tabletext"/>
            </w:pPr>
            <w:r w:rsidRPr="00DD1D79">
              <w:t>Amortisation of issue costs</w:t>
            </w:r>
          </w:p>
        </w:tc>
        <w:tc>
          <w:tcPr>
            <w:tcW w:w="1183" w:type="dxa"/>
            <w:shd w:val="clear" w:color="auto" w:fill="auto"/>
            <w:vAlign w:val="bottom"/>
          </w:tcPr>
          <w:p w14:paraId="5E72EAAB" w14:textId="77777777" w:rsidR="004D2298" w:rsidRPr="00DD1D79" w:rsidRDefault="004D2298" w:rsidP="004D2298">
            <w:pPr>
              <w:pStyle w:val="TableFiguresBracketsBold"/>
            </w:pPr>
          </w:p>
        </w:tc>
        <w:tc>
          <w:tcPr>
            <w:tcW w:w="1183" w:type="dxa"/>
            <w:shd w:val="clear" w:color="auto" w:fill="auto"/>
          </w:tcPr>
          <w:p w14:paraId="79A194C2" w14:textId="792ECF82" w:rsidR="004D2298" w:rsidRPr="00DD1D79" w:rsidRDefault="004D2298" w:rsidP="004D2298">
            <w:pPr>
              <w:pStyle w:val="TableFiguresBracketsBold"/>
            </w:pPr>
            <w:r w:rsidRPr="00DD1D79">
              <w:t>(</w:t>
            </w:r>
            <w:r w:rsidR="002F4806" w:rsidRPr="00DD1D79">
              <w:t>3</w:t>
            </w:r>
            <w:r w:rsidRPr="00DD1D79">
              <w:t>)</w:t>
            </w:r>
          </w:p>
        </w:tc>
        <w:tc>
          <w:tcPr>
            <w:tcW w:w="1414" w:type="dxa"/>
            <w:shd w:val="clear" w:color="auto" w:fill="auto"/>
          </w:tcPr>
          <w:p w14:paraId="46D4D33B" w14:textId="7D3CE219" w:rsidR="004D2298" w:rsidRPr="00DD1D79" w:rsidRDefault="004D2298" w:rsidP="004D2298">
            <w:pPr>
              <w:pStyle w:val="TableFiguresBrackets"/>
            </w:pPr>
            <w:r w:rsidRPr="00DD1D79">
              <w:t>(</w:t>
            </w:r>
            <w:r w:rsidR="002F4806" w:rsidRPr="00DD1D79">
              <w:t>3</w:t>
            </w:r>
            <w:r w:rsidRPr="00DD1D79">
              <w:t>)</w:t>
            </w:r>
          </w:p>
        </w:tc>
      </w:tr>
      <w:tr w:rsidR="005F6D8A" w:rsidRPr="00DD1D79" w14:paraId="76E804D0" w14:textId="77777777" w:rsidTr="00CA0FDF">
        <w:tc>
          <w:tcPr>
            <w:tcW w:w="6993" w:type="dxa"/>
            <w:tcBorders>
              <w:bottom w:val="single" w:sz="4" w:space="0" w:color="999999"/>
            </w:tcBorders>
            <w:shd w:val="clear" w:color="auto" w:fill="auto"/>
            <w:vAlign w:val="bottom"/>
          </w:tcPr>
          <w:p w14:paraId="526DCEB6" w14:textId="4FD8C8A0" w:rsidR="004D2298" w:rsidRPr="00DD1D79" w:rsidRDefault="004D2298" w:rsidP="004D2298">
            <w:pPr>
              <w:pStyle w:val="Tabletext"/>
            </w:pPr>
            <w:r w:rsidRPr="00DD1D79">
              <w:t>Interest on lease liabilities</w:t>
            </w:r>
          </w:p>
        </w:tc>
        <w:tc>
          <w:tcPr>
            <w:tcW w:w="1183" w:type="dxa"/>
            <w:tcBorders>
              <w:bottom w:val="single" w:sz="4" w:space="0" w:color="999999"/>
            </w:tcBorders>
            <w:shd w:val="clear" w:color="auto" w:fill="auto"/>
            <w:vAlign w:val="bottom"/>
          </w:tcPr>
          <w:p w14:paraId="599FF14F" w14:textId="77777777" w:rsidR="004D2298" w:rsidRPr="00DD1D79" w:rsidRDefault="004D2298" w:rsidP="004D2298">
            <w:pPr>
              <w:pStyle w:val="TableFiguresBracketsBold"/>
            </w:pPr>
          </w:p>
        </w:tc>
        <w:tc>
          <w:tcPr>
            <w:tcW w:w="1183" w:type="dxa"/>
            <w:tcBorders>
              <w:bottom w:val="single" w:sz="4" w:space="0" w:color="999999"/>
            </w:tcBorders>
            <w:shd w:val="clear" w:color="auto" w:fill="auto"/>
          </w:tcPr>
          <w:p w14:paraId="67F951B1" w14:textId="5003D04D" w:rsidR="004D2298" w:rsidRPr="00DD1D79" w:rsidRDefault="004D2298" w:rsidP="004D2298">
            <w:pPr>
              <w:pStyle w:val="TableFiguresBracketsBold"/>
            </w:pPr>
            <w:r w:rsidRPr="00DD1D79">
              <w:t>(3)</w:t>
            </w:r>
          </w:p>
        </w:tc>
        <w:tc>
          <w:tcPr>
            <w:tcW w:w="1414" w:type="dxa"/>
            <w:tcBorders>
              <w:bottom w:val="single" w:sz="4" w:space="0" w:color="999999"/>
            </w:tcBorders>
            <w:shd w:val="clear" w:color="auto" w:fill="auto"/>
          </w:tcPr>
          <w:p w14:paraId="62BFE604" w14:textId="65C3DEAC" w:rsidR="004D2298" w:rsidRPr="00DD1D79" w:rsidRDefault="004D2298" w:rsidP="004D2298">
            <w:pPr>
              <w:pStyle w:val="TableFiguresBrackets"/>
            </w:pPr>
            <w:r w:rsidRPr="00DD1D79">
              <w:t>(3)</w:t>
            </w:r>
          </w:p>
        </w:tc>
      </w:tr>
      <w:tr w:rsidR="005F6D8A" w:rsidRPr="00DD1D79" w14:paraId="6020DAC7" w14:textId="77777777" w:rsidTr="00CA0FDF">
        <w:tc>
          <w:tcPr>
            <w:tcW w:w="6993" w:type="dxa"/>
            <w:tcBorders>
              <w:top w:val="single" w:sz="4" w:space="0" w:color="999999"/>
            </w:tcBorders>
            <w:shd w:val="clear" w:color="auto" w:fill="auto"/>
            <w:vAlign w:val="bottom"/>
          </w:tcPr>
          <w:p w14:paraId="569D6A64" w14:textId="77777777" w:rsidR="004D2298" w:rsidRPr="00DD1D79" w:rsidRDefault="004D2298" w:rsidP="004D2298">
            <w:pPr>
              <w:pStyle w:val="TabletextBold"/>
            </w:pPr>
            <w:r w:rsidRPr="00DD1D79">
              <w:t>Total borrowing costs</w:t>
            </w:r>
          </w:p>
        </w:tc>
        <w:tc>
          <w:tcPr>
            <w:tcW w:w="1183" w:type="dxa"/>
            <w:tcBorders>
              <w:top w:val="single" w:sz="4" w:space="0" w:color="999999"/>
            </w:tcBorders>
            <w:shd w:val="clear" w:color="auto" w:fill="auto"/>
            <w:vAlign w:val="bottom"/>
          </w:tcPr>
          <w:p w14:paraId="70075D8F" w14:textId="77777777" w:rsidR="004D2298" w:rsidRPr="00DD1D79" w:rsidRDefault="004D2298" w:rsidP="004D2298">
            <w:pPr>
              <w:pStyle w:val="TableFiguresBracketsBold"/>
            </w:pPr>
          </w:p>
        </w:tc>
        <w:tc>
          <w:tcPr>
            <w:tcW w:w="1183" w:type="dxa"/>
            <w:tcBorders>
              <w:top w:val="single" w:sz="4" w:space="0" w:color="999999"/>
            </w:tcBorders>
            <w:shd w:val="clear" w:color="auto" w:fill="auto"/>
          </w:tcPr>
          <w:p w14:paraId="659D31FB" w14:textId="47456929" w:rsidR="004D2298" w:rsidRPr="00DD1D79" w:rsidRDefault="004D2298" w:rsidP="004D2298">
            <w:pPr>
              <w:pStyle w:val="TableFiguresBracketsBold"/>
            </w:pPr>
            <w:r w:rsidRPr="00DD1D79">
              <w:t>(</w:t>
            </w:r>
            <w:r w:rsidR="002F4806" w:rsidRPr="00DD1D79">
              <w:t>73</w:t>
            </w:r>
            <w:r w:rsidRPr="00DD1D79">
              <w:t>)</w:t>
            </w:r>
          </w:p>
        </w:tc>
        <w:tc>
          <w:tcPr>
            <w:tcW w:w="1414" w:type="dxa"/>
            <w:tcBorders>
              <w:top w:val="single" w:sz="4" w:space="0" w:color="999999"/>
            </w:tcBorders>
            <w:shd w:val="clear" w:color="auto" w:fill="auto"/>
          </w:tcPr>
          <w:p w14:paraId="5A934DE9" w14:textId="552C3F76" w:rsidR="004D2298" w:rsidRPr="00DD1D79" w:rsidRDefault="004D2298" w:rsidP="004D2298">
            <w:pPr>
              <w:pStyle w:val="TableFiguresBrackets"/>
            </w:pPr>
            <w:r w:rsidRPr="00DD1D79">
              <w:t>(</w:t>
            </w:r>
            <w:r w:rsidR="002F4806" w:rsidRPr="00DD1D79">
              <w:t>85</w:t>
            </w:r>
            <w:r w:rsidRPr="00DD1D79">
              <w:t>)</w:t>
            </w:r>
          </w:p>
        </w:tc>
      </w:tr>
      <w:tr w:rsidR="005F6D8A" w:rsidRPr="00DD1D79" w14:paraId="414AA138" w14:textId="77777777" w:rsidTr="00CA0FDF">
        <w:tc>
          <w:tcPr>
            <w:tcW w:w="6993" w:type="dxa"/>
            <w:tcBorders>
              <w:bottom w:val="single" w:sz="4" w:space="0" w:color="999999"/>
            </w:tcBorders>
            <w:shd w:val="clear" w:color="auto" w:fill="auto"/>
            <w:vAlign w:val="bottom"/>
          </w:tcPr>
          <w:p w14:paraId="6775FD26" w14:textId="77777777" w:rsidR="004D2298" w:rsidRPr="00DD1D79" w:rsidRDefault="004D2298" w:rsidP="004D2298">
            <w:pPr>
              <w:pStyle w:val="Tabletext"/>
            </w:pPr>
            <w:r w:rsidRPr="00DD1D79">
              <w:t>Less amount capitalised on the development of properties</w:t>
            </w:r>
          </w:p>
        </w:tc>
        <w:tc>
          <w:tcPr>
            <w:tcW w:w="1183" w:type="dxa"/>
            <w:tcBorders>
              <w:bottom w:val="single" w:sz="4" w:space="0" w:color="999999"/>
            </w:tcBorders>
            <w:shd w:val="clear" w:color="auto" w:fill="auto"/>
            <w:vAlign w:val="bottom"/>
          </w:tcPr>
          <w:p w14:paraId="347D9A7C" w14:textId="77777777" w:rsidR="004D2298" w:rsidRPr="00DD1D79" w:rsidRDefault="004D2298" w:rsidP="004D2298">
            <w:pPr>
              <w:pStyle w:val="TableFiguresBold0"/>
            </w:pPr>
          </w:p>
        </w:tc>
        <w:tc>
          <w:tcPr>
            <w:tcW w:w="1183" w:type="dxa"/>
            <w:tcBorders>
              <w:bottom w:val="single" w:sz="4" w:space="0" w:color="999999"/>
            </w:tcBorders>
            <w:shd w:val="clear" w:color="auto" w:fill="auto"/>
          </w:tcPr>
          <w:p w14:paraId="519C4E4E" w14:textId="07D55A42" w:rsidR="004D2298" w:rsidRPr="00DD1D79" w:rsidRDefault="002F4806" w:rsidP="004D2298">
            <w:pPr>
              <w:pStyle w:val="TableFiguresBold0"/>
            </w:pPr>
            <w:r w:rsidRPr="00DD1D79">
              <w:t>9</w:t>
            </w:r>
          </w:p>
        </w:tc>
        <w:tc>
          <w:tcPr>
            <w:tcW w:w="1414" w:type="dxa"/>
            <w:tcBorders>
              <w:bottom w:val="single" w:sz="4" w:space="0" w:color="999999"/>
            </w:tcBorders>
            <w:shd w:val="clear" w:color="auto" w:fill="auto"/>
          </w:tcPr>
          <w:p w14:paraId="7474D635" w14:textId="1D92EEBA" w:rsidR="004D2298" w:rsidRPr="00DD1D79" w:rsidRDefault="002F4806" w:rsidP="004D2298">
            <w:pPr>
              <w:pStyle w:val="TableFigures"/>
            </w:pPr>
            <w:r w:rsidRPr="00DD1D79">
              <w:t>7</w:t>
            </w:r>
          </w:p>
        </w:tc>
      </w:tr>
      <w:tr w:rsidR="005F6D8A" w:rsidRPr="00DD1D79" w14:paraId="699B7F77" w14:textId="77777777" w:rsidTr="00CA0FDF">
        <w:tc>
          <w:tcPr>
            <w:tcW w:w="6993" w:type="dxa"/>
            <w:tcBorders>
              <w:top w:val="single" w:sz="4" w:space="0" w:color="999999"/>
            </w:tcBorders>
            <w:shd w:val="clear" w:color="auto" w:fill="auto"/>
            <w:vAlign w:val="bottom"/>
          </w:tcPr>
          <w:p w14:paraId="6717C5D2" w14:textId="77777777" w:rsidR="004D2298" w:rsidRPr="00DD1D79" w:rsidRDefault="004D2298" w:rsidP="004D2298">
            <w:pPr>
              <w:pStyle w:val="TabletextBold"/>
              <w:rPr>
                <w:szCs w:val="20"/>
              </w:rPr>
            </w:pPr>
            <w:r w:rsidRPr="00DD1D79">
              <w:rPr>
                <w:szCs w:val="20"/>
              </w:rPr>
              <w:t>Net borrowing costs</w:t>
            </w:r>
          </w:p>
        </w:tc>
        <w:tc>
          <w:tcPr>
            <w:tcW w:w="1183" w:type="dxa"/>
            <w:tcBorders>
              <w:top w:val="single" w:sz="4" w:space="0" w:color="999999"/>
            </w:tcBorders>
            <w:shd w:val="clear" w:color="auto" w:fill="auto"/>
            <w:vAlign w:val="bottom"/>
          </w:tcPr>
          <w:p w14:paraId="160CF962" w14:textId="77777777" w:rsidR="004D2298" w:rsidRPr="00DD1D79" w:rsidRDefault="004D2298" w:rsidP="004D2298">
            <w:pPr>
              <w:pStyle w:val="TableFiguresBracketsBold"/>
            </w:pPr>
          </w:p>
        </w:tc>
        <w:tc>
          <w:tcPr>
            <w:tcW w:w="1183" w:type="dxa"/>
            <w:tcBorders>
              <w:top w:val="single" w:sz="4" w:space="0" w:color="999999"/>
            </w:tcBorders>
            <w:shd w:val="clear" w:color="auto" w:fill="auto"/>
          </w:tcPr>
          <w:p w14:paraId="0AC7F441" w14:textId="736BAFEC" w:rsidR="004D2298" w:rsidRPr="00DD1D79" w:rsidRDefault="004D2298" w:rsidP="004D2298">
            <w:pPr>
              <w:pStyle w:val="TableFiguresBracketsBold"/>
            </w:pPr>
            <w:r w:rsidRPr="00DD1D79">
              <w:t>(</w:t>
            </w:r>
            <w:r w:rsidR="002F4806" w:rsidRPr="00DD1D79">
              <w:t>64</w:t>
            </w:r>
            <w:r w:rsidRPr="00DD1D79">
              <w:t>)</w:t>
            </w:r>
          </w:p>
        </w:tc>
        <w:tc>
          <w:tcPr>
            <w:tcW w:w="1414" w:type="dxa"/>
            <w:tcBorders>
              <w:top w:val="single" w:sz="4" w:space="0" w:color="999999"/>
            </w:tcBorders>
            <w:shd w:val="clear" w:color="auto" w:fill="auto"/>
          </w:tcPr>
          <w:p w14:paraId="33F21850" w14:textId="458D1850" w:rsidR="004D2298" w:rsidRPr="00DD1D79" w:rsidRDefault="004D2298" w:rsidP="004D2298">
            <w:pPr>
              <w:pStyle w:val="TableFiguresBrackets"/>
            </w:pPr>
            <w:r w:rsidRPr="00DD1D79">
              <w:t>(</w:t>
            </w:r>
            <w:r w:rsidR="002F4806" w:rsidRPr="00DD1D79">
              <w:t>78</w:t>
            </w:r>
            <w:r w:rsidRPr="00DD1D79">
              <w:t>)</w:t>
            </w:r>
          </w:p>
        </w:tc>
      </w:tr>
      <w:tr w:rsidR="005F6D8A" w:rsidRPr="00DD1D79" w14:paraId="650ECDDF" w14:textId="77777777" w:rsidTr="00CA0FDF">
        <w:tc>
          <w:tcPr>
            <w:tcW w:w="6993" w:type="dxa"/>
            <w:shd w:val="clear" w:color="auto" w:fill="auto"/>
            <w:vAlign w:val="bottom"/>
          </w:tcPr>
          <w:p w14:paraId="0D75E03C" w14:textId="77777777" w:rsidR="004D2298" w:rsidRPr="00DD1D79" w:rsidRDefault="004D2298" w:rsidP="004D2298">
            <w:pPr>
              <w:pStyle w:val="Tabletext"/>
              <w:rPr>
                <w:szCs w:val="20"/>
              </w:rPr>
            </w:pPr>
            <w:r w:rsidRPr="00DD1D79">
              <w:rPr>
                <w:szCs w:val="20"/>
              </w:rPr>
              <w:t>Fair value loss on interest rate swaps and other derivatives</w:t>
            </w:r>
          </w:p>
        </w:tc>
        <w:tc>
          <w:tcPr>
            <w:tcW w:w="1183" w:type="dxa"/>
            <w:shd w:val="clear" w:color="auto" w:fill="auto"/>
            <w:vAlign w:val="bottom"/>
          </w:tcPr>
          <w:p w14:paraId="7E2815C4" w14:textId="77777777" w:rsidR="004D2298" w:rsidRPr="00DD1D79" w:rsidRDefault="004D2298" w:rsidP="004D2298">
            <w:pPr>
              <w:pStyle w:val="TableFiguresBracketsBold"/>
            </w:pPr>
          </w:p>
        </w:tc>
        <w:tc>
          <w:tcPr>
            <w:tcW w:w="1183" w:type="dxa"/>
            <w:shd w:val="clear" w:color="auto" w:fill="auto"/>
          </w:tcPr>
          <w:p w14:paraId="62D7F457" w14:textId="1531CFE7" w:rsidR="004D2298" w:rsidRPr="00DD1D79" w:rsidRDefault="004D2298" w:rsidP="004D2298">
            <w:pPr>
              <w:pStyle w:val="TableFiguresBracketsBold"/>
            </w:pPr>
            <w:r w:rsidRPr="00DD1D79">
              <w:t>(9</w:t>
            </w:r>
            <w:r w:rsidR="002F4806" w:rsidRPr="00DD1D79">
              <w:t>3</w:t>
            </w:r>
            <w:r w:rsidRPr="00DD1D79">
              <w:t>)</w:t>
            </w:r>
          </w:p>
        </w:tc>
        <w:tc>
          <w:tcPr>
            <w:tcW w:w="1414" w:type="dxa"/>
            <w:shd w:val="clear" w:color="auto" w:fill="auto"/>
          </w:tcPr>
          <w:p w14:paraId="11C59C6D" w14:textId="0F6921D2" w:rsidR="004D2298" w:rsidRPr="00DD1D79" w:rsidRDefault="004D2298" w:rsidP="004D2298">
            <w:pPr>
              <w:pStyle w:val="TableFiguresBrackets"/>
            </w:pPr>
            <w:r w:rsidRPr="00DD1D79">
              <w:t>(</w:t>
            </w:r>
            <w:r w:rsidR="002F4806" w:rsidRPr="00DD1D79">
              <w:t>9</w:t>
            </w:r>
            <w:r w:rsidRPr="00DD1D79">
              <w:t>)</w:t>
            </w:r>
          </w:p>
        </w:tc>
      </w:tr>
      <w:tr w:rsidR="005F6D8A" w:rsidRPr="00DD1D79" w14:paraId="0D38ADAA" w14:textId="77777777" w:rsidTr="00CA0FDF">
        <w:tc>
          <w:tcPr>
            <w:tcW w:w="6993" w:type="dxa"/>
            <w:tcBorders>
              <w:top w:val="single" w:sz="4" w:space="0" w:color="999999"/>
              <w:bottom w:val="single" w:sz="8" w:space="0" w:color="999999"/>
            </w:tcBorders>
            <w:shd w:val="clear" w:color="auto" w:fill="auto"/>
            <w:vAlign w:val="bottom"/>
          </w:tcPr>
          <w:p w14:paraId="58159A3A" w14:textId="77777777" w:rsidR="004D2298" w:rsidRPr="00DD1D79" w:rsidRDefault="004D2298" w:rsidP="004D2298">
            <w:pPr>
              <w:pStyle w:val="Tabletext"/>
              <w:rPr>
                <w:b/>
                <w:szCs w:val="20"/>
              </w:rPr>
            </w:pPr>
            <w:r w:rsidRPr="00DD1D79">
              <w:rPr>
                <w:b/>
                <w:szCs w:val="20"/>
              </w:rPr>
              <w:t>Total finance costs</w:t>
            </w:r>
          </w:p>
        </w:tc>
        <w:tc>
          <w:tcPr>
            <w:tcW w:w="1183" w:type="dxa"/>
            <w:tcBorders>
              <w:top w:val="single" w:sz="4" w:space="0" w:color="999999"/>
              <w:bottom w:val="single" w:sz="8" w:space="0" w:color="999999"/>
            </w:tcBorders>
            <w:shd w:val="clear" w:color="auto" w:fill="auto"/>
            <w:vAlign w:val="bottom"/>
          </w:tcPr>
          <w:p w14:paraId="4FCA7A83" w14:textId="77777777" w:rsidR="004D2298" w:rsidRPr="00DD1D79" w:rsidRDefault="004D2298" w:rsidP="004D2298">
            <w:pPr>
              <w:pStyle w:val="TableFiguresBracketsBold"/>
            </w:pPr>
          </w:p>
        </w:tc>
        <w:tc>
          <w:tcPr>
            <w:tcW w:w="1183" w:type="dxa"/>
            <w:tcBorders>
              <w:top w:val="single" w:sz="4" w:space="0" w:color="999999"/>
              <w:bottom w:val="single" w:sz="8" w:space="0" w:color="999999"/>
            </w:tcBorders>
            <w:shd w:val="clear" w:color="auto" w:fill="auto"/>
          </w:tcPr>
          <w:p w14:paraId="25CACC75" w14:textId="4E7EC3B2" w:rsidR="004D2298" w:rsidRPr="00DD1D79" w:rsidRDefault="004D2298" w:rsidP="004D2298">
            <w:pPr>
              <w:pStyle w:val="TableFiguresBracketsBold"/>
            </w:pPr>
            <w:r w:rsidRPr="00DD1D79">
              <w:t>(</w:t>
            </w:r>
            <w:r w:rsidR="002F4806" w:rsidRPr="00DD1D79">
              <w:t>157</w:t>
            </w:r>
            <w:r w:rsidRPr="00DD1D79">
              <w:t>)</w:t>
            </w:r>
          </w:p>
        </w:tc>
        <w:tc>
          <w:tcPr>
            <w:tcW w:w="1414" w:type="dxa"/>
            <w:tcBorders>
              <w:top w:val="single" w:sz="4" w:space="0" w:color="999999"/>
              <w:bottom w:val="single" w:sz="8" w:space="0" w:color="999999"/>
            </w:tcBorders>
            <w:shd w:val="clear" w:color="auto" w:fill="auto"/>
          </w:tcPr>
          <w:p w14:paraId="70126850" w14:textId="428ED8F2" w:rsidR="004D2298" w:rsidRPr="00DD1D79" w:rsidRDefault="004D2298" w:rsidP="004D2298">
            <w:pPr>
              <w:pStyle w:val="TableFiguresBrackets"/>
            </w:pPr>
            <w:r w:rsidRPr="00DD1D79">
              <w:t>(</w:t>
            </w:r>
            <w:r w:rsidR="002F4806" w:rsidRPr="00DD1D79">
              <w:t>87</w:t>
            </w:r>
            <w:r w:rsidRPr="00DD1D79">
              <w:t>)</w:t>
            </w:r>
          </w:p>
        </w:tc>
      </w:tr>
      <w:tr w:rsidR="005F6D8A" w:rsidRPr="00DD1D79" w14:paraId="0E2F114E" w14:textId="77777777" w:rsidTr="00E30618">
        <w:tc>
          <w:tcPr>
            <w:tcW w:w="6993" w:type="dxa"/>
            <w:tcBorders>
              <w:top w:val="single" w:sz="8" w:space="0" w:color="999999"/>
              <w:bottom w:val="single" w:sz="8" w:space="0" w:color="999999"/>
            </w:tcBorders>
            <w:shd w:val="clear" w:color="auto" w:fill="auto"/>
            <w:vAlign w:val="bottom"/>
          </w:tcPr>
          <w:p w14:paraId="526B1C1D" w14:textId="77777777" w:rsidR="004D2298" w:rsidRPr="00DD1D79" w:rsidRDefault="004D2298" w:rsidP="004D2298">
            <w:pPr>
              <w:pStyle w:val="Tabletext"/>
              <w:rPr>
                <w:b/>
                <w:bCs/>
                <w:szCs w:val="20"/>
              </w:rPr>
            </w:pPr>
            <w:r w:rsidRPr="00DD1D79">
              <w:rPr>
                <w:b/>
                <w:bCs/>
                <w:szCs w:val="20"/>
              </w:rPr>
              <w:t>Net finance costs</w:t>
            </w:r>
          </w:p>
        </w:tc>
        <w:tc>
          <w:tcPr>
            <w:tcW w:w="1183" w:type="dxa"/>
            <w:tcBorders>
              <w:top w:val="single" w:sz="8" w:space="0" w:color="999999"/>
              <w:bottom w:val="single" w:sz="8" w:space="0" w:color="999999"/>
            </w:tcBorders>
            <w:shd w:val="clear" w:color="auto" w:fill="auto"/>
            <w:vAlign w:val="bottom"/>
          </w:tcPr>
          <w:p w14:paraId="722257B4" w14:textId="77777777" w:rsidR="004D2298" w:rsidRPr="00DD1D79" w:rsidRDefault="004D2298" w:rsidP="004D2298">
            <w:pPr>
              <w:pStyle w:val="TableFiguresBracketsBold"/>
            </w:pPr>
          </w:p>
        </w:tc>
        <w:tc>
          <w:tcPr>
            <w:tcW w:w="1183" w:type="dxa"/>
            <w:tcBorders>
              <w:top w:val="single" w:sz="8" w:space="0" w:color="999999"/>
              <w:bottom w:val="single" w:sz="8" w:space="0" w:color="999999"/>
            </w:tcBorders>
            <w:shd w:val="clear" w:color="auto" w:fill="auto"/>
            <w:vAlign w:val="bottom"/>
          </w:tcPr>
          <w:p w14:paraId="2A8B860F" w14:textId="152316C5" w:rsidR="004D2298" w:rsidRPr="00DD1D79" w:rsidRDefault="004D2298" w:rsidP="004D2298">
            <w:pPr>
              <w:pStyle w:val="TableFiguresBracketsBold"/>
            </w:pPr>
            <w:r w:rsidRPr="00DD1D79">
              <w:t>(</w:t>
            </w:r>
            <w:r w:rsidR="002F4806" w:rsidRPr="00DD1D79">
              <w:t>122</w:t>
            </w:r>
            <w:r w:rsidRPr="00DD1D79">
              <w:t>)</w:t>
            </w:r>
          </w:p>
        </w:tc>
        <w:tc>
          <w:tcPr>
            <w:tcW w:w="1414" w:type="dxa"/>
            <w:tcBorders>
              <w:top w:val="single" w:sz="8" w:space="0" w:color="999999"/>
              <w:bottom w:val="single" w:sz="8" w:space="0" w:color="999999"/>
            </w:tcBorders>
            <w:shd w:val="clear" w:color="auto" w:fill="auto"/>
            <w:vAlign w:val="bottom"/>
          </w:tcPr>
          <w:p w14:paraId="45A2B60E" w14:textId="318758B7" w:rsidR="004D2298" w:rsidRPr="00DD1D79" w:rsidRDefault="004D2298" w:rsidP="004D2298">
            <w:pPr>
              <w:pStyle w:val="TableFiguresBrackets"/>
            </w:pPr>
            <w:r w:rsidRPr="00DD1D79">
              <w:t>(</w:t>
            </w:r>
            <w:r w:rsidR="002F4806" w:rsidRPr="00DD1D79">
              <w:t>37</w:t>
            </w:r>
            <w:r w:rsidRPr="00DD1D79">
              <w:t>)</w:t>
            </w:r>
          </w:p>
        </w:tc>
      </w:tr>
    </w:tbl>
    <w:p w14:paraId="44BDF15B" w14:textId="77777777" w:rsidR="00DD1D79" w:rsidRDefault="00DD1D79" w:rsidP="00DE4E52">
      <w:pPr>
        <w:pStyle w:val="Normal1"/>
      </w:pPr>
    </w:p>
    <w:p w14:paraId="0B96866C" w14:textId="77777777" w:rsidR="00DD1D79" w:rsidRDefault="00DD1D79" w:rsidP="00DE4E52">
      <w:pPr>
        <w:pStyle w:val="Normal1"/>
      </w:pPr>
      <w:r>
        <w:t xml:space="preserve">Net finance costs (including adjustments) in Adjusted profit (Note 2) are £40 million (2020: £40 million). This excludes net fair value gains and losses on interest rate swaps and other derivatives of £82 million loss (2020: £14 million gain) and the cost of early close out of debt of £nil (2020: £11 million). </w:t>
      </w:r>
    </w:p>
    <w:p w14:paraId="61B772D9" w14:textId="68F67DDC" w:rsidR="00DD1D79" w:rsidRDefault="00DD1D79" w:rsidP="007B28BE">
      <w:pPr>
        <w:pStyle w:val="Normal1"/>
        <w:rPr>
          <w:color w:val="FF0000"/>
        </w:rPr>
      </w:pPr>
      <w:r w:rsidRPr="00FD1A13">
        <w:t>The interest capitalisation rates for 2021 ranged from 1.85 per cent to 2.15 per cent (2020: 1.85 per cent to 2.15 per cent). Interest is capitalised gross of tax re</w:t>
      </w:r>
      <w:r w:rsidRPr="00B35182">
        <w:t xml:space="preserve">lief. </w:t>
      </w:r>
    </w:p>
    <w:p w14:paraId="5D3E54C5" w14:textId="3B46F59D" w:rsidR="00CB1B8E" w:rsidRDefault="00CB1B8E" w:rsidP="00CB1B8E"/>
    <w:p w14:paraId="2C495F07" w14:textId="15CF64F7" w:rsidR="00CB1B8E" w:rsidRDefault="00CB1B8E" w:rsidP="00CB1B8E"/>
    <w:p w14:paraId="50610DE7" w14:textId="365F3D45" w:rsidR="00CB1B8E" w:rsidRDefault="00CB1B8E" w:rsidP="00CB1B8E"/>
    <w:p w14:paraId="7EBE5E8C" w14:textId="471806AB" w:rsidR="00CB1B8E" w:rsidRDefault="00CB1B8E" w:rsidP="00CB1B8E"/>
    <w:p w14:paraId="7FC4B6CB" w14:textId="38A5806F" w:rsidR="00CB1B8E" w:rsidRDefault="00CB1B8E" w:rsidP="00CB1B8E"/>
    <w:p w14:paraId="403CF160" w14:textId="7D04BB8D" w:rsidR="00CB1B8E" w:rsidRDefault="00CB1B8E" w:rsidP="00CB1B8E"/>
    <w:p w14:paraId="399BFB98" w14:textId="77777777" w:rsidR="00CB1B8E" w:rsidRDefault="00CB1B8E" w:rsidP="00CB1B8E"/>
    <w:p w14:paraId="32CF1141" w14:textId="4CD5A9B4" w:rsidR="00CB1B8E" w:rsidRDefault="00CB1B8E" w:rsidP="00CB1B8E"/>
    <w:p w14:paraId="3BDC35FB" w14:textId="0A0FC4FD" w:rsidR="00CB1B8E" w:rsidRDefault="00CB1B8E" w:rsidP="00CB1B8E"/>
    <w:p w14:paraId="1A04D97B" w14:textId="300FDB4C" w:rsidR="00CB1B8E" w:rsidRDefault="00CB1B8E" w:rsidP="00CB1B8E"/>
    <w:p w14:paraId="6B5CCDB8" w14:textId="624D0740" w:rsidR="00CB1B8E" w:rsidRDefault="00CB1B8E" w:rsidP="00CB1B8E"/>
    <w:p w14:paraId="401C0262" w14:textId="0D94452B" w:rsidR="00CB1B8E" w:rsidRDefault="00CB1B8E" w:rsidP="00CB1B8E"/>
    <w:p w14:paraId="0C2E34C0" w14:textId="63AA7114" w:rsidR="00CB1B8E" w:rsidRDefault="00CB1B8E" w:rsidP="00CB1B8E"/>
    <w:p w14:paraId="1CC10979" w14:textId="34952E71" w:rsidR="00CB1B8E" w:rsidRDefault="00CB1B8E" w:rsidP="00CB1B8E"/>
    <w:p w14:paraId="5A236377" w14:textId="1AABB1D6" w:rsidR="00CB1B8E" w:rsidRDefault="00CB1B8E" w:rsidP="00CB1B8E"/>
    <w:p w14:paraId="47D21DE8" w14:textId="796A4DF0" w:rsidR="00CB1B8E" w:rsidRDefault="00CB1B8E" w:rsidP="00CB1B8E"/>
    <w:p w14:paraId="7E3CF2EF" w14:textId="77777777" w:rsidR="00B940B6" w:rsidRDefault="00B940B6" w:rsidP="00CB1B8E"/>
    <w:p w14:paraId="2771FAF3" w14:textId="61F7279C" w:rsidR="005E793C" w:rsidRPr="004C456C" w:rsidRDefault="005E793C" w:rsidP="005E793C">
      <w:pPr>
        <w:pStyle w:val="Heading2"/>
      </w:pPr>
      <w:r w:rsidRPr="004C456C">
        <w:lastRenderedPageBreak/>
        <w:t>9. TAX</w:t>
      </w:r>
    </w:p>
    <w:p w14:paraId="5AB5172A" w14:textId="77777777" w:rsidR="005E793C" w:rsidRPr="004C456C" w:rsidRDefault="005E793C" w:rsidP="005E793C">
      <w:pPr>
        <w:pStyle w:val="Heading3"/>
      </w:pPr>
      <w:r w:rsidRPr="004C456C">
        <w:t>9(i) Tax on profit</w:t>
      </w:r>
    </w:p>
    <w:tbl>
      <w:tblPr>
        <w:tblW w:w="10546" w:type="dxa"/>
        <w:tblLayout w:type="fixed"/>
        <w:tblCellMar>
          <w:left w:w="0" w:type="dxa"/>
          <w:right w:w="0" w:type="dxa"/>
        </w:tblCellMar>
        <w:tblLook w:val="01E0" w:firstRow="1" w:lastRow="1" w:firstColumn="1" w:lastColumn="1" w:noHBand="0" w:noVBand="0"/>
      </w:tblPr>
      <w:tblGrid>
        <w:gridCol w:w="6237"/>
        <w:gridCol w:w="1276"/>
        <w:gridCol w:w="1418"/>
        <w:gridCol w:w="1615"/>
      </w:tblGrid>
      <w:tr w:rsidR="005F6D8A" w:rsidRPr="004C456C" w14:paraId="5D81895C" w14:textId="77777777" w:rsidTr="00E30618">
        <w:tc>
          <w:tcPr>
            <w:tcW w:w="6237" w:type="dxa"/>
            <w:tcBorders>
              <w:bottom w:val="single" w:sz="4" w:space="0" w:color="999999"/>
            </w:tcBorders>
            <w:shd w:val="clear" w:color="auto" w:fill="auto"/>
            <w:vAlign w:val="bottom"/>
          </w:tcPr>
          <w:p w14:paraId="70468CC2" w14:textId="77777777" w:rsidR="005E793C" w:rsidRPr="004C456C" w:rsidRDefault="005E793C" w:rsidP="00E30618">
            <w:pPr>
              <w:pStyle w:val="Tabletext"/>
              <w:spacing w:line="160" w:lineRule="atLeast"/>
            </w:pPr>
          </w:p>
        </w:tc>
        <w:tc>
          <w:tcPr>
            <w:tcW w:w="1276" w:type="dxa"/>
            <w:tcBorders>
              <w:bottom w:val="single" w:sz="4" w:space="0" w:color="999999"/>
            </w:tcBorders>
            <w:shd w:val="clear" w:color="auto" w:fill="auto"/>
            <w:vAlign w:val="bottom"/>
          </w:tcPr>
          <w:p w14:paraId="5D92DAE5" w14:textId="77777777" w:rsidR="005E793C" w:rsidRPr="004C456C" w:rsidRDefault="005E793C" w:rsidP="00E30618">
            <w:pPr>
              <w:pStyle w:val="TableColHeadsBold0"/>
            </w:pPr>
          </w:p>
        </w:tc>
        <w:tc>
          <w:tcPr>
            <w:tcW w:w="1418" w:type="dxa"/>
            <w:tcBorders>
              <w:bottom w:val="single" w:sz="4" w:space="0" w:color="999999"/>
            </w:tcBorders>
            <w:shd w:val="clear" w:color="auto" w:fill="auto"/>
            <w:vAlign w:val="bottom"/>
          </w:tcPr>
          <w:p w14:paraId="65E47D19" w14:textId="28DCA9F9" w:rsidR="005E793C" w:rsidRPr="004C456C" w:rsidRDefault="005E793C" w:rsidP="00E30618">
            <w:pPr>
              <w:pStyle w:val="TableColHeadsBold0"/>
            </w:pPr>
            <w:r w:rsidRPr="004C456C">
              <w:t>20</w:t>
            </w:r>
            <w:r w:rsidR="00F624AF" w:rsidRPr="004C456C">
              <w:t>2</w:t>
            </w:r>
            <w:r w:rsidR="004C456C" w:rsidRPr="004C456C">
              <w:t>1</w:t>
            </w:r>
            <w:r w:rsidRPr="004C456C">
              <w:br/>
              <w:t>£m</w:t>
            </w:r>
          </w:p>
        </w:tc>
        <w:tc>
          <w:tcPr>
            <w:tcW w:w="1615" w:type="dxa"/>
            <w:tcBorders>
              <w:bottom w:val="single" w:sz="4" w:space="0" w:color="999999"/>
            </w:tcBorders>
            <w:shd w:val="clear" w:color="auto" w:fill="auto"/>
            <w:vAlign w:val="bottom"/>
          </w:tcPr>
          <w:p w14:paraId="09A0163B" w14:textId="4C43AA7B" w:rsidR="005E793C" w:rsidRPr="004C456C" w:rsidRDefault="005E793C" w:rsidP="00E30618">
            <w:pPr>
              <w:pStyle w:val="TableColHeads"/>
              <w:spacing w:line="160" w:lineRule="atLeast"/>
            </w:pPr>
            <w:r w:rsidRPr="004C456C">
              <w:t>20</w:t>
            </w:r>
            <w:r w:rsidR="004C456C" w:rsidRPr="004C456C">
              <w:t>20</w:t>
            </w:r>
            <w:r w:rsidRPr="004C456C">
              <w:br/>
              <w:t>£m</w:t>
            </w:r>
          </w:p>
        </w:tc>
      </w:tr>
      <w:tr w:rsidR="005F6D8A" w:rsidRPr="004C456C" w14:paraId="78966226" w14:textId="77777777" w:rsidTr="00E30618">
        <w:trPr>
          <w:trHeight w:val="196"/>
        </w:trPr>
        <w:tc>
          <w:tcPr>
            <w:tcW w:w="6237" w:type="dxa"/>
            <w:shd w:val="clear" w:color="auto" w:fill="auto"/>
            <w:vAlign w:val="bottom"/>
          </w:tcPr>
          <w:p w14:paraId="4D7F638A" w14:textId="1F554F6D" w:rsidR="000A64B1" w:rsidRPr="004C456C" w:rsidRDefault="000A64B1" w:rsidP="000A64B1">
            <w:pPr>
              <w:pStyle w:val="TabletextBold"/>
              <w:rPr>
                <w:szCs w:val="20"/>
              </w:rPr>
            </w:pPr>
            <w:r w:rsidRPr="004C456C">
              <w:rPr>
                <w:szCs w:val="20"/>
              </w:rPr>
              <w:t>Tax:</w:t>
            </w:r>
          </w:p>
        </w:tc>
        <w:tc>
          <w:tcPr>
            <w:tcW w:w="1276" w:type="dxa"/>
            <w:shd w:val="clear" w:color="auto" w:fill="auto"/>
            <w:vAlign w:val="bottom"/>
          </w:tcPr>
          <w:p w14:paraId="2B1A8C29" w14:textId="77777777" w:rsidR="000A64B1" w:rsidRPr="004C456C" w:rsidRDefault="000A64B1" w:rsidP="000A64B1">
            <w:pPr>
              <w:pStyle w:val="TableFiguresBold0"/>
              <w:rPr>
                <w:szCs w:val="20"/>
              </w:rPr>
            </w:pPr>
          </w:p>
        </w:tc>
        <w:tc>
          <w:tcPr>
            <w:tcW w:w="1418" w:type="dxa"/>
            <w:shd w:val="clear" w:color="auto" w:fill="auto"/>
            <w:vAlign w:val="bottom"/>
          </w:tcPr>
          <w:p w14:paraId="347FD15E" w14:textId="77777777" w:rsidR="000A64B1" w:rsidRPr="004C456C" w:rsidRDefault="000A64B1" w:rsidP="000A64B1">
            <w:pPr>
              <w:pStyle w:val="TableFigures"/>
              <w:rPr>
                <w:szCs w:val="20"/>
              </w:rPr>
            </w:pPr>
          </w:p>
        </w:tc>
        <w:tc>
          <w:tcPr>
            <w:tcW w:w="1615" w:type="dxa"/>
            <w:shd w:val="clear" w:color="auto" w:fill="auto"/>
            <w:vAlign w:val="bottom"/>
          </w:tcPr>
          <w:p w14:paraId="268FE023" w14:textId="77777777" w:rsidR="000A64B1" w:rsidRPr="004C456C" w:rsidRDefault="000A64B1" w:rsidP="000A64B1">
            <w:pPr>
              <w:pStyle w:val="TableFigures"/>
              <w:rPr>
                <w:szCs w:val="20"/>
              </w:rPr>
            </w:pPr>
          </w:p>
        </w:tc>
      </w:tr>
      <w:tr w:rsidR="005F6D8A" w:rsidRPr="004C456C" w14:paraId="739203A4" w14:textId="77777777" w:rsidTr="00E30618">
        <w:tc>
          <w:tcPr>
            <w:tcW w:w="6237" w:type="dxa"/>
            <w:shd w:val="clear" w:color="auto" w:fill="auto"/>
            <w:vAlign w:val="bottom"/>
          </w:tcPr>
          <w:p w14:paraId="3C4037ED" w14:textId="77777777" w:rsidR="00F624AF" w:rsidRPr="004C456C" w:rsidRDefault="00F624AF" w:rsidP="00F624AF">
            <w:pPr>
              <w:pStyle w:val="Tabletext"/>
              <w:rPr>
                <w:szCs w:val="20"/>
              </w:rPr>
            </w:pPr>
            <w:r w:rsidRPr="004C456C">
              <w:rPr>
                <w:szCs w:val="20"/>
              </w:rPr>
              <w:t>On Adjusted profit</w:t>
            </w:r>
          </w:p>
        </w:tc>
        <w:tc>
          <w:tcPr>
            <w:tcW w:w="1276" w:type="dxa"/>
            <w:shd w:val="clear" w:color="auto" w:fill="auto"/>
            <w:vAlign w:val="bottom"/>
          </w:tcPr>
          <w:p w14:paraId="06AE5D23" w14:textId="77777777" w:rsidR="00F624AF" w:rsidRPr="004C456C" w:rsidRDefault="00F624AF" w:rsidP="00F624AF">
            <w:pPr>
              <w:pStyle w:val="TableFiguresBracketsBold"/>
            </w:pPr>
          </w:p>
        </w:tc>
        <w:tc>
          <w:tcPr>
            <w:tcW w:w="1418" w:type="dxa"/>
            <w:shd w:val="clear" w:color="auto" w:fill="auto"/>
            <w:vAlign w:val="bottom"/>
          </w:tcPr>
          <w:p w14:paraId="6A37B99D" w14:textId="33C90D75" w:rsidR="00F624AF" w:rsidRPr="004C456C" w:rsidRDefault="00F624AF" w:rsidP="00F624AF">
            <w:pPr>
              <w:pStyle w:val="TableFiguresBracketsBold"/>
            </w:pPr>
            <w:r w:rsidRPr="004C456C">
              <w:t>(</w:t>
            </w:r>
            <w:r w:rsidR="004C456C" w:rsidRPr="004C456C">
              <w:t>8</w:t>
            </w:r>
            <w:r w:rsidRPr="004C456C">
              <w:t>)</w:t>
            </w:r>
          </w:p>
        </w:tc>
        <w:tc>
          <w:tcPr>
            <w:tcW w:w="1615" w:type="dxa"/>
            <w:shd w:val="clear" w:color="auto" w:fill="auto"/>
            <w:vAlign w:val="bottom"/>
          </w:tcPr>
          <w:p w14:paraId="76D8BB2F" w14:textId="1D25051D" w:rsidR="00F624AF" w:rsidRPr="004C456C" w:rsidRDefault="00F624AF" w:rsidP="00F624AF">
            <w:pPr>
              <w:pStyle w:val="TableFiguresBrackets"/>
            </w:pPr>
            <w:r w:rsidRPr="004C456C">
              <w:t>(</w:t>
            </w:r>
            <w:r w:rsidR="004C456C" w:rsidRPr="004C456C">
              <w:t>4</w:t>
            </w:r>
            <w:r w:rsidRPr="004C456C">
              <w:t>)</w:t>
            </w:r>
          </w:p>
        </w:tc>
      </w:tr>
      <w:tr w:rsidR="005F6D8A" w:rsidRPr="004C456C" w14:paraId="0FC9C83F" w14:textId="77777777" w:rsidTr="007B28BE">
        <w:tc>
          <w:tcPr>
            <w:tcW w:w="6237" w:type="dxa"/>
            <w:shd w:val="clear" w:color="auto" w:fill="auto"/>
            <w:vAlign w:val="bottom"/>
          </w:tcPr>
          <w:p w14:paraId="43A2974D" w14:textId="77777777" w:rsidR="00F624AF" w:rsidRPr="004C456C" w:rsidRDefault="00F624AF" w:rsidP="00F624AF">
            <w:pPr>
              <w:pStyle w:val="Tabletext"/>
              <w:rPr>
                <w:szCs w:val="20"/>
              </w:rPr>
            </w:pPr>
            <w:r w:rsidRPr="004C456C">
              <w:rPr>
                <w:szCs w:val="20"/>
              </w:rPr>
              <w:t>In respect of adjustments</w:t>
            </w:r>
          </w:p>
        </w:tc>
        <w:tc>
          <w:tcPr>
            <w:tcW w:w="1276" w:type="dxa"/>
            <w:shd w:val="clear" w:color="auto" w:fill="auto"/>
            <w:vAlign w:val="bottom"/>
          </w:tcPr>
          <w:p w14:paraId="4F932E07" w14:textId="77777777" w:rsidR="00F624AF" w:rsidRPr="004C456C" w:rsidRDefault="00F624AF" w:rsidP="00F624AF">
            <w:pPr>
              <w:pStyle w:val="TableFiguresBracketsBold"/>
            </w:pPr>
          </w:p>
        </w:tc>
        <w:tc>
          <w:tcPr>
            <w:tcW w:w="1418" w:type="dxa"/>
            <w:shd w:val="clear" w:color="auto" w:fill="auto"/>
            <w:vAlign w:val="bottom"/>
          </w:tcPr>
          <w:p w14:paraId="5C59A034" w14:textId="79512704" w:rsidR="00F624AF" w:rsidRPr="004C456C" w:rsidRDefault="00F624AF" w:rsidP="00F624AF">
            <w:pPr>
              <w:pStyle w:val="TableFiguresBracketsBold"/>
            </w:pPr>
          </w:p>
        </w:tc>
        <w:tc>
          <w:tcPr>
            <w:tcW w:w="1615" w:type="dxa"/>
            <w:shd w:val="clear" w:color="auto" w:fill="auto"/>
            <w:vAlign w:val="bottom"/>
          </w:tcPr>
          <w:p w14:paraId="7563C6AD" w14:textId="3952CC26" w:rsidR="00F624AF" w:rsidRPr="004C456C" w:rsidRDefault="00F624AF" w:rsidP="00F624AF">
            <w:pPr>
              <w:pStyle w:val="TableFiguresBrackets"/>
            </w:pPr>
          </w:p>
        </w:tc>
      </w:tr>
      <w:tr w:rsidR="004C456C" w:rsidRPr="004C456C" w14:paraId="7F805531" w14:textId="77777777" w:rsidTr="007B28BE">
        <w:tc>
          <w:tcPr>
            <w:tcW w:w="6237" w:type="dxa"/>
            <w:shd w:val="clear" w:color="auto" w:fill="auto"/>
            <w:vAlign w:val="bottom"/>
          </w:tcPr>
          <w:p w14:paraId="63CB2295" w14:textId="13F6D80F" w:rsidR="004C456C" w:rsidRPr="004C456C" w:rsidRDefault="004C456C" w:rsidP="004C456C">
            <w:pPr>
              <w:pStyle w:val="Tabletext"/>
              <w:numPr>
                <w:ilvl w:val="0"/>
                <w:numId w:val="43"/>
              </w:numPr>
              <w:rPr>
                <w:szCs w:val="20"/>
              </w:rPr>
            </w:pPr>
            <w:r w:rsidRPr="004C456C">
              <w:rPr>
                <w:szCs w:val="20"/>
              </w:rPr>
              <w:t>French withholding tax</w:t>
            </w:r>
          </w:p>
        </w:tc>
        <w:tc>
          <w:tcPr>
            <w:tcW w:w="1276" w:type="dxa"/>
            <w:shd w:val="clear" w:color="auto" w:fill="auto"/>
            <w:vAlign w:val="bottom"/>
          </w:tcPr>
          <w:p w14:paraId="02FA8BF1" w14:textId="77777777" w:rsidR="004C456C" w:rsidRPr="004C456C" w:rsidRDefault="004C456C" w:rsidP="00F624AF">
            <w:pPr>
              <w:pStyle w:val="TableFiguresBracketsBold"/>
            </w:pPr>
          </w:p>
        </w:tc>
        <w:tc>
          <w:tcPr>
            <w:tcW w:w="1418" w:type="dxa"/>
            <w:shd w:val="clear" w:color="auto" w:fill="auto"/>
            <w:vAlign w:val="bottom"/>
          </w:tcPr>
          <w:p w14:paraId="60D75FE9" w14:textId="1F0849B6" w:rsidR="004C456C" w:rsidRPr="004C456C" w:rsidRDefault="004C456C" w:rsidP="00F624AF">
            <w:pPr>
              <w:pStyle w:val="TableFiguresBracketsBold"/>
            </w:pPr>
            <w:r w:rsidRPr="004C456C">
              <w:t>(145)</w:t>
            </w:r>
          </w:p>
        </w:tc>
        <w:tc>
          <w:tcPr>
            <w:tcW w:w="1615" w:type="dxa"/>
            <w:shd w:val="clear" w:color="auto" w:fill="auto"/>
            <w:vAlign w:val="bottom"/>
          </w:tcPr>
          <w:p w14:paraId="418752CD" w14:textId="1C0099F2" w:rsidR="004C456C" w:rsidRPr="00FD1A13" w:rsidRDefault="004C456C" w:rsidP="007B28BE">
            <w:pPr>
              <w:pStyle w:val="TableFigures"/>
            </w:pPr>
            <w:r w:rsidRPr="00FD1A13">
              <w:t>–</w:t>
            </w:r>
          </w:p>
        </w:tc>
      </w:tr>
      <w:tr w:rsidR="004C456C" w:rsidRPr="004C456C" w14:paraId="54AFDBE5" w14:textId="77777777" w:rsidTr="007B28BE">
        <w:tc>
          <w:tcPr>
            <w:tcW w:w="6237" w:type="dxa"/>
            <w:shd w:val="clear" w:color="auto" w:fill="auto"/>
            <w:vAlign w:val="bottom"/>
          </w:tcPr>
          <w:p w14:paraId="29A07781" w14:textId="2F33F41E" w:rsidR="004C456C" w:rsidRPr="004C456C" w:rsidRDefault="004C456C" w:rsidP="004C456C">
            <w:pPr>
              <w:pStyle w:val="Tabletext"/>
              <w:numPr>
                <w:ilvl w:val="0"/>
                <w:numId w:val="43"/>
              </w:numPr>
              <w:rPr>
                <w:szCs w:val="20"/>
              </w:rPr>
            </w:pPr>
            <w:r w:rsidRPr="004C456C">
              <w:rPr>
                <w:szCs w:val="20"/>
              </w:rPr>
              <w:t>SIIC entry charge</w:t>
            </w:r>
          </w:p>
        </w:tc>
        <w:tc>
          <w:tcPr>
            <w:tcW w:w="1276" w:type="dxa"/>
            <w:shd w:val="clear" w:color="auto" w:fill="auto"/>
            <w:vAlign w:val="bottom"/>
          </w:tcPr>
          <w:p w14:paraId="0C1563B6" w14:textId="77777777" w:rsidR="004C456C" w:rsidRPr="004C456C" w:rsidRDefault="004C456C" w:rsidP="00F624AF">
            <w:pPr>
              <w:pStyle w:val="TableFiguresBracketsBold"/>
            </w:pPr>
          </w:p>
        </w:tc>
        <w:tc>
          <w:tcPr>
            <w:tcW w:w="1418" w:type="dxa"/>
            <w:shd w:val="clear" w:color="auto" w:fill="auto"/>
            <w:vAlign w:val="bottom"/>
          </w:tcPr>
          <w:p w14:paraId="2B9EFA69" w14:textId="2EA5116A" w:rsidR="004C456C" w:rsidRPr="004C456C" w:rsidRDefault="004C456C" w:rsidP="00F624AF">
            <w:pPr>
              <w:pStyle w:val="TableFiguresBracketsBold"/>
            </w:pPr>
            <w:r w:rsidRPr="004C456C">
              <w:t>(38)</w:t>
            </w:r>
          </w:p>
        </w:tc>
        <w:tc>
          <w:tcPr>
            <w:tcW w:w="1615" w:type="dxa"/>
            <w:shd w:val="clear" w:color="auto" w:fill="auto"/>
            <w:vAlign w:val="bottom"/>
          </w:tcPr>
          <w:p w14:paraId="0CF957F4" w14:textId="0D99D019" w:rsidR="004C456C" w:rsidRPr="004C456C" w:rsidRDefault="004C456C" w:rsidP="007B28BE">
            <w:pPr>
              <w:pStyle w:val="TableFigures"/>
            </w:pPr>
            <w:r w:rsidRPr="004C456C">
              <w:t>–</w:t>
            </w:r>
          </w:p>
        </w:tc>
      </w:tr>
      <w:tr w:rsidR="004C456C" w:rsidRPr="004C456C" w14:paraId="5FDFD932" w14:textId="77777777" w:rsidTr="007B28BE">
        <w:tc>
          <w:tcPr>
            <w:tcW w:w="6237" w:type="dxa"/>
            <w:tcBorders>
              <w:bottom w:val="single" w:sz="4" w:space="0" w:color="999999"/>
            </w:tcBorders>
            <w:shd w:val="clear" w:color="auto" w:fill="auto"/>
            <w:vAlign w:val="bottom"/>
          </w:tcPr>
          <w:p w14:paraId="4C6AA3BF" w14:textId="3F65E830" w:rsidR="004C456C" w:rsidRPr="004C456C" w:rsidRDefault="004C456C" w:rsidP="004C456C">
            <w:pPr>
              <w:pStyle w:val="Tabletext"/>
              <w:numPr>
                <w:ilvl w:val="0"/>
                <w:numId w:val="43"/>
              </w:numPr>
              <w:rPr>
                <w:szCs w:val="20"/>
              </w:rPr>
            </w:pPr>
            <w:r w:rsidRPr="004C456C">
              <w:rPr>
                <w:szCs w:val="20"/>
              </w:rPr>
              <w:t>Other (primarily in respect of property valuation movements)</w:t>
            </w:r>
          </w:p>
        </w:tc>
        <w:tc>
          <w:tcPr>
            <w:tcW w:w="1276" w:type="dxa"/>
            <w:tcBorders>
              <w:bottom w:val="single" w:sz="4" w:space="0" w:color="999999"/>
            </w:tcBorders>
            <w:shd w:val="clear" w:color="auto" w:fill="auto"/>
            <w:vAlign w:val="bottom"/>
          </w:tcPr>
          <w:p w14:paraId="3218BAB8" w14:textId="77777777" w:rsidR="004C456C" w:rsidRPr="004C456C" w:rsidRDefault="004C456C" w:rsidP="00F624AF">
            <w:pPr>
              <w:pStyle w:val="TableFiguresBracketsBold"/>
            </w:pPr>
          </w:p>
        </w:tc>
        <w:tc>
          <w:tcPr>
            <w:tcW w:w="1418" w:type="dxa"/>
            <w:tcBorders>
              <w:bottom w:val="single" w:sz="4" w:space="0" w:color="999999"/>
            </w:tcBorders>
            <w:shd w:val="clear" w:color="auto" w:fill="auto"/>
            <w:vAlign w:val="bottom"/>
          </w:tcPr>
          <w:p w14:paraId="79BFE0A2" w14:textId="675B1CD6" w:rsidR="004C456C" w:rsidRPr="004C456C" w:rsidRDefault="004C456C" w:rsidP="00F624AF">
            <w:pPr>
              <w:pStyle w:val="TableFiguresBracketsBold"/>
            </w:pPr>
            <w:r w:rsidRPr="004C456C">
              <w:t>(97)</w:t>
            </w:r>
          </w:p>
        </w:tc>
        <w:tc>
          <w:tcPr>
            <w:tcW w:w="1615" w:type="dxa"/>
            <w:tcBorders>
              <w:bottom w:val="single" w:sz="4" w:space="0" w:color="999999"/>
            </w:tcBorders>
            <w:shd w:val="clear" w:color="auto" w:fill="auto"/>
            <w:vAlign w:val="bottom"/>
          </w:tcPr>
          <w:p w14:paraId="5119A51B" w14:textId="7B435E64" w:rsidR="004C456C" w:rsidRPr="004C456C" w:rsidRDefault="004C456C" w:rsidP="00F624AF">
            <w:pPr>
              <w:pStyle w:val="TableFiguresBrackets"/>
            </w:pPr>
            <w:r w:rsidRPr="004C456C">
              <w:t>(31)</w:t>
            </w:r>
          </w:p>
        </w:tc>
      </w:tr>
      <w:tr w:rsidR="004C456C" w:rsidRPr="004C456C" w14:paraId="421FAF4C" w14:textId="77777777" w:rsidTr="00E30618">
        <w:tc>
          <w:tcPr>
            <w:tcW w:w="6237" w:type="dxa"/>
            <w:tcBorders>
              <w:bottom w:val="single" w:sz="4" w:space="0" w:color="999999"/>
            </w:tcBorders>
            <w:shd w:val="clear" w:color="auto" w:fill="auto"/>
            <w:vAlign w:val="bottom"/>
          </w:tcPr>
          <w:p w14:paraId="75F366B6" w14:textId="0F863BA1" w:rsidR="004C456C" w:rsidRPr="004C456C" w:rsidRDefault="004C456C" w:rsidP="004C456C">
            <w:pPr>
              <w:pStyle w:val="Tabletext"/>
              <w:rPr>
                <w:b/>
                <w:bCs/>
                <w:szCs w:val="20"/>
              </w:rPr>
            </w:pPr>
            <w:r w:rsidRPr="004C456C">
              <w:rPr>
                <w:b/>
                <w:bCs/>
                <w:szCs w:val="20"/>
              </w:rPr>
              <w:t>Total tax in respect of adjustments</w:t>
            </w:r>
          </w:p>
        </w:tc>
        <w:tc>
          <w:tcPr>
            <w:tcW w:w="1276" w:type="dxa"/>
            <w:tcBorders>
              <w:bottom w:val="single" w:sz="4" w:space="0" w:color="999999"/>
            </w:tcBorders>
            <w:shd w:val="clear" w:color="auto" w:fill="auto"/>
            <w:vAlign w:val="bottom"/>
          </w:tcPr>
          <w:p w14:paraId="15B84423" w14:textId="77777777" w:rsidR="004C456C" w:rsidRPr="004C456C" w:rsidRDefault="004C456C" w:rsidP="00F624AF">
            <w:pPr>
              <w:pStyle w:val="TableFiguresBracketsBold"/>
            </w:pPr>
          </w:p>
        </w:tc>
        <w:tc>
          <w:tcPr>
            <w:tcW w:w="1418" w:type="dxa"/>
            <w:tcBorders>
              <w:bottom w:val="single" w:sz="4" w:space="0" w:color="999999"/>
            </w:tcBorders>
            <w:shd w:val="clear" w:color="auto" w:fill="auto"/>
            <w:vAlign w:val="bottom"/>
          </w:tcPr>
          <w:p w14:paraId="591ABB78" w14:textId="05BEB927" w:rsidR="004C456C" w:rsidRPr="004C456C" w:rsidRDefault="004C456C" w:rsidP="00F624AF">
            <w:pPr>
              <w:pStyle w:val="TableFiguresBracketsBold"/>
            </w:pPr>
            <w:r w:rsidRPr="004C456C">
              <w:t>(280)</w:t>
            </w:r>
          </w:p>
        </w:tc>
        <w:tc>
          <w:tcPr>
            <w:tcW w:w="1615" w:type="dxa"/>
            <w:tcBorders>
              <w:bottom w:val="single" w:sz="4" w:space="0" w:color="999999"/>
            </w:tcBorders>
            <w:shd w:val="clear" w:color="auto" w:fill="auto"/>
            <w:vAlign w:val="bottom"/>
          </w:tcPr>
          <w:p w14:paraId="7196D2BE" w14:textId="246F5117" w:rsidR="004C456C" w:rsidRPr="004C456C" w:rsidRDefault="004C456C" w:rsidP="00F624AF">
            <w:pPr>
              <w:pStyle w:val="TableFiguresBrackets"/>
            </w:pPr>
            <w:r w:rsidRPr="004C456C">
              <w:t>(31)</w:t>
            </w:r>
          </w:p>
        </w:tc>
      </w:tr>
      <w:tr w:rsidR="005F6D8A" w:rsidRPr="004C456C" w14:paraId="6BABB285" w14:textId="77777777" w:rsidTr="00E30618">
        <w:tc>
          <w:tcPr>
            <w:tcW w:w="6237" w:type="dxa"/>
            <w:tcBorders>
              <w:top w:val="single" w:sz="4" w:space="0" w:color="999999"/>
              <w:bottom w:val="single" w:sz="8" w:space="0" w:color="999999"/>
            </w:tcBorders>
            <w:shd w:val="clear" w:color="auto" w:fill="auto"/>
            <w:vAlign w:val="bottom"/>
          </w:tcPr>
          <w:p w14:paraId="4B13D3DB" w14:textId="77777777" w:rsidR="00F624AF" w:rsidRPr="004C456C" w:rsidRDefault="00F624AF" w:rsidP="00F624AF">
            <w:pPr>
              <w:pStyle w:val="TabletextBold"/>
              <w:rPr>
                <w:szCs w:val="20"/>
              </w:rPr>
            </w:pPr>
            <w:r w:rsidRPr="004C456C">
              <w:rPr>
                <w:szCs w:val="20"/>
              </w:rPr>
              <w:t>Total tax charge</w:t>
            </w:r>
          </w:p>
        </w:tc>
        <w:tc>
          <w:tcPr>
            <w:tcW w:w="1276" w:type="dxa"/>
            <w:tcBorders>
              <w:top w:val="single" w:sz="4" w:space="0" w:color="999999"/>
              <w:bottom w:val="single" w:sz="8" w:space="0" w:color="999999"/>
            </w:tcBorders>
            <w:shd w:val="clear" w:color="auto" w:fill="auto"/>
            <w:vAlign w:val="bottom"/>
          </w:tcPr>
          <w:p w14:paraId="52B35086" w14:textId="77777777" w:rsidR="00F624AF" w:rsidRPr="004C456C" w:rsidRDefault="00F624AF" w:rsidP="00F624AF">
            <w:pPr>
              <w:pStyle w:val="TableFiguresBracketsBold"/>
            </w:pPr>
          </w:p>
        </w:tc>
        <w:tc>
          <w:tcPr>
            <w:tcW w:w="1418" w:type="dxa"/>
            <w:tcBorders>
              <w:top w:val="single" w:sz="4" w:space="0" w:color="999999"/>
              <w:bottom w:val="single" w:sz="8" w:space="0" w:color="999999"/>
            </w:tcBorders>
            <w:shd w:val="clear" w:color="auto" w:fill="auto"/>
            <w:vAlign w:val="bottom"/>
          </w:tcPr>
          <w:p w14:paraId="442507F6" w14:textId="62AFBB1C" w:rsidR="00F624AF" w:rsidRPr="004C456C" w:rsidRDefault="00F624AF" w:rsidP="00F624AF">
            <w:pPr>
              <w:pStyle w:val="TableFiguresBracketsBold"/>
            </w:pPr>
            <w:r w:rsidRPr="004C456C">
              <w:t>(</w:t>
            </w:r>
            <w:r w:rsidR="004C456C" w:rsidRPr="004C456C">
              <w:t>288</w:t>
            </w:r>
            <w:r w:rsidRPr="004C456C">
              <w:t>)</w:t>
            </w:r>
          </w:p>
        </w:tc>
        <w:tc>
          <w:tcPr>
            <w:tcW w:w="1615" w:type="dxa"/>
            <w:tcBorders>
              <w:top w:val="single" w:sz="4" w:space="0" w:color="999999"/>
              <w:bottom w:val="single" w:sz="8" w:space="0" w:color="999999"/>
            </w:tcBorders>
            <w:shd w:val="clear" w:color="auto" w:fill="auto"/>
            <w:vAlign w:val="bottom"/>
          </w:tcPr>
          <w:p w14:paraId="5BAF35B1" w14:textId="424D668A" w:rsidR="00F624AF" w:rsidRPr="004C456C" w:rsidRDefault="00F624AF" w:rsidP="00F624AF">
            <w:pPr>
              <w:pStyle w:val="TableFiguresBrackets"/>
            </w:pPr>
            <w:r w:rsidRPr="004C456C">
              <w:t>(</w:t>
            </w:r>
            <w:r w:rsidR="004C456C" w:rsidRPr="004C456C">
              <w:t>35</w:t>
            </w:r>
            <w:r w:rsidRPr="004C456C">
              <w:t>)</w:t>
            </w:r>
          </w:p>
        </w:tc>
      </w:tr>
      <w:tr w:rsidR="005F6D8A" w:rsidRPr="004C456C" w14:paraId="635995C6" w14:textId="77777777" w:rsidTr="00E30618">
        <w:tc>
          <w:tcPr>
            <w:tcW w:w="6237" w:type="dxa"/>
            <w:tcBorders>
              <w:top w:val="single" w:sz="8" w:space="0" w:color="999999"/>
            </w:tcBorders>
            <w:shd w:val="clear" w:color="auto" w:fill="auto"/>
            <w:vAlign w:val="bottom"/>
          </w:tcPr>
          <w:p w14:paraId="34EC95BF" w14:textId="77777777" w:rsidR="00F624AF" w:rsidRPr="004C456C" w:rsidRDefault="00F624AF" w:rsidP="00F624AF">
            <w:pPr>
              <w:pStyle w:val="Tabletext"/>
              <w:rPr>
                <w:szCs w:val="20"/>
              </w:rPr>
            </w:pPr>
          </w:p>
        </w:tc>
        <w:tc>
          <w:tcPr>
            <w:tcW w:w="1276" w:type="dxa"/>
            <w:tcBorders>
              <w:top w:val="single" w:sz="8" w:space="0" w:color="999999"/>
            </w:tcBorders>
            <w:shd w:val="clear" w:color="auto" w:fill="auto"/>
            <w:vAlign w:val="bottom"/>
          </w:tcPr>
          <w:p w14:paraId="73399CEC" w14:textId="77777777" w:rsidR="00F624AF" w:rsidRPr="004C456C" w:rsidRDefault="00F624AF" w:rsidP="00F624AF">
            <w:pPr>
              <w:pStyle w:val="TableFiguresBracketsBold"/>
            </w:pPr>
          </w:p>
        </w:tc>
        <w:tc>
          <w:tcPr>
            <w:tcW w:w="1418" w:type="dxa"/>
            <w:tcBorders>
              <w:top w:val="single" w:sz="8" w:space="0" w:color="999999"/>
            </w:tcBorders>
            <w:shd w:val="clear" w:color="auto" w:fill="auto"/>
            <w:vAlign w:val="bottom"/>
          </w:tcPr>
          <w:p w14:paraId="0445F017" w14:textId="77777777" w:rsidR="00F624AF" w:rsidRPr="004C456C" w:rsidRDefault="00F624AF" w:rsidP="00F624AF">
            <w:pPr>
              <w:pStyle w:val="TableFiguresBracketsBold"/>
              <w:rPr>
                <w:b w:val="0"/>
              </w:rPr>
            </w:pPr>
          </w:p>
        </w:tc>
        <w:tc>
          <w:tcPr>
            <w:tcW w:w="1615" w:type="dxa"/>
            <w:tcBorders>
              <w:top w:val="single" w:sz="8" w:space="0" w:color="999999"/>
            </w:tcBorders>
            <w:shd w:val="clear" w:color="auto" w:fill="auto"/>
            <w:vAlign w:val="bottom"/>
          </w:tcPr>
          <w:p w14:paraId="0A185AA1" w14:textId="77777777" w:rsidR="00F624AF" w:rsidRPr="004C456C" w:rsidRDefault="00F624AF" w:rsidP="00F624AF">
            <w:pPr>
              <w:pStyle w:val="TableFiguresBrackets"/>
            </w:pPr>
          </w:p>
        </w:tc>
      </w:tr>
      <w:tr w:rsidR="005F6D8A" w:rsidRPr="004C456C" w14:paraId="40F33ADF" w14:textId="77777777" w:rsidTr="00004353">
        <w:tc>
          <w:tcPr>
            <w:tcW w:w="6237" w:type="dxa"/>
            <w:shd w:val="clear" w:color="auto" w:fill="auto"/>
            <w:vAlign w:val="bottom"/>
          </w:tcPr>
          <w:p w14:paraId="3E08EF8D" w14:textId="77777777" w:rsidR="00F624AF" w:rsidRPr="004C456C" w:rsidRDefault="00F624AF" w:rsidP="00F624AF">
            <w:pPr>
              <w:pStyle w:val="TabletextBold"/>
              <w:rPr>
                <w:szCs w:val="20"/>
              </w:rPr>
            </w:pPr>
            <w:r w:rsidRPr="004C456C">
              <w:rPr>
                <w:szCs w:val="20"/>
              </w:rPr>
              <w:t>Current tax</w:t>
            </w:r>
          </w:p>
        </w:tc>
        <w:tc>
          <w:tcPr>
            <w:tcW w:w="1276" w:type="dxa"/>
            <w:shd w:val="clear" w:color="auto" w:fill="auto"/>
            <w:vAlign w:val="bottom"/>
          </w:tcPr>
          <w:p w14:paraId="77DAC597" w14:textId="77777777" w:rsidR="00F624AF" w:rsidRPr="004C456C" w:rsidRDefault="00F624AF" w:rsidP="00F624AF">
            <w:pPr>
              <w:pStyle w:val="TableFiguresBracketsBold"/>
            </w:pPr>
          </w:p>
        </w:tc>
        <w:tc>
          <w:tcPr>
            <w:tcW w:w="1418" w:type="dxa"/>
            <w:shd w:val="clear" w:color="auto" w:fill="auto"/>
            <w:vAlign w:val="bottom"/>
          </w:tcPr>
          <w:p w14:paraId="1EDB3C1A" w14:textId="77777777" w:rsidR="00F624AF" w:rsidRPr="004C456C" w:rsidRDefault="00F624AF" w:rsidP="00F624AF">
            <w:pPr>
              <w:pStyle w:val="TableFiguresBracketsBold"/>
              <w:rPr>
                <w:b w:val="0"/>
              </w:rPr>
            </w:pPr>
          </w:p>
        </w:tc>
        <w:tc>
          <w:tcPr>
            <w:tcW w:w="1615" w:type="dxa"/>
            <w:shd w:val="clear" w:color="auto" w:fill="auto"/>
            <w:vAlign w:val="bottom"/>
          </w:tcPr>
          <w:p w14:paraId="5B9D69DD" w14:textId="77777777" w:rsidR="00F624AF" w:rsidRPr="004C456C" w:rsidRDefault="00F624AF" w:rsidP="00F624AF">
            <w:pPr>
              <w:pStyle w:val="TableFiguresBrackets"/>
            </w:pPr>
          </w:p>
        </w:tc>
      </w:tr>
      <w:tr w:rsidR="005F6D8A" w:rsidRPr="004C456C" w14:paraId="3A272D7D" w14:textId="77777777" w:rsidTr="003E2CC0">
        <w:tc>
          <w:tcPr>
            <w:tcW w:w="6237" w:type="dxa"/>
            <w:shd w:val="clear" w:color="auto" w:fill="auto"/>
            <w:vAlign w:val="bottom"/>
          </w:tcPr>
          <w:p w14:paraId="4E2652F4" w14:textId="67D822AD" w:rsidR="00F624AF" w:rsidRPr="004C456C" w:rsidRDefault="00F624AF" w:rsidP="00F624AF">
            <w:pPr>
              <w:pStyle w:val="TabletextBold"/>
              <w:rPr>
                <w:szCs w:val="20"/>
              </w:rPr>
            </w:pPr>
            <w:r w:rsidRPr="004C456C">
              <w:rPr>
                <w:szCs w:val="20"/>
              </w:rPr>
              <w:t>United Kingdom</w:t>
            </w:r>
          </w:p>
        </w:tc>
        <w:tc>
          <w:tcPr>
            <w:tcW w:w="1276" w:type="dxa"/>
            <w:shd w:val="clear" w:color="auto" w:fill="auto"/>
            <w:vAlign w:val="bottom"/>
          </w:tcPr>
          <w:p w14:paraId="2F494198" w14:textId="77777777" w:rsidR="00F624AF" w:rsidRPr="004C456C" w:rsidRDefault="00F624AF" w:rsidP="00F624AF">
            <w:pPr>
              <w:pStyle w:val="TableFiguresBracketsBold"/>
            </w:pPr>
          </w:p>
        </w:tc>
        <w:tc>
          <w:tcPr>
            <w:tcW w:w="1418" w:type="dxa"/>
            <w:shd w:val="clear" w:color="auto" w:fill="auto"/>
            <w:vAlign w:val="bottom"/>
          </w:tcPr>
          <w:p w14:paraId="28662DBA" w14:textId="77777777" w:rsidR="00F624AF" w:rsidRPr="004C456C" w:rsidRDefault="00F624AF" w:rsidP="00F624AF">
            <w:pPr>
              <w:pStyle w:val="TableFiguresBrackets"/>
            </w:pPr>
          </w:p>
        </w:tc>
        <w:tc>
          <w:tcPr>
            <w:tcW w:w="1615" w:type="dxa"/>
            <w:shd w:val="clear" w:color="auto" w:fill="auto"/>
            <w:vAlign w:val="bottom"/>
          </w:tcPr>
          <w:p w14:paraId="72F4F350" w14:textId="77777777" w:rsidR="00F624AF" w:rsidRPr="004C456C" w:rsidRDefault="00F624AF" w:rsidP="00F624AF">
            <w:pPr>
              <w:pStyle w:val="TableFiguresBrackets"/>
            </w:pPr>
          </w:p>
        </w:tc>
      </w:tr>
      <w:tr w:rsidR="005F6D8A" w:rsidRPr="003677B6" w14:paraId="41417BC5" w14:textId="77777777" w:rsidTr="003E2CC0">
        <w:tc>
          <w:tcPr>
            <w:tcW w:w="6237" w:type="dxa"/>
            <w:tcBorders>
              <w:bottom w:val="single" w:sz="4" w:space="0" w:color="A6A6A6" w:themeColor="background1" w:themeShade="A6"/>
            </w:tcBorders>
            <w:shd w:val="clear" w:color="auto" w:fill="auto"/>
            <w:vAlign w:val="bottom"/>
          </w:tcPr>
          <w:p w14:paraId="0C08DDC5" w14:textId="1EA67FE1" w:rsidR="00F624AF" w:rsidRPr="003677B6" w:rsidRDefault="00F624AF" w:rsidP="00F624AF">
            <w:pPr>
              <w:pStyle w:val="Tabletext"/>
            </w:pPr>
            <w:r w:rsidRPr="003677B6">
              <w:t>Current tax credit</w:t>
            </w:r>
          </w:p>
        </w:tc>
        <w:tc>
          <w:tcPr>
            <w:tcW w:w="1276" w:type="dxa"/>
            <w:tcBorders>
              <w:bottom w:val="single" w:sz="4" w:space="0" w:color="A6A6A6" w:themeColor="background1" w:themeShade="A6"/>
            </w:tcBorders>
            <w:shd w:val="clear" w:color="auto" w:fill="auto"/>
            <w:vAlign w:val="bottom"/>
          </w:tcPr>
          <w:p w14:paraId="4B307B60" w14:textId="77777777" w:rsidR="00F624AF" w:rsidRPr="003677B6" w:rsidRDefault="00F624AF" w:rsidP="00F624AF">
            <w:pPr>
              <w:pStyle w:val="TableFiguresBracketsBold"/>
            </w:pPr>
          </w:p>
        </w:tc>
        <w:tc>
          <w:tcPr>
            <w:tcW w:w="1418" w:type="dxa"/>
            <w:tcBorders>
              <w:bottom w:val="single" w:sz="4" w:space="0" w:color="A6A6A6" w:themeColor="background1" w:themeShade="A6"/>
            </w:tcBorders>
            <w:shd w:val="clear" w:color="auto" w:fill="auto"/>
            <w:vAlign w:val="bottom"/>
          </w:tcPr>
          <w:p w14:paraId="1DF9DD2E" w14:textId="5C0CFF6C" w:rsidR="00F624AF" w:rsidRPr="003677B6" w:rsidRDefault="003677B6" w:rsidP="00F624AF">
            <w:pPr>
              <w:pStyle w:val="TableFiguresBold0"/>
            </w:pPr>
            <w:r w:rsidRPr="003677B6">
              <w:t>4</w:t>
            </w:r>
          </w:p>
        </w:tc>
        <w:tc>
          <w:tcPr>
            <w:tcW w:w="1615" w:type="dxa"/>
            <w:tcBorders>
              <w:bottom w:val="single" w:sz="4" w:space="0" w:color="A6A6A6" w:themeColor="background1" w:themeShade="A6"/>
            </w:tcBorders>
            <w:shd w:val="clear" w:color="auto" w:fill="auto"/>
            <w:vAlign w:val="bottom"/>
          </w:tcPr>
          <w:p w14:paraId="15A6F63F" w14:textId="6343C841" w:rsidR="00F624AF" w:rsidRPr="003677B6" w:rsidRDefault="003677B6" w:rsidP="00F624AF">
            <w:pPr>
              <w:pStyle w:val="TableFigures"/>
            </w:pPr>
            <w:r w:rsidRPr="003677B6">
              <w:t>1</w:t>
            </w:r>
          </w:p>
        </w:tc>
      </w:tr>
      <w:tr w:rsidR="005F6D8A" w:rsidRPr="003677B6" w14:paraId="06C98416" w14:textId="77777777" w:rsidTr="003E2CC0">
        <w:tc>
          <w:tcPr>
            <w:tcW w:w="6237" w:type="dxa"/>
            <w:tcBorders>
              <w:top w:val="single" w:sz="4" w:space="0" w:color="A6A6A6" w:themeColor="background1" w:themeShade="A6"/>
            </w:tcBorders>
            <w:shd w:val="clear" w:color="auto" w:fill="auto"/>
            <w:vAlign w:val="bottom"/>
          </w:tcPr>
          <w:p w14:paraId="7ED3AB1C" w14:textId="0A46DF40" w:rsidR="00F624AF" w:rsidRPr="003677B6" w:rsidRDefault="00F624AF" w:rsidP="00F624AF">
            <w:pPr>
              <w:pStyle w:val="TabletextBold"/>
              <w:rPr>
                <w:szCs w:val="20"/>
              </w:rPr>
            </w:pPr>
            <w:r w:rsidRPr="003677B6">
              <w:rPr>
                <w:szCs w:val="20"/>
              </w:rPr>
              <w:t>Total UK current tax credit</w:t>
            </w:r>
          </w:p>
        </w:tc>
        <w:tc>
          <w:tcPr>
            <w:tcW w:w="1276" w:type="dxa"/>
            <w:tcBorders>
              <w:top w:val="single" w:sz="4" w:space="0" w:color="A6A6A6" w:themeColor="background1" w:themeShade="A6"/>
            </w:tcBorders>
            <w:shd w:val="clear" w:color="auto" w:fill="auto"/>
            <w:vAlign w:val="bottom"/>
          </w:tcPr>
          <w:p w14:paraId="19585DBD" w14:textId="77777777" w:rsidR="00F624AF" w:rsidRPr="003677B6" w:rsidRDefault="00F624AF" w:rsidP="00F624AF">
            <w:pPr>
              <w:pStyle w:val="TableFiguresBracketsBold"/>
            </w:pPr>
          </w:p>
        </w:tc>
        <w:tc>
          <w:tcPr>
            <w:tcW w:w="1418" w:type="dxa"/>
            <w:tcBorders>
              <w:top w:val="single" w:sz="4" w:space="0" w:color="A6A6A6" w:themeColor="background1" w:themeShade="A6"/>
            </w:tcBorders>
            <w:shd w:val="clear" w:color="auto" w:fill="auto"/>
            <w:vAlign w:val="bottom"/>
          </w:tcPr>
          <w:p w14:paraId="6E10EC35" w14:textId="25612105" w:rsidR="00F624AF" w:rsidRPr="003677B6" w:rsidRDefault="003677B6" w:rsidP="00F624AF">
            <w:pPr>
              <w:pStyle w:val="TableFiguresBold0"/>
            </w:pPr>
            <w:r w:rsidRPr="003677B6">
              <w:t>4</w:t>
            </w:r>
          </w:p>
        </w:tc>
        <w:tc>
          <w:tcPr>
            <w:tcW w:w="1615" w:type="dxa"/>
            <w:tcBorders>
              <w:top w:val="single" w:sz="4" w:space="0" w:color="A6A6A6" w:themeColor="background1" w:themeShade="A6"/>
            </w:tcBorders>
            <w:shd w:val="clear" w:color="auto" w:fill="auto"/>
            <w:vAlign w:val="bottom"/>
          </w:tcPr>
          <w:p w14:paraId="1A429136" w14:textId="1C001B2C" w:rsidR="00F624AF" w:rsidRPr="003677B6" w:rsidRDefault="003677B6" w:rsidP="00F624AF">
            <w:pPr>
              <w:pStyle w:val="TableFigures"/>
            </w:pPr>
            <w:r w:rsidRPr="003677B6">
              <w:t>1</w:t>
            </w:r>
          </w:p>
        </w:tc>
      </w:tr>
      <w:tr w:rsidR="005F6D8A" w:rsidRPr="003677B6" w14:paraId="0091FE26" w14:textId="77777777" w:rsidTr="00E30618">
        <w:tc>
          <w:tcPr>
            <w:tcW w:w="6237" w:type="dxa"/>
            <w:shd w:val="clear" w:color="auto" w:fill="auto"/>
            <w:vAlign w:val="bottom"/>
          </w:tcPr>
          <w:p w14:paraId="7BDCEDB2" w14:textId="77777777" w:rsidR="00F624AF" w:rsidRPr="003677B6" w:rsidRDefault="00F624AF" w:rsidP="00F624AF">
            <w:pPr>
              <w:pStyle w:val="TabletextBold"/>
              <w:rPr>
                <w:szCs w:val="20"/>
              </w:rPr>
            </w:pPr>
            <w:r w:rsidRPr="003677B6">
              <w:rPr>
                <w:szCs w:val="20"/>
              </w:rPr>
              <w:t>Overseas</w:t>
            </w:r>
          </w:p>
        </w:tc>
        <w:tc>
          <w:tcPr>
            <w:tcW w:w="1276" w:type="dxa"/>
            <w:shd w:val="clear" w:color="auto" w:fill="auto"/>
            <w:vAlign w:val="bottom"/>
          </w:tcPr>
          <w:p w14:paraId="6597BE39" w14:textId="77777777" w:rsidR="00F624AF" w:rsidRPr="003677B6" w:rsidRDefault="00F624AF" w:rsidP="00F624AF">
            <w:pPr>
              <w:pStyle w:val="TableFiguresBracketsBold"/>
            </w:pPr>
          </w:p>
        </w:tc>
        <w:tc>
          <w:tcPr>
            <w:tcW w:w="1418" w:type="dxa"/>
            <w:shd w:val="clear" w:color="auto" w:fill="auto"/>
            <w:vAlign w:val="bottom"/>
          </w:tcPr>
          <w:p w14:paraId="09697497" w14:textId="77777777" w:rsidR="00F624AF" w:rsidRPr="003677B6" w:rsidRDefault="00F624AF" w:rsidP="00F624AF">
            <w:pPr>
              <w:pStyle w:val="TableFiguresBrackets"/>
            </w:pPr>
          </w:p>
        </w:tc>
        <w:tc>
          <w:tcPr>
            <w:tcW w:w="1615" w:type="dxa"/>
            <w:shd w:val="clear" w:color="auto" w:fill="auto"/>
            <w:vAlign w:val="bottom"/>
          </w:tcPr>
          <w:p w14:paraId="2DAA7D34" w14:textId="77777777" w:rsidR="00F624AF" w:rsidRPr="003677B6" w:rsidRDefault="00F624AF" w:rsidP="00F624AF">
            <w:pPr>
              <w:pStyle w:val="TableFiguresBrackets"/>
            </w:pPr>
          </w:p>
        </w:tc>
      </w:tr>
      <w:tr w:rsidR="005F6D8A" w:rsidRPr="003677B6" w14:paraId="684DBFA3" w14:textId="77777777" w:rsidTr="00E30618">
        <w:tc>
          <w:tcPr>
            <w:tcW w:w="6237" w:type="dxa"/>
            <w:shd w:val="clear" w:color="auto" w:fill="auto"/>
            <w:vAlign w:val="bottom"/>
          </w:tcPr>
          <w:p w14:paraId="7BCFAB80" w14:textId="77777777" w:rsidR="00F624AF" w:rsidRPr="003677B6" w:rsidRDefault="00F624AF" w:rsidP="00F624AF">
            <w:pPr>
              <w:pStyle w:val="Tabletext"/>
            </w:pPr>
            <w:r w:rsidRPr="003677B6">
              <w:t>Current tax charge</w:t>
            </w:r>
          </w:p>
        </w:tc>
        <w:tc>
          <w:tcPr>
            <w:tcW w:w="1276" w:type="dxa"/>
            <w:shd w:val="clear" w:color="auto" w:fill="auto"/>
            <w:vAlign w:val="bottom"/>
          </w:tcPr>
          <w:p w14:paraId="68F35A70" w14:textId="77777777" w:rsidR="00F624AF" w:rsidRPr="003677B6" w:rsidRDefault="00F624AF" w:rsidP="00F624AF">
            <w:pPr>
              <w:pStyle w:val="TableFiguresBracketsBold"/>
            </w:pPr>
          </w:p>
        </w:tc>
        <w:tc>
          <w:tcPr>
            <w:tcW w:w="1418" w:type="dxa"/>
            <w:shd w:val="clear" w:color="auto" w:fill="auto"/>
            <w:vAlign w:val="bottom"/>
          </w:tcPr>
          <w:p w14:paraId="5AE179B1" w14:textId="6347CB0D" w:rsidR="00F624AF" w:rsidRPr="003677B6" w:rsidRDefault="003677B6" w:rsidP="00F624AF">
            <w:pPr>
              <w:pStyle w:val="TableFiguresBracketsBold"/>
            </w:pPr>
            <w:r w:rsidRPr="003677B6">
              <w:t>(40)</w:t>
            </w:r>
          </w:p>
        </w:tc>
        <w:tc>
          <w:tcPr>
            <w:tcW w:w="1615" w:type="dxa"/>
            <w:shd w:val="clear" w:color="auto" w:fill="auto"/>
            <w:vAlign w:val="bottom"/>
          </w:tcPr>
          <w:p w14:paraId="17065092" w14:textId="2B3FE60F" w:rsidR="00F624AF" w:rsidRPr="003677B6" w:rsidRDefault="003677B6" w:rsidP="00F624AF">
            <w:pPr>
              <w:pStyle w:val="TableFiguresBrackets"/>
            </w:pPr>
            <w:r w:rsidRPr="003677B6">
              <w:t>(8)</w:t>
            </w:r>
          </w:p>
        </w:tc>
      </w:tr>
      <w:tr w:rsidR="004470B6" w:rsidRPr="003677B6" w14:paraId="5E9D05EA" w14:textId="77777777" w:rsidTr="00E30618">
        <w:tc>
          <w:tcPr>
            <w:tcW w:w="6237" w:type="dxa"/>
            <w:shd w:val="clear" w:color="auto" w:fill="auto"/>
            <w:vAlign w:val="bottom"/>
          </w:tcPr>
          <w:p w14:paraId="2C9C4957" w14:textId="760CBD97" w:rsidR="004470B6" w:rsidRPr="003677B6" w:rsidRDefault="004470B6" w:rsidP="00F624AF">
            <w:pPr>
              <w:pStyle w:val="Tabletext"/>
            </w:pPr>
            <w:r>
              <w:t>Adjustments in respect of earlier years</w:t>
            </w:r>
          </w:p>
        </w:tc>
        <w:tc>
          <w:tcPr>
            <w:tcW w:w="1276" w:type="dxa"/>
            <w:shd w:val="clear" w:color="auto" w:fill="auto"/>
            <w:vAlign w:val="bottom"/>
          </w:tcPr>
          <w:p w14:paraId="02B65FFB" w14:textId="77777777" w:rsidR="004470B6" w:rsidRPr="003677B6" w:rsidRDefault="004470B6" w:rsidP="00F624AF">
            <w:pPr>
              <w:pStyle w:val="TableFiguresBracketsBold"/>
            </w:pPr>
          </w:p>
        </w:tc>
        <w:tc>
          <w:tcPr>
            <w:tcW w:w="1418" w:type="dxa"/>
            <w:shd w:val="clear" w:color="auto" w:fill="auto"/>
            <w:vAlign w:val="bottom"/>
          </w:tcPr>
          <w:p w14:paraId="298CDDB4" w14:textId="1E27483B" w:rsidR="004470B6" w:rsidRPr="003677B6" w:rsidRDefault="004470B6" w:rsidP="00BA4E4C">
            <w:pPr>
              <w:pStyle w:val="TableFiguresBold0"/>
            </w:pPr>
            <w:r>
              <w:softHyphen/>
            </w:r>
            <w:r w:rsidRPr="003677B6">
              <w:t>–</w:t>
            </w:r>
          </w:p>
        </w:tc>
        <w:tc>
          <w:tcPr>
            <w:tcW w:w="1615" w:type="dxa"/>
            <w:shd w:val="clear" w:color="auto" w:fill="auto"/>
            <w:vAlign w:val="bottom"/>
          </w:tcPr>
          <w:p w14:paraId="1C21FABE" w14:textId="5C0ADC63" w:rsidR="004470B6" w:rsidRPr="003677B6" w:rsidRDefault="004470B6" w:rsidP="00BA4E4C">
            <w:pPr>
              <w:pStyle w:val="TableFigures"/>
            </w:pPr>
            <w:r>
              <w:t>4</w:t>
            </w:r>
          </w:p>
        </w:tc>
      </w:tr>
      <w:tr w:rsidR="003677B6" w:rsidRPr="003677B6" w14:paraId="3E261720" w14:textId="77777777" w:rsidTr="00E30618">
        <w:tc>
          <w:tcPr>
            <w:tcW w:w="6237" w:type="dxa"/>
            <w:shd w:val="clear" w:color="auto" w:fill="auto"/>
            <w:vAlign w:val="bottom"/>
          </w:tcPr>
          <w:p w14:paraId="63058F6F" w14:textId="03D1A9EE" w:rsidR="003677B6" w:rsidRPr="003677B6" w:rsidRDefault="003677B6" w:rsidP="00F624AF">
            <w:pPr>
              <w:pStyle w:val="Tabletext"/>
            </w:pPr>
            <w:r w:rsidRPr="003677B6">
              <w:t>French withholding tax</w:t>
            </w:r>
          </w:p>
        </w:tc>
        <w:tc>
          <w:tcPr>
            <w:tcW w:w="1276" w:type="dxa"/>
            <w:shd w:val="clear" w:color="auto" w:fill="auto"/>
            <w:vAlign w:val="bottom"/>
          </w:tcPr>
          <w:p w14:paraId="675C9287" w14:textId="77777777" w:rsidR="003677B6" w:rsidRPr="003677B6" w:rsidRDefault="003677B6" w:rsidP="00F624AF">
            <w:pPr>
              <w:pStyle w:val="TableFiguresBracketsBold"/>
            </w:pPr>
          </w:p>
        </w:tc>
        <w:tc>
          <w:tcPr>
            <w:tcW w:w="1418" w:type="dxa"/>
            <w:shd w:val="clear" w:color="auto" w:fill="auto"/>
            <w:vAlign w:val="bottom"/>
          </w:tcPr>
          <w:p w14:paraId="656E32E3" w14:textId="45E8C7DB" w:rsidR="003677B6" w:rsidRPr="003677B6" w:rsidRDefault="003677B6" w:rsidP="00F624AF">
            <w:pPr>
              <w:pStyle w:val="TableFiguresBracketsBold"/>
            </w:pPr>
            <w:r w:rsidRPr="003677B6">
              <w:t>(16)</w:t>
            </w:r>
          </w:p>
        </w:tc>
        <w:tc>
          <w:tcPr>
            <w:tcW w:w="1615" w:type="dxa"/>
            <w:shd w:val="clear" w:color="auto" w:fill="auto"/>
            <w:vAlign w:val="bottom"/>
          </w:tcPr>
          <w:p w14:paraId="4FA3133E" w14:textId="34024D81" w:rsidR="003677B6" w:rsidRPr="003677B6" w:rsidRDefault="004470B6" w:rsidP="00BA4E4C">
            <w:pPr>
              <w:pStyle w:val="TableFigures"/>
            </w:pPr>
            <w:r w:rsidRPr="003677B6">
              <w:t>–</w:t>
            </w:r>
          </w:p>
        </w:tc>
      </w:tr>
      <w:tr w:rsidR="005F6D8A" w:rsidRPr="003677B6" w14:paraId="2860CF6A" w14:textId="77777777" w:rsidTr="003E2CC0">
        <w:tc>
          <w:tcPr>
            <w:tcW w:w="6237" w:type="dxa"/>
            <w:tcBorders>
              <w:bottom w:val="single" w:sz="8" w:space="0" w:color="999999"/>
            </w:tcBorders>
            <w:shd w:val="clear" w:color="auto" w:fill="auto"/>
            <w:vAlign w:val="bottom"/>
          </w:tcPr>
          <w:p w14:paraId="09BDBED0" w14:textId="2BFBA759" w:rsidR="00F624AF" w:rsidRPr="003677B6" w:rsidRDefault="003677B6" w:rsidP="00F624AF">
            <w:pPr>
              <w:pStyle w:val="Tabletext"/>
            </w:pPr>
            <w:r w:rsidRPr="003677B6">
              <w:t>SIIC entry charge</w:t>
            </w:r>
          </w:p>
        </w:tc>
        <w:tc>
          <w:tcPr>
            <w:tcW w:w="1276" w:type="dxa"/>
            <w:tcBorders>
              <w:bottom w:val="single" w:sz="8" w:space="0" w:color="999999"/>
            </w:tcBorders>
            <w:shd w:val="clear" w:color="auto" w:fill="auto"/>
            <w:vAlign w:val="bottom"/>
          </w:tcPr>
          <w:p w14:paraId="4F4DE8EF" w14:textId="77777777" w:rsidR="00F624AF" w:rsidRPr="003677B6" w:rsidRDefault="00F624AF" w:rsidP="00F624AF">
            <w:pPr>
              <w:pStyle w:val="TableFiguresBracketsBold"/>
            </w:pPr>
          </w:p>
        </w:tc>
        <w:tc>
          <w:tcPr>
            <w:tcW w:w="1418" w:type="dxa"/>
            <w:tcBorders>
              <w:bottom w:val="single" w:sz="8" w:space="0" w:color="999999"/>
            </w:tcBorders>
            <w:shd w:val="clear" w:color="auto" w:fill="auto"/>
            <w:vAlign w:val="bottom"/>
          </w:tcPr>
          <w:p w14:paraId="7AEDFB94" w14:textId="44F3D12B" w:rsidR="00F624AF" w:rsidRPr="003677B6" w:rsidRDefault="003677B6" w:rsidP="007B28BE">
            <w:pPr>
              <w:pStyle w:val="TableFiguresBracketsBold"/>
            </w:pPr>
            <w:r w:rsidRPr="003677B6">
              <w:t>(38)</w:t>
            </w:r>
          </w:p>
        </w:tc>
        <w:tc>
          <w:tcPr>
            <w:tcW w:w="1615" w:type="dxa"/>
            <w:tcBorders>
              <w:bottom w:val="single" w:sz="8" w:space="0" w:color="999999"/>
            </w:tcBorders>
            <w:shd w:val="clear" w:color="auto" w:fill="auto"/>
            <w:vAlign w:val="bottom"/>
          </w:tcPr>
          <w:p w14:paraId="16D9460B" w14:textId="6160BFA6" w:rsidR="00F624AF" w:rsidRPr="003677B6" w:rsidRDefault="003677B6" w:rsidP="007B28BE">
            <w:pPr>
              <w:pStyle w:val="TableFigures"/>
            </w:pPr>
            <w:r w:rsidRPr="003677B6">
              <w:t>–</w:t>
            </w:r>
          </w:p>
        </w:tc>
      </w:tr>
      <w:tr w:rsidR="005F6D8A" w:rsidRPr="003677B6" w14:paraId="1907301C" w14:textId="77777777" w:rsidTr="003E2CC0">
        <w:tc>
          <w:tcPr>
            <w:tcW w:w="6237" w:type="dxa"/>
            <w:tcBorders>
              <w:top w:val="single" w:sz="8" w:space="0" w:color="999999"/>
              <w:bottom w:val="single" w:sz="4" w:space="0" w:color="999999"/>
            </w:tcBorders>
            <w:shd w:val="clear" w:color="auto" w:fill="auto"/>
            <w:vAlign w:val="bottom"/>
          </w:tcPr>
          <w:p w14:paraId="2501F0EC" w14:textId="7AF9E25C" w:rsidR="00F624AF" w:rsidRPr="003677B6" w:rsidRDefault="00F624AF" w:rsidP="00F624AF">
            <w:pPr>
              <w:pStyle w:val="TabletextBold"/>
              <w:rPr>
                <w:szCs w:val="20"/>
              </w:rPr>
            </w:pPr>
            <w:r w:rsidRPr="003677B6">
              <w:rPr>
                <w:szCs w:val="20"/>
              </w:rPr>
              <w:t>Total overseas current tax charge</w:t>
            </w:r>
          </w:p>
        </w:tc>
        <w:tc>
          <w:tcPr>
            <w:tcW w:w="1276" w:type="dxa"/>
            <w:tcBorders>
              <w:top w:val="single" w:sz="8" w:space="0" w:color="999999"/>
              <w:bottom w:val="single" w:sz="4" w:space="0" w:color="999999"/>
            </w:tcBorders>
            <w:shd w:val="clear" w:color="auto" w:fill="auto"/>
            <w:vAlign w:val="bottom"/>
          </w:tcPr>
          <w:p w14:paraId="56845849" w14:textId="77777777" w:rsidR="00F624AF" w:rsidRPr="003677B6" w:rsidRDefault="00F624AF" w:rsidP="00F624AF">
            <w:pPr>
              <w:pStyle w:val="TableFiguresBracketsBold"/>
            </w:pPr>
          </w:p>
        </w:tc>
        <w:tc>
          <w:tcPr>
            <w:tcW w:w="1418" w:type="dxa"/>
            <w:tcBorders>
              <w:top w:val="single" w:sz="8" w:space="0" w:color="999999"/>
              <w:bottom w:val="single" w:sz="4" w:space="0" w:color="999999"/>
            </w:tcBorders>
            <w:shd w:val="clear" w:color="auto" w:fill="auto"/>
            <w:vAlign w:val="bottom"/>
          </w:tcPr>
          <w:p w14:paraId="2E3BDE75" w14:textId="2E5D2346" w:rsidR="00F624AF" w:rsidRPr="003677B6" w:rsidRDefault="003677B6" w:rsidP="00F624AF">
            <w:pPr>
              <w:pStyle w:val="TableFiguresBracketsBold"/>
            </w:pPr>
            <w:r w:rsidRPr="003677B6">
              <w:t>(94)</w:t>
            </w:r>
          </w:p>
        </w:tc>
        <w:tc>
          <w:tcPr>
            <w:tcW w:w="1615" w:type="dxa"/>
            <w:tcBorders>
              <w:top w:val="single" w:sz="8" w:space="0" w:color="999999"/>
              <w:bottom w:val="single" w:sz="4" w:space="0" w:color="999999"/>
            </w:tcBorders>
            <w:shd w:val="clear" w:color="auto" w:fill="auto"/>
            <w:vAlign w:val="bottom"/>
          </w:tcPr>
          <w:p w14:paraId="49D20499" w14:textId="534751B0" w:rsidR="00F624AF" w:rsidRPr="003677B6" w:rsidRDefault="003677B6" w:rsidP="00F624AF">
            <w:pPr>
              <w:pStyle w:val="TableFiguresBrackets"/>
            </w:pPr>
            <w:r w:rsidRPr="003677B6">
              <w:t>(</w:t>
            </w:r>
            <w:r w:rsidR="00FF04DA">
              <w:t>4</w:t>
            </w:r>
            <w:r w:rsidRPr="003677B6">
              <w:t>)</w:t>
            </w:r>
          </w:p>
        </w:tc>
      </w:tr>
      <w:tr w:rsidR="005F6D8A" w:rsidRPr="003677B6" w14:paraId="61714E9C" w14:textId="77777777" w:rsidTr="003E2CC0">
        <w:tc>
          <w:tcPr>
            <w:tcW w:w="6237" w:type="dxa"/>
            <w:tcBorders>
              <w:top w:val="single" w:sz="4" w:space="0" w:color="999999"/>
              <w:bottom w:val="single" w:sz="4" w:space="0" w:color="999999"/>
            </w:tcBorders>
            <w:shd w:val="clear" w:color="auto" w:fill="auto"/>
            <w:vAlign w:val="bottom"/>
          </w:tcPr>
          <w:p w14:paraId="53AE3E78" w14:textId="540C93DA" w:rsidR="00F624AF" w:rsidRPr="003677B6" w:rsidRDefault="00F624AF" w:rsidP="00F624AF">
            <w:pPr>
              <w:pStyle w:val="Tabletext"/>
              <w:rPr>
                <w:b/>
                <w:szCs w:val="20"/>
              </w:rPr>
            </w:pPr>
            <w:r w:rsidRPr="003677B6">
              <w:rPr>
                <w:b/>
                <w:szCs w:val="20"/>
              </w:rPr>
              <w:t>Total current tax charge</w:t>
            </w:r>
          </w:p>
        </w:tc>
        <w:tc>
          <w:tcPr>
            <w:tcW w:w="1276" w:type="dxa"/>
            <w:tcBorders>
              <w:top w:val="single" w:sz="4" w:space="0" w:color="999999"/>
              <w:bottom w:val="single" w:sz="4" w:space="0" w:color="999999"/>
            </w:tcBorders>
            <w:shd w:val="clear" w:color="auto" w:fill="auto"/>
            <w:vAlign w:val="bottom"/>
          </w:tcPr>
          <w:p w14:paraId="5E9F6206" w14:textId="77777777" w:rsidR="00F624AF" w:rsidRPr="003677B6" w:rsidRDefault="00F624AF" w:rsidP="00F624AF">
            <w:pPr>
              <w:pStyle w:val="TableFiguresBracketsBold"/>
            </w:pPr>
          </w:p>
        </w:tc>
        <w:tc>
          <w:tcPr>
            <w:tcW w:w="1418" w:type="dxa"/>
            <w:tcBorders>
              <w:top w:val="single" w:sz="4" w:space="0" w:color="999999"/>
              <w:bottom w:val="single" w:sz="4" w:space="0" w:color="999999"/>
            </w:tcBorders>
            <w:shd w:val="clear" w:color="auto" w:fill="auto"/>
            <w:vAlign w:val="bottom"/>
          </w:tcPr>
          <w:p w14:paraId="2380779E" w14:textId="30326EE7" w:rsidR="00F624AF" w:rsidRPr="003677B6" w:rsidRDefault="003677B6" w:rsidP="00F624AF">
            <w:pPr>
              <w:pStyle w:val="TableFiguresBracketsBold"/>
            </w:pPr>
            <w:r w:rsidRPr="003677B6">
              <w:t>(90)</w:t>
            </w:r>
          </w:p>
        </w:tc>
        <w:tc>
          <w:tcPr>
            <w:tcW w:w="1615" w:type="dxa"/>
            <w:tcBorders>
              <w:top w:val="single" w:sz="4" w:space="0" w:color="999999"/>
              <w:bottom w:val="single" w:sz="4" w:space="0" w:color="999999"/>
            </w:tcBorders>
            <w:shd w:val="clear" w:color="auto" w:fill="auto"/>
            <w:vAlign w:val="bottom"/>
          </w:tcPr>
          <w:p w14:paraId="1279B068" w14:textId="7215B4EF" w:rsidR="00F624AF" w:rsidRPr="003677B6" w:rsidRDefault="003677B6" w:rsidP="00F624AF">
            <w:pPr>
              <w:pStyle w:val="TableFiguresBrackets"/>
            </w:pPr>
            <w:r w:rsidRPr="003677B6">
              <w:t>(</w:t>
            </w:r>
            <w:r w:rsidR="00D7207E">
              <w:t>3</w:t>
            </w:r>
            <w:r w:rsidRPr="003677B6">
              <w:t>)</w:t>
            </w:r>
          </w:p>
        </w:tc>
      </w:tr>
      <w:tr w:rsidR="005F6D8A" w:rsidRPr="003677B6" w14:paraId="7FEEEB70" w14:textId="77777777" w:rsidTr="003E2CC0">
        <w:tc>
          <w:tcPr>
            <w:tcW w:w="6237" w:type="dxa"/>
            <w:tcBorders>
              <w:top w:val="single" w:sz="4" w:space="0" w:color="999999"/>
            </w:tcBorders>
            <w:shd w:val="clear" w:color="auto" w:fill="auto"/>
            <w:vAlign w:val="bottom"/>
          </w:tcPr>
          <w:p w14:paraId="52E1A5CA" w14:textId="77777777" w:rsidR="00F624AF" w:rsidRPr="003677B6" w:rsidRDefault="00F624AF" w:rsidP="00F624AF">
            <w:pPr>
              <w:pStyle w:val="TabletextBold"/>
              <w:rPr>
                <w:szCs w:val="20"/>
              </w:rPr>
            </w:pPr>
            <w:r w:rsidRPr="003677B6">
              <w:rPr>
                <w:szCs w:val="20"/>
              </w:rPr>
              <w:t>Deferred tax</w:t>
            </w:r>
          </w:p>
        </w:tc>
        <w:tc>
          <w:tcPr>
            <w:tcW w:w="1276" w:type="dxa"/>
            <w:tcBorders>
              <w:top w:val="single" w:sz="4" w:space="0" w:color="999999"/>
            </w:tcBorders>
            <w:shd w:val="clear" w:color="auto" w:fill="auto"/>
            <w:vAlign w:val="bottom"/>
          </w:tcPr>
          <w:p w14:paraId="35A21E89" w14:textId="77777777" w:rsidR="00F624AF" w:rsidRPr="003677B6" w:rsidRDefault="00F624AF" w:rsidP="00F624AF">
            <w:pPr>
              <w:pStyle w:val="TableFiguresBracketsBold"/>
            </w:pPr>
          </w:p>
        </w:tc>
        <w:tc>
          <w:tcPr>
            <w:tcW w:w="1418" w:type="dxa"/>
            <w:tcBorders>
              <w:top w:val="single" w:sz="4" w:space="0" w:color="999999"/>
            </w:tcBorders>
            <w:shd w:val="clear" w:color="auto" w:fill="auto"/>
            <w:vAlign w:val="bottom"/>
          </w:tcPr>
          <w:p w14:paraId="277A33AE" w14:textId="77777777" w:rsidR="00F624AF" w:rsidRPr="003677B6" w:rsidRDefault="00F624AF" w:rsidP="00F624AF">
            <w:pPr>
              <w:pStyle w:val="TableFiguresBracketsBold"/>
              <w:rPr>
                <w:b w:val="0"/>
              </w:rPr>
            </w:pPr>
          </w:p>
        </w:tc>
        <w:tc>
          <w:tcPr>
            <w:tcW w:w="1615" w:type="dxa"/>
            <w:tcBorders>
              <w:top w:val="single" w:sz="4" w:space="0" w:color="999999"/>
            </w:tcBorders>
            <w:shd w:val="clear" w:color="auto" w:fill="auto"/>
            <w:vAlign w:val="bottom"/>
          </w:tcPr>
          <w:p w14:paraId="161D5FBF" w14:textId="77777777" w:rsidR="00F624AF" w:rsidRPr="003677B6" w:rsidRDefault="00F624AF" w:rsidP="00F624AF">
            <w:pPr>
              <w:pStyle w:val="TableFiguresBrackets"/>
            </w:pPr>
          </w:p>
        </w:tc>
      </w:tr>
      <w:tr w:rsidR="005F6D8A" w:rsidRPr="003677B6" w14:paraId="25602411" w14:textId="77777777" w:rsidTr="00E30618">
        <w:tc>
          <w:tcPr>
            <w:tcW w:w="6237" w:type="dxa"/>
            <w:shd w:val="clear" w:color="auto" w:fill="auto"/>
            <w:vAlign w:val="bottom"/>
          </w:tcPr>
          <w:p w14:paraId="0BCB2BB7" w14:textId="77777777" w:rsidR="00F624AF" w:rsidRPr="003677B6" w:rsidRDefault="00F624AF" w:rsidP="00F624AF">
            <w:pPr>
              <w:pStyle w:val="Tabletext"/>
              <w:rPr>
                <w:szCs w:val="20"/>
              </w:rPr>
            </w:pPr>
            <w:r w:rsidRPr="003677B6">
              <w:rPr>
                <w:szCs w:val="20"/>
              </w:rPr>
              <w:t>Origination and reversal of temporary differences</w:t>
            </w:r>
          </w:p>
        </w:tc>
        <w:tc>
          <w:tcPr>
            <w:tcW w:w="1276" w:type="dxa"/>
            <w:shd w:val="clear" w:color="auto" w:fill="auto"/>
            <w:vAlign w:val="bottom"/>
          </w:tcPr>
          <w:p w14:paraId="0C58C10F" w14:textId="77777777" w:rsidR="00F624AF" w:rsidRPr="003677B6" w:rsidRDefault="00F624AF" w:rsidP="00F624AF">
            <w:pPr>
              <w:pStyle w:val="TableFiguresBold0"/>
            </w:pPr>
          </w:p>
        </w:tc>
        <w:tc>
          <w:tcPr>
            <w:tcW w:w="1418" w:type="dxa"/>
            <w:shd w:val="clear" w:color="auto" w:fill="auto"/>
            <w:vAlign w:val="bottom"/>
          </w:tcPr>
          <w:p w14:paraId="43F30B0E" w14:textId="2192DDA0" w:rsidR="00F624AF" w:rsidRPr="003677B6" w:rsidRDefault="003677B6" w:rsidP="00F624AF">
            <w:pPr>
              <w:pStyle w:val="TableFiguresBracketsBold"/>
            </w:pPr>
            <w:r w:rsidRPr="003677B6">
              <w:t>(34)</w:t>
            </w:r>
          </w:p>
        </w:tc>
        <w:tc>
          <w:tcPr>
            <w:tcW w:w="1615" w:type="dxa"/>
            <w:shd w:val="clear" w:color="auto" w:fill="auto"/>
            <w:vAlign w:val="bottom"/>
          </w:tcPr>
          <w:p w14:paraId="5DFBF12D" w14:textId="1875CD55" w:rsidR="00F624AF" w:rsidRPr="003677B6" w:rsidRDefault="003677B6" w:rsidP="00F624AF">
            <w:pPr>
              <w:pStyle w:val="TableFiguresBrackets"/>
            </w:pPr>
            <w:r w:rsidRPr="003677B6">
              <w:t>(3)</w:t>
            </w:r>
          </w:p>
        </w:tc>
      </w:tr>
      <w:tr w:rsidR="005F6D8A" w:rsidRPr="003677B6" w14:paraId="27DC8AA1" w14:textId="77777777" w:rsidTr="00E30618">
        <w:tc>
          <w:tcPr>
            <w:tcW w:w="6237" w:type="dxa"/>
            <w:shd w:val="clear" w:color="auto" w:fill="auto"/>
            <w:vAlign w:val="bottom"/>
          </w:tcPr>
          <w:p w14:paraId="7454560C" w14:textId="77777777" w:rsidR="00F624AF" w:rsidRPr="003677B6" w:rsidRDefault="00F624AF" w:rsidP="00F624AF">
            <w:pPr>
              <w:pStyle w:val="Tabletext"/>
              <w:rPr>
                <w:szCs w:val="20"/>
              </w:rPr>
            </w:pPr>
            <w:r w:rsidRPr="003677B6">
              <w:rPr>
                <w:szCs w:val="20"/>
              </w:rPr>
              <w:t>Released in respect of property disposals in the year</w:t>
            </w:r>
          </w:p>
        </w:tc>
        <w:tc>
          <w:tcPr>
            <w:tcW w:w="1276" w:type="dxa"/>
            <w:shd w:val="clear" w:color="auto" w:fill="auto"/>
            <w:vAlign w:val="bottom"/>
          </w:tcPr>
          <w:p w14:paraId="6275FB33" w14:textId="77777777" w:rsidR="00F624AF" w:rsidRPr="003677B6" w:rsidRDefault="00F624AF" w:rsidP="00F624AF">
            <w:pPr>
              <w:pStyle w:val="TableFiguresBold0"/>
            </w:pPr>
          </w:p>
        </w:tc>
        <w:tc>
          <w:tcPr>
            <w:tcW w:w="1418" w:type="dxa"/>
            <w:shd w:val="clear" w:color="auto" w:fill="auto"/>
            <w:vAlign w:val="bottom"/>
          </w:tcPr>
          <w:p w14:paraId="6332C2A5" w14:textId="71604708" w:rsidR="00F624AF" w:rsidRPr="003677B6" w:rsidRDefault="003677B6" w:rsidP="00F624AF">
            <w:pPr>
              <w:pStyle w:val="TableFiguresBold0"/>
            </w:pPr>
            <w:r w:rsidRPr="003677B6">
              <w:t>22</w:t>
            </w:r>
          </w:p>
        </w:tc>
        <w:tc>
          <w:tcPr>
            <w:tcW w:w="1615" w:type="dxa"/>
            <w:shd w:val="clear" w:color="auto" w:fill="auto"/>
            <w:vAlign w:val="bottom"/>
          </w:tcPr>
          <w:p w14:paraId="2D621C18" w14:textId="1D6C62E2" w:rsidR="00F624AF" w:rsidRPr="003677B6" w:rsidRDefault="003677B6" w:rsidP="00F624AF">
            <w:pPr>
              <w:pStyle w:val="TableFigures"/>
            </w:pPr>
            <w:r w:rsidRPr="003677B6">
              <w:t>5</w:t>
            </w:r>
          </w:p>
        </w:tc>
      </w:tr>
      <w:tr w:rsidR="005F6D8A" w:rsidRPr="003677B6" w14:paraId="22FC3E5B" w14:textId="77777777" w:rsidTr="00E30618">
        <w:tc>
          <w:tcPr>
            <w:tcW w:w="6237" w:type="dxa"/>
            <w:tcBorders>
              <w:bottom w:val="single" w:sz="4" w:space="0" w:color="999999"/>
            </w:tcBorders>
            <w:shd w:val="clear" w:color="auto" w:fill="auto"/>
            <w:vAlign w:val="bottom"/>
          </w:tcPr>
          <w:p w14:paraId="52BF0805" w14:textId="77777777" w:rsidR="00F624AF" w:rsidRPr="003677B6" w:rsidRDefault="00F624AF" w:rsidP="00F624AF">
            <w:pPr>
              <w:pStyle w:val="Tabletext"/>
              <w:rPr>
                <w:szCs w:val="20"/>
              </w:rPr>
            </w:pPr>
            <w:r w:rsidRPr="003677B6">
              <w:rPr>
                <w:szCs w:val="20"/>
              </w:rPr>
              <w:t>On valuation movements</w:t>
            </w:r>
          </w:p>
        </w:tc>
        <w:tc>
          <w:tcPr>
            <w:tcW w:w="1276" w:type="dxa"/>
            <w:tcBorders>
              <w:bottom w:val="single" w:sz="4" w:space="0" w:color="999999"/>
            </w:tcBorders>
            <w:shd w:val="clear" w:color="auto" w:fill="auto"/>
            <w:vAlign w:val="bottom"/>
          </w:tcPr>
          <w:p w14:paraId="05A3973D" w14:textId="77777777" w:rsidR="00F624AF" w:rsidRPr="003677B6" w:rsidRDefault="00F624AF" w:rsidP="00F624AF">
            <w:pPr>
              <w:pStyle w:val="TableFiguresBracketsBold"/>
            </w:pPr>
          </w:p>
        </w:tc>
        <w:tc>
          <w:tcPr>
            <w:tcW w:w="1418" w:type="dxa"/>
            <w:tcBorders>
              <w:bottom w:val="single" w:sz="4" w:space="0" w:color="999999"/>
            </w:tcBorders>
            <w:shd w:val="clear" w:color="auto" w:fill="auto"/>
            <w:vAlign w:val="bottom"/>
          </w:tcPr>
          <w:p w14:paraId="6FEDB674" w14:textId="62FB95DF" w:rsidR="00F624AF" w:rsidRPr="003677B6" w:rsidRDefault="003677B6" w:rsidP="00F624AF">
            <w:pPr>
              <w:pStyle w:val="TableFiguresBracketsBold"/>
            </w:pPr>
            <w:r w:rsidRPr="003677B6">
              <w:t>(173)</w:t>
            </w:r>
          </w:p>
        </w:tc>
        <w:tc>
          <w:tcPr>
            <w:tcW w:w="1615" w:type="dxa"/>
            <w:tcBorders>
              <w:bottom w:val="single" w:sz="4" w:space="0" w:color="999999"/>
            </w:tcBorders>
            <w:shd w:val="clear" w:color="auto" w:fill="auto"/>
            <w:vAlign w:val="bottom"/>
          </w:tcPr>
          <w:p w14:paraId="0D7D824B" w14:textId="6D064578" w:rsidR="00F624AF" w:rsidRPr="003677B6" w:rsidRDefault="003677B6" w:rsidP="00F624AF">
            <w:pPr>
              <w:pStyle w:val="TableFiguresBrackets"/>
            </w:pPr>
            <w:r w:rsidRPr="003677B6">
              <w:t>(39)</w:t>
            </w:r>
          </w:p>
        </w:tc>
      </w:tr>
      <w:tr w:rsidR="005F6D8A" w:rsidRPr="003677B6" w14:paraId="0B95D7C4" w14:textId="77777777" w:rsidTr="00E30618">
        <w:tc>
          <w:tcPr>
            <w:tcW w:w="6237" w:type="dxa"/>
            <w:tcBorders>
              <w:top w:val="single" w:sz="4" w:space="0" w:color="999999"/>
            </w:tcBorders>
            <w:shd w:val="clear" w:color="auto" w:fill="auto"/>
            <w:vAlign w:val="bottom"/>
          </w:tcPr>
          <w:p w14:paraId="41F0EAFF" w14:textId="77777777" w:rsidR="00F624AF" w:rsidRPr="003677B6" w:rsidRDefault="00F624AF" w:rsidP="00F624AF">
            <w:pPr>
              <w:pStyle w:val="Tabletext"/>
              <w:rPr>
                <w:b/>
                <w:bCs/>
              </w:rPr>
            </w:pPr>
            <w:r w:rsidRPr="003677B6">
              <w:rPr>
                <w:b/>
                <w:bCs/>
              </w:rPr>
              <w:t>Total deferred tax in respect of investment properties</w:t>
            </w:r>
          </w:p>
        </w:tc>
        <w:tc>
          <w:tcPr>
            <w:tcW w:w="1276" w:type="dxa"/>
            <w:tcBorders>
              <w:top w:val="single" w:sz="4" w:space="0" w:color="999999"/>
            </w:tcBorders>
            <w:shd w:val="clear" w:color="auto" w:fill="auto"/>
            <w:vAlign w:val="bottom"/>
          </w:tcPr>
          <w:p w14:paraId="52740C7B" w14:textId="77777777" w:rsidR="00F624AF" w:rsidRPr="003677B6" w:rsidRDefault="00F624AF" w:rsidP="00F624AF">
            <w:pPr>
              <w:pStyle w:val="TableFiguresBracketsBold"/>
            </w:pPr>
          </w:p>
        </w:tc>
        <w:tc>
          <w:tcPr>
            <w:tcW w:w="1418" w:type="dxa"/>
            <w:tcBorders>
              <w:top w:val="single" w:sz="4" w:space="0" w:color="999999"/>
            </w:tcBorders>
            <w:shd w:val="clear" w:color="auto" w:fill="auto"/>
            <w:vAlign w:val="bottom"/>
          </w:tcPr>
          <w:p w14:paraId="490FAE57" w14:textId="6FDC95E7" w:rsidR="00F624AF" w:rsidRPr="003677B6" w:rsidRDefault="003677B6" w:rsidP="00F624AF">
            <w:pPr>
              <w:pStyle w:val="TableFiguresBracketsBold"/>
            </w:pPr>
            <w:r w:rsidRPr="003677B6">
              <w:t>(185)</w:t>
            </w:r>
          </w:p>
        </w:tc>
        <w:tc>
          <w:tcPr>
            <w:tcW w:w="1615" w:type="dxa"/>
            <w:tcBorders>
              <w:top w:val="single" w:sz="4" w:space="0" w:color="999999"/>
            </w:tcBorders>
            <w:shd w:val="clear" w:color="auto" w:fill="auto"/>
            <w:vAlign w:val="bottom"/>
          </w:tcPr>
          <w:p w14:paraId="79A00968" w14:textId="0B425F93" w:rsidR="00F624AF" w:rsidRPr="003677B6" w:rsidRDefault="003677B6" w:rsidP="00F624AF">
            <w:pPr>
              <w:pStyle w:val="TableFigures"/>
            </w:pPr>
            <w:r w:rsidRPr="003677B6">
              <w:t>(37)</w:t>
            </w:r>
          </w:p>
        </w:tc>
      </w:tr>
      <w:tr w:rsidR="005F6D8A" w:rsidRPr="003677B6" w14:paraId="4E038353" w14:textId="77777777" w:rsidTr="00E30618">
        <w:tc>
          <w:tcPr>
            <w:tcW w:w="6237" w:type="dxa"/>
            <w:tcBorders>
              <w:bottom w:val="single" w:sz="4" w:space="0" w:color="999999"/>
            </w:tcBorders>
            <w:shd w:val="clear" w:color="auto" w:fill="auto"/>
            <w:vAlign w:val="bottom"/>
          </w:tcPr>
          <w:p w14:paraId="0E832CC8" w14:textId="77777777" w:rsidR="00F624AF" w:rsidRPr="003677B6" w:rsidRDefault="00F624AF" w:rsidP="00F624AF">
            <w:pPr>
              <w:pStyle w:val="Tabletext"/>
              <w:rPr>
                <w:szCs w:val="20"/>
              </w:rPr>
            </w:pPr>
            <w:r w:rsidRPr="003677B6">
              <w:rPr>
                <w:szCs w:val="20"/>
              </w:rPr>
              <w:t>Other deferred tax</w:t>
            </w:r>
          </w:p>
        </w:tc>
        <w:tc>
          <w:tcPr>
            <w:tcW w:w="1276" w:type="dxa"/>
            <w:tcBorders>
              <w:bottom w:val="single" w:sz="4" w:space="0" w:color="999999"/>
            </w:tcBorders>
            <w:shd w:val="clear" w:color="auto" w:fill="auto"/>
            <w:vAlign w:val="bottom"/>
          </w:tcPr>
          <w:p w14:paraId="5959BF6F" w14:textId="77777777" w:rsidR="00F624AF" w:rsidRPr="003677B6" w:rsidRDefault="00F624AF" w:rsidP="00F624AF">
            <w:pPr>
              <w:pStyle w:val="TableFiguresBold0"/>
            </w:pPr>
          </w:p>
        </w:tc>
        <w:tc>
          <w:tcPr>
            <w:tcW w:w="1418" w:type="dxa"/>
            <w:tcBorders>
              <w:bottom w:val="single" w:sz="4" w:space="0" w:color="999999"/>
            </w:tcBorders>
            <w:shd w:val="clear" w:color="auto" w:fill="auto"/>
            <w:vAlign w:val="bottom"/>
          </w:tcPr>
          <w:p w14:paraId="6311E9CD" w14:textId="6A8A2AC4" w:rsidR="00F624AF" w:rsidRPr="003677B6" w:rsidRDefault="003677B6" w:rsidP="007B28BE">
            <w:pPr>
              <w:pStyle w:val="TableFiguresBracketsBold"/>
            </w:pPr>
            <w:r w:rsidRPr="003677B6">
              <w:t>(13)</w:t>
            </w:r>
          </w:p>
        </w:tc>
        <w:tc>
          <w:tcPr>
            <w:tcW w:w="1615" w:type="dxa"/>
            <w:tcBorders>
              <w:bottom w:val="single" w:sz="4" w:space="0" w:color="999999"/>
            </w:tcBorders>
            <w:shd w:val="clear" w:color="auto" w:fill="auto"/>
            <w:vAlign w:val="bottom"/>
          </w:tcPr>
          <w:p w14:paraId="41434D91" w14:textId="3D4C502A" w:rsidR="00F624AF" w:rsidRPr="003677B6" w:rsidRDefault="003677B6" w:rsidP="002313ED">
            <w:pPr>
              <w:pStyle w:val="TableFigures"/>
            </w:pPr>
            <w:r w:rsidRPr="003677B6">
              <w:t>5</w:t>
            </w:r>
          </w:p>
        </w:tc>
      </w:tr>
      <w:tr w:rsidR="005F6D8A" w:rsidRPr="003677B6" w14:paraId="5E3DC6D2" w14:textId="77777777" w:rsidTr="00E30618">
        <w:tc>
          <w:tcPr>
            <w:tcW w:w="6237" w:type="dxa"/>
            <w:tcBorders>
              <w:top w:val="single" w:sz="4" w:space="0" w:color="999999"/>
              <w:bottom w:val="single" w:sz="4" w:space="0" w:color="999999"/>
            </w:tcBorders>
            <w:shd w:val="clear" w:color="auto" w:fill="auto"/>
            <w:vAlign w:val="bottom"/>
          </w:tcPr>
          <w:p w14:paraId="77D1E436" w14:textId="34DFBB42" w:rsidR="00F624AF" w:rsidRPr="003677B6" w:rsidRDefault="00F624AF" w:rsidP="00F624AF">
            <w:pPr>
              <w:pStyle w:val="TabletextBold"/>
              <w:rPr>
                <w:szCs w:val="20"/>
              </w:rPr>
            </w:pPr>
            <w:r w:rsidRPr="003677B6">
              <w:rPr>
                <w:szCs w:val="20"/>
              </w:rPr>
              <w:t>Total deferred tax charge</w:t>
            </w:r>
          </w:p>
        </w:tc>
        <w:tc>
          <w:tcPr>
            <w:tcW w:w="1276" w:type="dxa"/>
            <w:tcBorders>
              <w:top w:val="single" w:sz="4" w:space="0" w:color="999999"/>
              <w:bottom w:val="single" w:sz="4" w:space="0" w:color="999999"/>
            </w:tcBorders>
            <w:shd w:val="clear" w:color="auto" w:fill="auto"/>
            <w:vAlign w:val="bottom"/>
          </w:tcPr>
          <w:p w14:paraId="4A2CDC62" w14:textId="77777777" w:rsidR="00F624AF" w:rsidRPr="003677B6" w:rsidRDefault="00F624AF" w:rsidP="00F624AF">
            <w:pPr>
              <w:pStyle w:val="TableFiguresBracketsBold"/>
            </w:pPr>
          </w:p>
        </w:tc>
        <w:tc>
          <w:tcPr>
            <w:tcW w:w="1418" w:type="dxa"/>
            <w:tcBorders>
              <w:top w:val="single" w:sz="4" w:space="0" w:color="999999"/>
              <w:bottom w:val="single" w:sz="4" w:space="0" w:color="999999"/>
            </w:tcBorders>
            <w:shd w:val="clear" w:color="auto" w:fill="auto"/>
            <w:vAlign w:val="bottom"/>
          </w:tcPr>
          <w:p w14:paraId="360F83AE" w14:textId="05C39CD3" w:rsidR="00F624AF" w:rsidRPr="003677B6" w:rsidRDefault="003677B6" w:rsidP="00F624AF">
            <w:pPr>
              <w:pStyle w:val="TableFiguresBracketsBold"/>
            </w:pPr>
            <w:r w:rsidRPr="003677B6">
              <w:t>(198)</w:t>
            </w:r>
          </w:p>
        </w:tc>
        <w:tc>
          <w:tcPr>
            <w:tcW w:w="1615" w:type="dxa"/>
            <w:tcBorders>
              <w:top w:val="single" w:sz="4" w:space="0" w:color="999999"/>
              <w:bottom w:val="single" w:sz="4" w:space="0" w:color="999999"/>
            </w:tcBorders>
            <w:shd w:val="clear" w:color="auto" w:fill="auto"/>
            <w:vAlign w:val="bottom"/>
          </w:tcPr>
          <w:p w14:paraId="0C3B6927" w14:textId="7C105305" w:rsidR="00F624AF" w:rsidRPr="003677B6" w:rsidRDefault="003677B6" w:rsidP="002313ED">
            <w:pPr>
              <w:pStyle w:val="TableFiguresBrackets"/>
            </w:pPr>
            <w:r w:rsidRPr="003677B6">
              <w:t>(32)</w:t>
            </w:r>
          </w:p>
        </w:tc>
      </w:tr>
      <w:tr w:rsidR="005F6D8A" w:rsidRPr="003677B6" w14:paraId="19077E5D" w14:textId="77777777" w:rsidTr="00E30618">
        <w:tc>
          <w:tcPr>
            <w:tcW w:w="6237" w:type="dxa"/>
            <w:tcBorders>
              <w:top w:val="single" w:sz="4" w:space="0" w:color="999999"/>
              <w:bottom w:val="single" w:sz="8" w:space="0" w:color="999999"/>
            </w:tcBorders>
            <w:shd w:val="clear" w:color="auto" w:fill="auto"/>
            <w:vAlign w:val="bottom"/>
          </w:tcPr>
          <w:p w14:paraId="03015556" w14:textId="77777777" w:rsidR="00F624AF" w:rsidRPr="003677B6" w:rsidDel="00E460AD" w:rsidRDefault="00F624AF" w:rsidP="00F624AF">
            <w:pPr>
              <w:pStyle w:val="TabletextBold"/>
              <w:rPr>
                <w:szCs w:val="20"/>
              </w:rPr>
            </w:pPr>
            <w:r w:rsidRPr="003677B6">
              <w:rPr>
                <w:szCs w:val="20"/>
              </w:rPr>
              <w:t>Total tax charge on profit on ordinary activities</w:t>
            </w:r>
          </w:p>
        </w:tc>
        <w:tc>
          <w:tcPr>
            <w:tcW w:w="1276" w:type="dxa"/>
            <w:tcBorders>
              <w:top w:val="single" w:sz="4" w:space="0" w:color="999999"/>
              <w:bottom w:val="single" w:sz="8" w:space="0" w:color="999999"/>
            </w:tcBorders>
            <w:shd w:val="clear" w:color="auto" w:fill="auto"/>
            <w:vAlign w:val="bottom"/>
          </w:tcPr>
          <w:p w14:paraId="65337F0F" w14:textId="77777777" w:rsidR="00F624AF" w:rsidRPr="003677B6" w:rsidRDefault="00F624AF" w:rsidP="00F624AF">
            <w:pPr>
              <w:pStyle w:val="TableFiguresBracketsBold"/>
            </w:pPr>
          </w:p>
        </w:tc>
        <w:tc>
          <w:tcPr>
            <w:tcW w:w="1418" w:type="dxa"/>
            <w:tcBorders>
              <w:top w:val="single" w:sz="4" w:space="0" w:color="999999"/>
              <w:bottom w:val="single" w:sz="8" w:space="0" w:color="999999"/>
            </w:tcBorders>
            <w:shd w:val="clear" w:color="auto" w:fill="auto"/>
            <w:vAlign w:val="bottom"/>
          </w:tcPr>
          <w:p w14:paraId="039E52D9" w14:textId="644ACA0D" w:rsidR="00F624AF" w:rsidRPr="003677B6" w:rsidRDefault="003677B6" w:rsidP="00F624AF">
            <w:pPr>
              <w:pStyle w:val="TableFiguresBracketsBold"/>
            </w:pPr>
            <w:r w:rsidRPr="003677B6">
              <w:t>(288)</w:t>
            </w:r>
          </w:p>
        </w:tc>
        <w:tc>
          <w:tcPr>
            <w:tcW w:w="1615" w:type="dxa"/>
            <w:tcBorders>
              <w:top w:val="single" w:sz="4" w:space="0" w:color="999999"/>
              <w:bottom w:val="single" w:sz="8" w:space="0" w:color="999999"/>
            </w:tcBorders>
            <w:shd w:val="clear" w:color="auto" w:fill="auto"/>
            <w:vAlign w:val="bottom"/>
          </w:tcPr>
          <w:p w14:paraId="6BDD04A1" w14:textId="44A7ADAD" w:rsidR="00F624AF" w:rsidRPr="003677B6" w:rsidRDefault="003677B6" w:rsidP="00F624AF">
            <w:pPr>
              <w:pStyle w:val="TableFiguresBrackets"/>
            </w:pPr>
            <w:r w:rsidRPr="003677B6">
              <w:t>(35)</w:t>
            </w:r>
          </w:p>
        </w:tc>
      </w:tr>
    </w:tbl>
    <w:p w14:paraId="3C00E9ED" w14:textId="77777777" w:rsidR="002033A7" w:rsidRDefault="002033A7" w:rsidP="002033A7"/>
    <w:p w14:paraId="1E996216" w14:textId="3BA4CAB2" w:rsidR="002033A7" w:rsidRDefault="002033A7" w:rsidP="00BA4E4C">
      <w:pPr>
        <w:pStyle w:val="Heading3"/>
      </w:pPr>
      <w:r>
        <w:t xml:space="preserve">9(ii) – REIT and SIIC regimes and other tax judgements </w:t>
      </w:r>
    </w:p>
    <w:p w14:paraId="7D5496FE" w14:textId="77777777" w:rsidR="002033A7" w:rsidRDefault="002033A7" w:rsidP="00BA4E4C">
      <w:pPr>
        <w:pStyle w:val="Normal1"/>
      </w:pPr>
      <w:r>
        <w:t xml:space="preserve">SEGRO is a Real Estate Investment Trust (REIT) and does not pay tax on its UK property income or gains on property sales, provided that at least 90 per cent of the Group’s UK property income is distributed as a dividend to shareholders, which becomes taxable in their hands. In addition, the Group has to meet certain conditions such as ensuring its worldwide property rental business represents more than 75 per cent of total profits and assets. Any potential or proposed changes to the REIT legislation are monitored and discussed with HMRC. It is management’s intention that the Group will continue as a REIT for the foreseeable future. </w:t>
      </w:r>
    </w:p>
    <w:p w14:paraId="3131942C" w14:textId="77777777" w:rsidR="002033A7" w:rsidRDefault="002033A7" w:rsidP="00BA4E4C">
      <w:pPr>
        <w:pStyle w:val="Normal1"/>
      </w:pPr>
      <w:r>
        <w:t xml:space="preserve">SEGRO is also a SIIC in France, and does not pay corporation tax on its French property income or gains on property sales, provided that at least 95 per cent of the French subsidiaries’ property income is distributed to their immediate shareholder. In addition, the Group has to meet certain conditions such as ensuring the property rental business of each French subsidiary represents more than 80 per cent of its assets. Any potential or proposed changes to the SIIC legislation are monitored. It is management’s intention that the Group will continue as a SIIC for the foreseeable future. </w:t>
      </w:r>
    </w:p>
    <w:p w14:paraId="560E263D" w14:textId="79F86FD9" w:rsidR="002033A7" w:rsidRDefault="002033A7" w:rsidP="00BA4E4C">
      <w:pPr>
        <w:pStyle w:val="Normal1"/>
      </w:pPr>
      <w:r>
        <w:t xml:space="preserve">A tax charge on adjustments of £145 million in respect of withholding tax in France has been recognised in the year, of which £16 million relates to current tax and £129 million relates to deferred tax (reflected within line items ‘French withholding tax’ and ‘On valuation movements’ respectively in table </w:t>
      </w:r>
      <w:r w:rsidR="00064621">
        <w:t>9</w:t>
      </w:r>
      <w:r>
        <w:t xml:space="preserve">(i)). The charge relates to probable withholding tax due on profits distributed from the French business. This has been recognised in light of an ongoing discussion with the French tax authorities, following the receipt of formal tax assessments during the second half of 2021. </w:t>
      </w:r>
    </w:p>
    <w:p w14:paraId="65200F9E" w14:textId="77777777" w:rsidR="00B940B6" w:rsidRDefault="00B940B6" w:rsidP="00B940B6">
      <w:pPr>
        <w:pStyle w:val="Normal1"/>
      </w:pPr>
    </w:p>
    <w:p w14:paraId="263C37FC" w14:textId="77777777" w:rsidR="00B940B6" w:rsidRDefault="00B940B6" w:rsidP="00B940B6">
      <w:pPr>
        <w:pStyle w:val="Normal1"/>
      </w:pPr>
    </w:p>
    <w:p w14:paraId="77DDCC39" w14:textId="1A03FE37" w:rsidR="002033A7" w:rsidRDefault="002033A7" w:rsidP="00BA4E4C">
      <w:pPr>
        <w:pStyle w:val="Normal1"/>
      </w:pPr>
      <w:r>
        <w:lastRenderedPageBreak/>
        <w:t xml:space="preserve">During April 2021, the Group elected Sofibus Patrimoine S.A. into the SIIC regime in France. The entry cost to the regime was €45 million (£38 million) and is payable over a period of four years, of which the first payment of €12 million (£10 million) was made during 2021. The entire entry cost has been recognised in the Income Statement for the year ended 31 December 2021. </w:t>
      </w:r>
    </w:p>
    <w:p w14:paraId="12F08D49" w14:textId="77777777" w:rsidR="002033A7" w:rsidRDefault="002033A7" w:rsidP="00BA4E4C">
      <w:pPr>
        <w:pStyle w:val="Normal1"/>
      </w:pPr>
      <w:r>
        <w:t>The Group operates in a number of jurisdictions and is subject to periodic challenges by local tax authorities on a range of tax matters during the normal course of business. The tax impact can be uncertain until a conclusion is reached with the relevant tax authority or through a legal process. The Group uses in-house expertise when assessing uncertain tax positions and seeks the advice of external professional advisors where appropriate. The Group believes that its accruals for tax liabilities are adequate for all open tax years based on its assessment of many factors, including tax laws and prior experience. The most significant assessment relating to the recognition of withholding tax in France is discussed above.</w:t>
      </w:r>
    </w:p>
    <w:p w14:paraId="4F878296" w14:textId="34F1F7D2" w:rsidR="005E793C" w:rsidRPr="003677B6" w:rsidRDefault="005E793C" w:rsidP="005E793C">
      <w:pPr>
        <w:pStyle w:val="Heading3"/>
      </w:pPr>
      <w:r w:rsidRPr="003677B6">
        <w:t>9(i</w:t>
      </w:r>
      <w:r w:rsidR="002033A7">
        <w:t>i</w:t>
      </w:r>
      <w:r w:rsidRPr="003677B6">
        <w:t>i) Deferred tax liabilities</w:t>
      </w:r>
    </w:p>
    <w:p w14:paraId="1CA9954D" w14:textId="77777777" w:rsidR="005E793C" w:rsidRPr="003677B6" w:rsidRDefault="005E793C" w:rsidP="005E793C">
      <w:pPr>
        <w:pStyle w:val="Normal1"/>
      </w:pPr>
      <w:r w:rsidRPr="003677B6">
        <w:t>Movement in deferred tax was as follows:</w:t>
      </w:r>
    </w:p>
    <w:tbl>
      <w:tblPr>
        <w:tblW w:w="10490" w:type="dxa"/>
        <w:tblLayout w:type="fixed"/>
        <w:tblCellMar>
          <w:left w:w="0" w:type="dxa"/>
          <w:right w:w="0" w:type="dxa"/>
        </w:tblCellMar>
        <w:tblLook w:val="01E0" w:firstRow="1" w:lastRow="1" w:firstColumn="1" w:lastColumn="1" w:noHBand="0" w:noVBand="0"/>
      </w:tblPr>
      <w:tblGrid>
        <w:gridCol w:w="4820"/>
        <w:gridCol w:w="992"/>
        <w:gridCol w:w="992"/>
        <w:gridCol w:w="1134"/>
        <w:gridCol w:w="1276"/>
        <w:gridCol w:w="1276"/>
      </w:tblGrid>
      <w:tr w:rsidR="00DD1DB8" w:rsidRPr="00DD1DB8" w14:paraId="2BB25273" w14:textId="77777777" w:rsidTr="00DD1DB8">
        <w:tc>
          <w:tcPr>
            <w:tcW w:w="4820" w:type="dxa"/>
            <w:tcBorders>
              <w:bottom w:val="single" w:sz="8" w:space="0" w:color="999999"/>
            </w:tcBorders>
            <w:shd w:val="clear" w:color="auto" w:fill="auto"/>
            <w:vAlign w:val="bottom"/>
          </w:tcPr>
          <w:p w14:paraId="30D17886" w14:textId="77777777" w:rsidR="003677B6" w:rsidRPr="00DD1DB8" w:rsidRDefault="003677B6" w:rsidP="00E30618">
            <w:pPr>
              <w:pStyle w:val="TabletextBold"/>
              <w:spacing w:line="160" w:lineRule="atLeast"/>
            </w:pPr>
          </w:p>
        </w:tc>
        <w:tc>
          <w:tcPr>
            <w:tcW w:w="992" w:type="dxa"/>
            <w:tcBorders>
              <w:bottom w:val="single" w:sz="8" w:space="0" w:color="999999"/>
            </w:tcBorders>
            <w:shd w:val="clear" w:color="auto" w:fill="auto"/>
            <w:vAlign w:val="bottom"/>
          </w:tcPr>
          <w:p w14:paraId="5B778E1E" w14:textId="015119F9" w:rsidR="003677B6" w:rsidRPr="00DD1DB8" w:rsidRDefault="003677B6" w:rsidP="00E30618">
            <w:pPr>
              <w:pStyle w:val="TableColHeadsBold0"/>
            </w:pPr>
            <w:r w:rsidRPr="00DD1DB8">
              <w:t>Balance</w:t>
            </w:r>
            <w:r w:rsidRPr="00DD1DB8">
              <w:br/>
              <w:t>1 January 2021</w:t>
            </w:r>
            <w:r w:rsidRPr="00DD1DB8">
              <w:br/>
              <w:t>£m</w:t>
            </w:r>
          </w:p>
        </w:tc>
        <w:tc>
          <w:tcPr>
            <w:tcW w:w="992" w:type="dxa"/>
            <w:tcBorders>
              <w:bottom w:val="single" w:sz="8" w:space="0" w:color="999999"/>
            </w:tcBorders>
            <w:shd w:val="clear" w:color="auto" w:fill="auto"/>
            <w:vAlign w:val="bottom"/>
          </w:tcPr>
          <w:p w14:paraId="1493F27D" w14:textId="77777777" w:rsidR="003677B6" w:rsidRPr="00DD1DB8" w:rsidRDefault="003677B6" w:rsidP="00E30618">
            <w:pPr>
              <w:pStyle w:val="TableColHeadsBold0"/>
            </w:pPr>
            <w:r w:rsidRPr="00DD1DB8">
              <w:t>Exchange</w:t>
            </w:r>
            <w:r w:rsidRPr="00DD1DB8">
              <w:br/>
              <w:t>movement</w:t>
            </w:r>
            <w:r w:rsidRPr="00DD1DB8">
              <w:br/>
              <w:t>£m</w:t>
            </w:r>
          </w:p>
        </w:tc>
        <w:tc>
          <w:tcPr>
            <w:tcW w:w="1134" w:type="dxa"/>
            <w:tcBorders>
              <w:bottom w:val="single" w:sz="8" w:space="0" w:color="999999"/>
            </w:tcBorders>
            <w:shd w:val="clear" w:color="auto" w:fill="auto"/>
            <w:vAlign w:val="bottom"/>
          </w:tcPr>
          <w:p w14:paraId="0ACA53DF" w14:textId="46E56A60" w:rsidR="003677B6" w:rsidRPr="00DD1DB8" w:rsidRDefault="003677B6" w:rsidP="00E30618">
            <w:pPr>
              <w:pStyle w:val="TableColHeadsBold0"/>
            </w:pPr>
            <w:r w:rsidRPr="00DD1DB8">
              <w:t xml:space="preserve">Acquisitions/ disposals </w:t>
            </w:r>
            <w:r w:rsidRPr="00DD1DB8">
              <w:br/>
              <w:t>£m</w:t>
            </w:r>
          </w:p>
        </w:tc>
        <w:tc>
          <w:tcPr>
            <w:tcW w:w="1276" w:type="dxa"/>
            <w:tcBorders>
              <w:bottom w:val="single" w:sz="8" w:space="0" w:color="999999"/>
            </w:tcBorders>
            <w:vAlign w:val="bottom"/>
          </w:tcPr>
          <w:p w14:paraId="0F0036CE" w14:textId="77777777" w:rsidR="003677B6" w:rsidRPr="00DD1DB8" w:rsidRDefault="003677B6" w:rsidP="00E30618">
            <w:pPr>
              <w:pStyle w:val="TableColHeadsBold0"/>
            </w:pPr>
            <w:r w:rsidRPr="00DD1DB8">
              <w:t>Recognised in income</w:t>
            </w:r>
            <w:r w:rsidRPr="00DD1DB8">
              <w:br/>
              <w:t>£m</w:t>
            </w:r>
          </w:p>
        </w:tc>
        <w:tc>
          <w:tcPr>
            <w:tcW w:w="1276" w:type="dxa"/>
            <w:tcBorders>
              <w:bottom w:val="single" w:sz="8" w:space="0" w:color="999999"/>
            </w:tcBorders>
            <w:shd w:val="clear" w:color="auto" w:fill="auto"/>
            <w:vAlign w:val="bottom"/>
          </w:tcPr>
          <w:p w14:paraId="1643376F" w14:textId="772063CE" w:rsidR="003677B6" w:rsidRPr="00DD1DB8" w:rsidRDefault="003677B6" w:rsidP="00E30618">
            <w:pPr>
              <w:pStyle w:val="TableColHeads"/>
              <w:spacing w:line="160" w:lineRule="atLeast"/>
              <w:rPr>
                <w:b/>
              </w:rPr>
            </w:pPr>
            <w:r w:rsidRPr="00DD1DB8">
              <w:rPr>
                <w:b/>
              </w:rPr>
              <w:t>Balance</w:t>
            </w:r>
            <w:r w:rsidRPr="00DD1DB8">
              <w:rPr>
                <w:b/>
              </w:rPr>
              <w:br/>
              <w:t>31 December 2021</w:t>
            </w:r>
            <w:r w:rsidRPr="00DD1DB8">
              <w:rPr>
                <w:b/>
              </w:rPr>
              <w:br/>
              <w:t>£m</w:t>
            </w:r>
          </w:p>
        </w:tc>
      </w:tr>
      <w:tr w:rsidR="00DD1DB8" w:rsidRPr="00DD1DB8" w14:paraId="2E9C3037" w14:textId="77777777" w:rsidTr="00DD1DB8">
        <w:trPr>
          <w:trHeight w:val="227"/>
        </w:trPr>
        <w:tc>
          <w:tcPr>
            <w:tcW w:w="4820" w:type="dxa"/>
            <w:tcBorders>
              <w:top w:val="single" w:sz="8" w:space="0" w:color="999999"/>
            </w:tcBorders>
            <w:vAlign w:val="bottom"/>
          </w:tcPr>
          <w:p w14:paraId="7311D74C" w14:textId="77777777" w:rsidR="003677B6" w:rsidRPr="00DD1DB8" w:rsidRDefault="003677B6" w:rsidP="00E30618">
            <w:pPr>
              <w:pStyle w:val="Tabletext"/>
              <w:rPr>
                <w:szCs w:val="20"/>
              </w:rPr>
            </w:pPr>
            <w:r w:rsidRPr="00DD1DB8">
              <w:rPr>
                <w:szCs w:val="20"/>
              </w:rPr>
              <w:t>Valuation surpluses and deficits on properties/accelerated tax allowances</w:t>
            </w:r>
          </w:p>
        </w:tc>
        <w:tc>
          <w:tcPr>
            <w:tcW w:w="992" w:type="dxa"/>
            <w:tcBorders>
              <w:top w:val="single" w:sz="8" w:space="0" w:color="999999"/>
            </w:tcBorders>
            <w:shd w:val="clear" w:color="auto" w:fill="auto"/>
            <w:vAlign w:val="bottom"/>
          </w:tcPr>
          <w:p w14:paraId="7D4EDC23" w14:textId="47FB0DA2" w:rsidR="003677B6" w:rsidRPr="00DD1DB8" w:rsidRDefault="00DD1DB8" w:rsidP="00E30618">
            <w:pPr>
              <w:pStyle w:val="TableFiguresBold0"/>
            </w:pPr>
            <w:r w:rsidRPr="00DD1DB8">
              <w:t>84</w:t>
            </w:r>
          </w:p>
        </w:tc>
        <w:tc>
          <w:tcPr>
            <w:tcW w:w="992" w:type="dxa"/>
            <w:tcBorders>
              <w:top w:val="single" w:sz="8" w:space="0" w:color="999999"/>
            </w:tcBorders>
            <w:shd w:val="clear" w:color="auto" w:fill="auto"/>
            <w:vAlign w:val="bottom"/>
          </w:tcPr>
          <w:p w14:paraId="5560230C" w14:textId="49775F5C" w:rsidR="003677B6" w:rsidRPr="00DD1DB8" w:rsidRDefault="00DD1DB8" w:rsidP="007B28BE">
            <w:pPr>
              <w:pStyle w:val="TableFiguresBracketsBold"/>
            </w:pPr>
            <w:r w:rsidRPr="00DD1DB8">
              <w:t>(10)</w:t>
            </w:r>
          </w:p>
        </w:tc>
        <w:tc>
          <w:tcPr>
            <w:tcW w:w="1134" w:type="dxa"/>
            <w:tcBorders>
              <w:top w:val="single" w:sz="8" w:space="0" w:color="999999"/>
            </w:tcBorders>
            <w:shd w:val="clear" w:color="auto" w:fill="auto"/>
            <w:vAlign w:val="bottom"/>
          </w:tcPr>
          <w:p w14:paraId="642D78C5" w14:textId="1B5C4CC9" w:rsidR="003677B6" w:rsidRPr="00DD1DB8" w:rsidRDefault="00DD1DB8" w:rsidP="007B28BE">
            <w:pPr>
              <w:pStyle w:val="TableFiguresBold0"/>
            </w:pPr>
            <w:r w:rsidRPr="00DD1DB8">
              <w:t>–</w:t>
            </w:r>
          </w:p>
        </w:tc>
        <w:tc>
          <w:tcPr>
            <w:tcW w:w="1276" w:type="dxa"/>
            <w:tcBorders>
              <w:top w:val="single" w:sz="8" w:space="0" w:color="999999"/>
            </w:tcBorders>
            <w:vAlign w:val="bottom"/>
          </w:tcPr>
          <w:p w14:paraId="3F7F0F9C" w14:textId="6E93A5E3" w:rsidR="003677B6" w:rsidRPr="00DD1DB8" w:rsidRDefault="00DD1DB8" w:rsidP="00E30618">
            <w:pPr>
              <w:pStyle w:val="TableFiguresBold0"/>
            </w:pPr>
            <w:r w:rsidRPr="00DD1DB8">
              <w:t>185</w:t>
            </w:r>
          </w:p>
        </w:tc>
        <w:tc>
          <w:tcPr>
            <w:tcW w:w="1276" w:type="dxa"/>
            <w:tcBorders>
              <w:top w:val="single" w:sz="8" w:space="0" w:color="999999"/>
            </w:tcBorders>
            <w:shd w:val="clear" w:color="auto" w:fill="auto"/>
            <w:vAlign w:val="bottom"/>
          </w:tcPr>
          <w:p w14:paraId="088698AF" w14:textId="0BA4B8BA" w:rsidR="003677B6" w:rsidRPr="00DD1DB8" w:rsidRDefault="00DD1DB8" w:rsidP="00E30618">
            <w:pPr>
              <w:pStyle w:val="TableFiguresBold0"/>
            </w:pPr>
            <w:r w:rsidRPr="00DD1DB8">
              <w:t>259</w:t>
            </w:r>
          </w:p>
        </w:tc>
      </w:tr>
      <w:tr w:rsidR="00DD1DB8" w:rsidRPr="00DD1DB8" w14:paraId="49D75714" w14:textId="77777777" w:rsidTr="00DD1DB8">
        <w:trPr>
          <w:trHeight w:val="227"/>
        </w:trPr>
        <w:tc>
          <w:tcPr>
            <w:tcW w:w="4820" w:type="dxa"/>
            <w:tcBorders>
              <w:bottom w:val="single" w:sz="4" w:space="0" w:color="999999"/>
            </w:tcBorders>
            <w:shd w:val="clear" w:color="auto" w:fill="auto"/>
            <w:vAlign w:val="bottom"/>
          </w:tcPr>
          <w:p w14:paraId="4B9926DC" w14:textId="77777777" w:rsidR="003677B6" w:rsidRPr="00DD1DB8" w:rsidRDefault="003677B6" w:rsidP="00E30618">
            <w:pPr>
              <w:pStyle w:val="Tabletext"/>
              <w:rPr>
                <w:szCs w:val="20"/>
              </w:rPr>
            </w:pPr>
            <w:r w:rsidRPr="00DD1DB8">
              <w:rPr>
                <w:szCs w:val="20"/>
              </w:rPr>
              <w:t>Others</w:t>
            </w:r>
          </w:p>
        </w:tc>
        <w:tc>
          <w:tcPr>
            <w:tcW w:w="992" w:type="dxa"/>
            <w:tcBorders>
              <w:bottom w:val="single" w:sz="4" w:space="0" w:color="999999"/>
            </w:tcBorders>
            <w:shd w:val="clear" w:color="auto" w:fill="auto"/>
            <w:vAlign w:val="bottom"/>
          </w:tcPr>
          <w:p w14:paraId="0E7AE982" w14:textId="08DE451C" w:rsidR="003677B6" w:rsidRPr="00DD1DB8" w:rsidRDefault="00DD1DB8" w:rsidP="00E30618">
            <w:pPr>
              <w:pStyle w:val="TableFiguresBold0"/>
            </w:pPr>
            <w:r w:rsidRPr="00DD1DB8">
              <w:t>3</w:t>
            </w:r>
          </w:p>
        </w:tc>
        <w:tc>
          <w:tcPr>
            <w:tcW w:w="992" w:type="dxa"/>
            <w:tcBorders>
              <w:bottom w:val="single" w:sz="4" w:space="0" w:color="999999"/>
            </w:tcBorders>
            <w:shd w:val="clear" w:color="auto" w:fill="auto"/>
            <w:vAlign w:val="bottom"/>
          </w:tcPr>
          <w:p w14:paraId="1C5CC698" w14:textId="2E8D38CF" w:rsidR="003677B6" w:rsidRPr="00DD1DB8" w:rsidRDefault="00DD1DB8" w:rsidP="007B28BE">
            <w:pPr>
              <w:pStyle w:val="TableFiguresBracketsBold"/>
            </w:pPr>
            <w:r w:rsidRPr="00DD1DB8">
              <w:t>(1)</w:t>
            </w:r>
          </w:p>
        </w:tc>
        <w:tc>
          <w:tcPr>
            <w:tcW w:w="1134" w:type="dxa"/>
            <w:tcBorders>
              <w:bottom w:val="single" w:sz="4" w:space="0" w:color="999999"/>
            </w:tcBorders>
            <w:shd w:val="clear" w:color="auto" w:fill="auto"/>
            <w:vAlign w:val="bottom"/>
          </w:tcPr>
          <w:p w14:paraId="2E3B68B2" w14:textId="0FD0A02B" w:rsidR="003677B6" w:rsidRPr="00DD1DB8" w:rsidRDefault="00DD1DB8" w:rsidP="007B28BE">
            <w:pPr>
              <w:pStyle w:val="TableFiguresBold0"/>
            </w:pPr>
            <w:r w:rsidRPr="00DD1DB8">
              <w:t>–</w:t>
            </w:r>
          </w:p>
        </w:tc>
        <w:tc>
          <w:tcPr>
            <w:tcW w:w="1276" w:type="dxa"/>
            <w:tcBorders>
              <w:bottom w:val="single" w:sz="4" w:space="0" w:color="999999"/>
            </w:tcBorders>
            <w:vAlign w:val="bottom"/>
          </w:tcPr>
          <w:p w14:paraId="382C4656" w14:textId="365452C9" w:rsidR="003677B6" w:rsidRPr="00DD1DB8" w:rsidRDefault="00DD1DB8" w:rsidP="002313ED">
            <w:pPr>
              <w:pStyle w:val="TableFiguresBold0"/>
            </w:pPr>
            <w:r w:rsidRPr="00DD1DB8">
              <w:t>13</w:t>
            </w:r>
          </w:p>
        </w:tc>
        <w:tc>
          <w:tcPr>
            <w:tcW w:w="1276" w:type="dxa"/>
            <w:tcBorders>
              <w:bottom w:val="single" w:sz="4" w:space="0" w:color="999999"/>
            </w:tcBorders>
            <w:shd w:val="clear" w:color="auto" w:fill="auto"/>
            <w:vAlign w:val="bottom"/>
          </w:tcPr>
          <w:p w14:paraId="15932AA2" w14:textId="58462BF8" w:rsidR="003677B6" w:rsidRPr="00DD1DB8" w:rsidRDefault="00DD1DB8" w:rsidP="00E30618">
            <w:pPr>
              <w:pStyle w:val="TableFiguresBold0"/>
            </w:pPr>
            <w:r w:rsidRPr="00DD1DB8">
              <w:t>15</w:t>
            </w:r>
          </w:p>
        </w:tc>
      </w:tr>
      <w:tr w:rsidR="00DD1DB8" w:rsidRPr="00DD1DB8" w14:paraId="180F0B14" w14:textId="77777777" w:rsidTr="00DD1DB8">
        <w:trPr>
          <w:trHeight w:val="227"/>
        </w:trPr>
        <w:tc>
          <w:tcPr>
            <w:tcW w:w="4820" w:type="dxa"/>
            <w:tcBorders>
              <w:top w:val="single" w:sz="4" w:space="0" w:color="999999"/>
              <w:bottom w:val="single" w:sz="8" w:space="0" w:color="999999"/>
            </w:tcBorders>
            <w:shd w:val="clear" w:color="auto" w:fill="auto"/>
            <w:vAlign w:val="bottom"/>
          </w:tcPr>
          <w:p w14:paraId="65346604" w14:textId="77777777" w:rsidR="003677B6" w:rsidRPr="00DD1DB8" w:rsidRDefault="003677B6" w:rsidP="00E30618">
            <w:pPr>
              <w:pStyle w:val="TabletextBold"/>
              <w:rPr>
                <w:szCs w:val="20"/>
              </w:rPr>
            </w:pPr>
            <w:r w:rsidRPr="00DD1DB8">
              <w:rPr>
                <w:szCs w:val="20"/>
              </w:rPr>
              <w:t>Total deferred tax liabilities</w:t>
            </w:r>
          </w:p>
        </w:tc>
        <w:tc>
          <w:tcPr>
            <w:tcW w:w="992" w:type="dxa"/>
            <w:tcBorders>
              <w:top w:val="single" w:sz="4" w:space="0" w:color="999999"/>
              <w:bottom w:val="single" w:sz="8" w:space="0" w:color="999999"/>
            </w:tcBorders>
            <w:shd w:val="clear" w:color="auto" w:fill="auto"/>
            <w:vAlign w:val="bottom"/>
          </w:tcPr>
          <w:p w14:paraId="312AE1A1" w14:textId="3D47D646" w:rsidR="003677B6" w:rsidRPr="00DD1DB8" w:rsidRDefault="00DD1DB8" w:rsidP="00E30618">
            <w:pPr>
              <w:pStyle w:val="TableFiguresBold0"/>
            </w:pPr>
            <w:r w:rsidRPr="00DD1DB8">
              <w:t>87</w:t>
            </w:r>
          </w:p>
        </w:tc>
        <w:tc>
          <w:tcPr>
            <w:tcW w:w="992" w:type="dxa"/>
            <w:tcBorders>
              <w:top w:val="single" w:sz="4" w:space="0" w:color="999999"/>
              <w:bottom w:val="single" w:sz="8" w:space="0" w:color="999999"/>
            </w:tcBorders>
            <w:shd w:val="clear" w:color="auto" w:fill="auto"/>
            <w:vAlign w:val="bottom"/>
          </w:tcPr>
          <w:p w14:paraId="551EB202" w14:textId="0E944F3C" w:rsidR="003677B6" w:rsidRPr="00FD1A13" w:rsidRDefault="00DD1DB8" w:rsidP="007B28BE">
            <w:pPr>
              <w:pStyle w:val="TableFiguresBracketsBold"/>
            </w:pPr>
            <w:r w:rsidRPr="00FD1A13">
              <w:t>(11)</w:t>
            </w:r>
          </w:p>
        </w:tc>
        <w:tc>
          <w:tcPr>
            <w:tcW w:w="1134" w:type="dxa"/>
            <w:tcBorders>
              <w:top w:val="single" w:sz="4" w:space="0" w:color="999999"/>
              <w:bottom w:val="single" w:sz="8" w:space="0" w:color="999999"/>
            </w:tcBorders>
            <w:shd w:val="clear" w:color="auto" w:fill="auto"/>
            <w:vAlign w:val="bottom"/>
          </w:tcPr>
          <w:p w14:paraId="159FCC5F" w14:textId="0F819AE2" w:rsidR="003677B6" w:rsidRPr="00DD1DB8" w:rsidRDefault="00DD1DB8" w:rsidP="007B28BE">
            <w:pPr>
              <w:pStyle w:val="TableFiguresBold0"/>
            </w:pPr>
            <w:r w:rsidRPr="00DD1DB8">
              <w:t>–</w:t>
            </w:r>
          </w:p>
        </w:tc>
        <w:tc>
          <w:tcPr>
            <w:tcW w:w="1276" w:type="dxa"/>
            <w:tcBorders>
              <w:top w:val="single" w:sz="4" w:space="0" w:color="999999"/>
              <w:bottom w:val="single" w:sz="8" w:space="0" w:color="999999"/>
            </w:tcBorders>
            <w:vAlign w:val="bottom"/>
          </w:tcPr>
          <w:p w14:paraId="2E702397" w14:textId="0E1E5996" w:rsidR="003677B6" w:rsidRPr="00DD1DB8" w:rsidRDefault="00DD1DB8" w:rsidP="00E30618">
            <w:pPr>
              <w:pStyle w:val="TableFiguresBold0"/>
            </w:pPr>
            <w:r w:rsidRPr="00DD1DB8">
              <w:t>198</w:t>
            </w:r>
          </w:p>
        </w:tc>
        <w:tc>
          <w:tcPr>
            <w:tcW w:w="1276" w:type="dxa"/>
            <w:tcBorders>
              <w:top w:val="single" w:sz="4" w:space="0" w:color="999999"/>
              <w:bottom w:val="single" w:sz="8" w:space="0" w:color="999999"/>
            </w:tcBorders>
            <w:shd w:val="clear" w:color="auto" w:fill="auto"/>
            <w:vAlign w:val="bottom"/>
          </w:tcPr>
          <w:p w14:paraId="1F1231D9" w14:textId="7A4F2604" w:rsidR="003677B6" w:rsidRPr="00DD1DB8" w:rsidRDefault="00DD1DB8" w:rsidP="00E30618">
            <w:pPr>
              <w:pStyle w:val="TableFiguresBold0"/>
            </w:pPr>
            <w:r w:rsidRPr="00DD1DB8">
              <w:t>274</w:t>
            </w:r>
          </w:p>
        </w:tc>
      </w:tr>
    </w:tbl>
    <w:p w14:paraId="7CA9E47B" w14:textId="3EAA0676" w:rsidR="005E793C" w:rsidRPr="00DD1DB8" w:rsidRDefault="005E793C" w:rsidP="002A206B">
      <w:pPr>
        <w:pStyle w:val="Heading3"/>
      </w:pPr>
      <w:r w:rsidRPr="00DD1DB8">
        <w:t>10. DIVIDENDS</w:t>
      </w:r>
    </w:p>
    <w:tbl>
      <w:tblPr>
        <w:tblW w:w="10553" w:type="dxa"/>
        <w:tblLayout w:type="fixed"/>
        <w:tblCellMar>
          <w:left w:w="0" w:type="dxa"/>
          <w:right w:w="0" w:type="dxa"/>
        </w:tblCellMar>
        <w:tblLook w:val="01E0" w:firstRow="1" w:lastRow="1" w:firstColumn="1" w:lastColumn="1" w:noHBand="0" w:noVBand="0"/>
      </w:tblPr>
      <w:tblGrid>
        <w:gridCol w:w="5954"/>
        <w:gridCol w:w="1559"/>
        <w:gridCol w:w="1418"/>
        <w:gridCol w:w="1622"/>
      </w:tblGrid>
      <w:tr w:rsidR="005F6D8A" w:rsidRPr="00DD1DB8" w14:paraId="5B52512B" w14:textId="77777777" w:rsidTr="00E30618">
        <w:tc>
          <w:tcPr>
            <w:tcW w:w="5954" w:type="dxa"/>
            <w:tcBorders>
              <w:bottom w:val="single" w:sz="8" w:space="0" w:color="999999"/>
            </w:tcBorders>
            <w:shd w:val="clear" w:color="auto" w:fill="auto"/>
            <w:vAlign w:val="bottom"/>
          </w:tcPr>
          <w:p w14:paraId="1CAF2DC2" w14:textId="77777777" w:rsidR="005E793C" w:rsidRPr="00DD1DB8" w:rsidRDefault="005E793C" w:rsidP="00E30618">
            <w:pPr>
              <w:pStyle w:val="Tabletext"/>
              <w:spacing w:line="160" w:lineRule="atLeast"/>
            </w:pPr>
          </w:p>
        </w:tc>
        <w:tc>
          <w:tcPr>
            <w:tcW w:w="1559" w:type="dxa"/>
            <w:tcBorders>
              <w:bottom w:val="single" w:sz="8" w:space="0" w:color="999999"/>
            </w:tcBorders>
            <w:shd w:val="clear" w:color="auto" w:fill="auto"/>
            <w:vAlign w:val="bottom"/>
          </w:tcPr>
          <w:p w14:paraId="077B34AF" w14:textId="77777777" w:rsidR="005E793C" w:rsidRPr="00DD1DB8" w:rsidRDefault="005E793C" w:rsidP="00E30618">
            <w:pPr>
              <w:pStyle w:val="TableColHeadsBold0"/>
            </w:pPr>
          </w:p>
        </w:tc>
        <w:tc>
          <w:tcPr>
            <w:tcW w:w="1418" w:type="dxa"/>
            <w:tcBorders>
              <w:bottom w:val="single" w:sz="8" w:space="0" w:color="999999"/>
            </w:tcBorders>
            <w:shd w:val="clear" w:color="auto" w:fill="auto"/>
            <w:vAlign w:val="bottom"/>
          </w:tcPr>
          <w:p w14:paraId="1CA0E2CF" w14:textId="45D9DFF3" w:rsidR="005E793C" w:rsidRPr="00DD1DB8" w:rsidRDefault="005E793C" w:rsidP="00E30618">
            <w:pPr>
              <w:pStyle w:val="TableColHeadsBold0"/>
            </w:pPr>
            <w:r w:rsidRPr="00DD1DB8">
              <w:t>20</w:t>
            </w:r>
            <w:r w:rsidR="00E5736D" w:rsidRPr="00DD1DB8">
              <w:t>2</w:t>
            </w:r>
            <w:r w:rsidR="00DD1DB8" w:rsidRPr="00DD1DB8">
              <w:t>1</w:t>
            </w:r>
            <w:r w:rsidRPr="00DD1DB8">
              <w:br/>
              <w:t>£m</w:t>
            </w:r>
          </w:p>
        </w:tc>
        <w:tc>
          <w:tcPr>
            <w:tcW w:w="1622" w:type="dxa"/>
            <w:tcBorders>
              <w:bottom w:val="single" w:sz="8" w:space="0" w:color="999999"/>
            </w:tcBorders>
            <w:shd w:val="clear" w:color="auto" w:fill="auto"/>
            <w:vAlign w:val="bottom"/>
          </w:tcPr>
          <w:p w14:paraId="6329F2BE" w14:textId="0191FFCC" w:rsidR="005E793C" w:rsidRPr="00DD1DB8" w:rsidRDefault="005E793C" w:rsidP="00E30618">
            <w:pPr>
              <w:pStyle w:val="TableColHeads"/>
              <w:spacing w:line="160" w:lineRule="atLeast"/>
            </w:pPr>
            <w:r w:rsidRPr="00DD1DB8">
              <w:t>20</w:t>
            </w:r>
            <w:r w:rsidR="00DD1DB8" w:rsidRPr="00DD1DB8">
              <w:t>20</w:t>
            </w:r>
            <w:r w:rsidRPr="00DD1DB8">
              <w:br/>
              <w:t>£m</w:t>
            </w:r>
          </w:p>
        </w:tc>
      </w:tr>
      <w:tr w:rsidR="005F6D8A" w:rsidRPr="00DD1DB8" w14:paraId="6EB85573" w14:textId="77777777" w:rsidTr="00E30618">
        <w:tc>
          <w:tcPr>
            <w:tcW w:w="5954" w:type="dxa"/>
            <w:tcBorders>
              <w:top w:val="single" w:sz="8" w:space="0" w:color="999999"/>
            </w:tcBorders>
            <w:shd w:val="clear" w:color="auto" w:fill="auto"/>
            <w:vAlign w:val="bottom"/>
          </w:tcPr>
          <w:p w14:paraId="0000B8EA" w14:textId="77777777" w:rsidR="005E793C" w:rsidRPr="00DD1DB8" w:rsidRDefault="005E793C" w:rsidP="00E30618">
            <w:pPr>
              <w:pStyle w:val="TabletextBold"/>
              <w:rPr>
                <w:szCs w:val="20"/>
              </w:rPr>
            </w:pPr>
            <w:r w:rsidRPr="00DD1DB8">
              <w:rPr>
                <w:szCs w:val="20"/>
              </w:rPr>
              <w:t>Ordinary dividends paid</w:t>
            </w:r>
          </w:p>
        </w:tc>
        <w:tc>
          <w:tcPr>
            <w:tcW w:w="1559" w:type="dxa"/>
            <w:tcBorders>
              <w:top w:val="single" w:sz="8" w:space="0" w:color="999999"/>
            </w:tcBorders>
            <w:shd w:val="clear" w:color="auto" w:fill="auto"/>
            <w:vAlign w:val="bottom"/>
          </w:tcPr>
          <w:p w14:paraId="36C297C4" w14:textId="77777777" w:rsidR="005E793C" w:rsidRPr="00DD1DB8" w:rsidRDefault="005E793C" w:rsidP="00E30618">
            <w:pPr>
              <w:pStyle w:val="TableFiguresBold0"/>
              <w:rPr>
                <w:szCs w:val="20"/>
              </w:rPr>
            </w:pPr>
          </w:p>
        </w:tc>
        <w:tc>
          <w:tcPr>
            <w:tcW w:w="1418" w:type="dxa"/>
            <w:tcBorders>
              <w:top w:val="single" w:sz="8" w:space="0" w:color="999999"/>
            </w:tcBorders>
            <w:shd w:val="clear" w:color="auto" w:fill="auto"/>
            <w:vAlign w:val="bottom"/>
          </w:tcPr>
          <w:p w14:paraId="6244FADE" w14:textId="77777777" w:rsidR="005E793C" w:rsidRPr="00DD1DB8" w:rsidRDefault="005E793C" w:rsidP="00E30618">
            <w:pPr>
              <w:pStyle w:val="Tabletext"/>
              <w:rPr>
                <w:szCs w:val="20"/>
              </w:rPr>
            </w:pPr>
          </w:p>
        </w:tc>
        <w:tc>
          <w:tcPr>
            <w:tcW w:w="1622" w:type="dxa"/>
            <w:tcBorders>
              <w:top w:val="single" w:sz="8" w:space="0" w:color="999999"/>
            </w:tcBorders>
            <w:shd w:val="clear" w:color="auto" w:fill="auto"/>
            <w:vAlign w:val="bottom"/>
          </w:tcPr>
          <w:p w14:paraId="0B58F4E9" w14:textId="77777777" w:rsidR="005E793C" w:rsidRPr="00DD1DB8" w:rsidRDefault="005E793C" w:rsidP="00E30618">
            <w:pPr>
              <w:pStyle w:val="Tabletext"/>
              <w:rPr>
                <w:szCs w:val="20"/>
              </w:rPr>
            </w:pPr>
          </w:p>
        </w:tc>
      </w:tr>
      <w:tr w:rsidR="005F6D8A" w:rsidRPr="005F6D8A" w14:paraId="75A15D90" w14:textId="77777777" w:rsidTr="00E30618">
        <w:trPr>
          <w:trHeight w:hRule="exact" w:val="96"/>
        </w:trPr>
        <w:tc>
          <w:tcPr>
            <w:tcW w:w="5954" w:type="dxa"/>
            <w:shd w:val="clear" w:color="auto" w:fill="auto"/>
            <w:vAlign w:val="bottom"/>
          </w:tcPr>
          <w:p w14:paraId="30B30F92" w14:textId="77777777" w:rsidR="005E793C" w:rsidRPr="005F6D8A" w:rsidRDefault="005E793C" w:rsidP="00E30618">
            <w:pPr>
              <w:pStyle w:val="Tabletext"/>
              <w:rPr>
                <w:color w:val="FF0000"/>
                <w:szCs w:val="20"/>
              </w:rPr>
            </w:pPr>
          </w:p>
        </w:tc>
        <w:tc>
          <w:tcPr>
            <w:tcW w:w="1559" w:type="dxa"/>
            <w:shd w:val="clear" w:color="auto" w:fill="auto"/>
            <w:vAlign w:val="bottom"/>
          </w:tcPr>
          <w:p w14:paraId="60691201" w14:textId="77777777" w:rsidR="005E793C" w:rsidRPr="005F6D8A" w:rsidRDefault="005E793C" w:rsidP="00E30618">
            <w:pPr>
              <w:pStyle w:val="TableFiguresBold0"/>
              <w:rPr>
                <w:color w:val="FF0000"/>
                <w:szCs w:val="20"/>
              </w:rPr>
            </w:pPr>
          </w:p>
        </w:tc>
        <w:tc>
          <w:tcPr>
            <w:tcW w:w="1418" w:type="dxa"/>
            <w:shd w:val="clear" w:color="auto" w:fill="auto"/>
            <w:vAlign w:val="bottom"/>
          </w:tcPr>
          <w:p w14:paraId="39E49285" w14:textId="77777777" w:rsidR="005E793C" w:rsidRPr="005F6D8A" w:rsidRDefault="005E793C" w:rsidP="00E30618">
            <w:pPr>
              <w:pStyle w:val="TableFigures"/>
              <w:rPr>
                <w:color w:val="FF0000"/>
                <w:szCs w:val="20"/>
              </w:rPr>
            </w:pPr>
          </w:p>
        </w:tc>
        <w:tc>
          <w:tcPr>
            <w:tcW w:w="1622" w:type="dxa"/>
            <w:shd w:val="clear" w:color="auto" w:fill="auto"/>
            <w:vAlign w:val="bottom"/>
          </w:tcPr>
          <w:p w14:paraId="10D5D036" w14:textId="77777777" w:rsidR="005E793C" w:rsidRPr="005F6D8A" w:rsidRDefault="005E793C" w:rsidP="00E30618">
            <w:pPr>
              <w:pStyle w:val="TableFigures"/>
              <w:rPr>
                <w:color w:val="FF0000"/>
                <w:szCs w:val="20"/>
              </w:rPr>
            </w:pPr>
          </w:p>
        </w:tc>
      </w:tr>
      <w:tr w:rsidR="005F6D8A" w:rsidRPr="00DD1DB8" w14:paraId="1D739A15" w14:textId="77777777" w:rsidTr="00E30618">
        <w:trPr>
          <w:trHeight w:val="227"/>
        </w:trPr>
        <w:tc>
          <w:tcPr>
            <w:tcW w:w="5954" w:type="dxa"/>
            <w:shd w:val="clear" w:color="auto" w:fill="auto"/>
            <w:vAlign w:val="bottom"/>
          </w:tcPr>
          <w:p w14:paraId="4A8F551F" w14:textId="45CB3986" w:rsidR="005E793C" w:rsidRPr="00DD1DB8" w:rsidRDefault="005E793C" w:rsidP="00E30618">
            <w:pPr>
              <w:pStyle w:val="Tabletext"/>
              <w:rPr>
                <w:szCs w:val="20"/>
              </w:rPr>
            </w:pPr>
            <w:r w:rsidRPr="00DD1DB8">
              <w:rPr>
                <w:szCs w:val="20"/>
              </w:rPr>
              <w:t>Interim dividend for 20</w:t>
            </w:r>
            <w:r w:rsidR="00E5736D" w:rsidRPr="00DD1DB8">
              <w:rPr>
                <w:szCs w:val="20"/>
              </w:rPr>
              <w:t>2</w:t>
            </w:r>
            <w:r w:rsidR="00DD1DB8" w:rsidRPr="00DD1DB8">
              <w:rPr>
                <w:szCs w:val="20"/>
              </w:rPr>
              <w:t>1</w:t>
            </w:r>
            <w:r w:rsidRPr="00DD1DB8">
              <w:rPr>
                <w:szCs w:val="20"/>
              </w:rPr>
              <w:t xml:space="preserve"> @ </w:t>
            </w:r>
            <w:r w:rsidR="00DD1DB8" w:rsidRPr="00DD1DB8">
              <w:rPr>
                <w:szCs w:val="20"/>
              </w:rPr>
              <w:t>7.4</w:t>
            </w:r>
            <w:r w:rsidRPr="00DD1DB8">
              <w:rPr>
                <w:szCs w:val="20"/>
              </w:rPr>
              <w:t xml:space="preserve"> pence per share</w:t>
            </w:r>
          </w:p>
        </w:tc>
        <w:tc>
          <w:tcPr>
            <w:tcW w:w="1559" w:type="dxa"/>
            <w:shd w:val="clear" w:color="auto" w:fill="auto"/>
            <w:vAlign w:val="bottom"/>
          </w:tcPr>
          <w:p w14:paraId="77C1712E" w14:textId="77777777" w:rsidR="005E793C" w:rsidRPr="00DD1DB8" w:rsidRDefault="005E793C" w:rsidP="00E30618">
            <w:pPr>
              <w:pStyle w:val="TableFiguresBold0"/>
            </w:pPr>
          </w:p>
        </w:tc>
        <w:tc>
          <w:tcPr>
            <w:tcW w:w="1418" w:type="dxa"/>
            <w:shd w:val="clear" w:color="auto" w:fill="auto"/>
            <w:vAlign w:val="bottom"/>
          </w:tcPr>
          <w:p w14:paraId="531FF9A1" w14:textId="53E24186" w:rsidR="005E793C" w:rsidRPr="00DD1DB8" w:rsidRDefault="00DD1DB8" w:rsidP="00E30618">
            <w:pPr>
              <w:pStyle w:val="TableFiguresBold0"/>
            </w:pPr>
            <w:r w:rsidRPr="00DD1DB8">
              <w:t>89</w:t>
            </w:r>
          </w:p>
        </w:tc>
        <w:tc>
          <w:tcPr>
            <w:tcW w:w="1622" w:type="dxa"/>
            <w:shd w:val="clear" w:color="auto" w:fill="auto"/>
            <w:vAlign w:val="bottom"/>
          </w:tcPr>
          <w:p w14:paraId="0CB88283" w14:textId="77777777" w:rsidR="005E793C" w:rsidRPr="00DD1DB8" w:rsidRDefault="005E793C" w:rsidP="00E30618">
            <w:pPr>
              <w:pStyle w:val="TableFigures"/>
            </w:pPr>
            <w:r w:rsidRPr="00DD1DB8">
              <w:t>–</w:t>
            </w:r>
          </w:p>
        </w:tc>
      </w:tr>
      <w:tr w:rsidR="005F6D8A" w:rsidRPr="00DD1DB8" w14:paraId="1FAE4EFE" w14:textId="77777777" w:rsidTr="00E30618">
        <w:trPr>
          <w:trHeight w:val="227"/>
        </w:trPr>
        <w:tc>
          <w:tcPr>
            <w:tcW w:w="5954" w:type="dxa"/>
            <w:shd w:val="clear" w:color="auto" w:fill="auto"/>
            <w:vAlign w:val="bottom"/>
          </w:tcPr>
          <w:p w14:paraId="76EADDD5" w14:textId="206A9788" w:rsidR="005E793C" w:rsidRPr="00DD1DB8" w:rsidRDefault="005E793C" w:rsidP="00E30618">
            <w:pPr>
              <w:pStyle w:val="Tabletext"/>
              <w:rPr>
                <w:szCs w:val="20"/>
              </w:rPr>
            </w:pPr>
            <w:r w:rsidRPr="00DD1DB8">
              <w:rPr>
                <w:szCs w:val="20"/>
              </w:rPr>
              <w:t>Final dividend for 20</w:t>
            </w:r>
            <w:r w:rsidR="00DD1DB8" w:rsidRPr="00DD1DB8">
              <w:rPr>
                <w:szCs w:val="20"/>
              </w:rPr>
              <w:t>20</w:t>
            </w:r>
            <w:r w:rsidRPr="00DD1DB8">
              <w:rPr>
                <w:szCs w:val="20"/>
              </w:rPr>
              <w:t xml:space="preserve"> @ </w:t>
            </w:r>
            <w:r w:rsidR="00E5736D" w:rsidRPr="00DD1DB8">
              <w:rPr>
                <w:szCs w:val="20"/>
              </w:rPr>
              <w:t>1</w:t>
            </w:r>
            <w:r w:rsidR="00DD1DB8" w:rsidRPr="00DD1DB8">
              <w:rPr>
                <w:szCs w:val="20"/>
              </w:rPr>
              <w:t>5.2</w:t>
            </w:r>
            <w:r w:rsidRPr="00DD1DB8">
              <w:rPr>
                <w:szCs w:val="20"/>
              </w:rPr>
              <w:t xml:space="preserve"> pence per share</w:t>
            </w:r>
          </w:p>
        </w:tc>
        <w:tc>
          <w:tcPr>
            <w:tcW w:w="1559" w:type="dxa"/>
            <w:shd w:val="clear" w:color="auto" w:fill="auto"/>
            <w:vAlign w:val="bottom"/>
          </w:tcPr>
          <w:p w14:paraId="2B4D3C27" w14:textId="77777777" w:rsidR="005E793C" w:rsidRPr="00DD1DB8" w:rsidRDefault="005E793C" w:rsidP="00E30618">
            <w:pPr>
              <w:pStyle w:val="TableFiguresBold0"/>
            </w:pPr>
          </w:p>
        </w:tc>
        <w:tc>
          <w:tcPr>
            <w:tcW w:w="1418" w:type="dxa"/>
            <w:shd w:val="clear" w:color="auto" w:fill="auto"/>
            <w:vAlign w:val="bottom"/>
          </w:tcPr>
          <w:p w14:paraId="4D095CBD" w14:textId="07E683FC" w:rsidR="005E793C" w:rsidRPr="00DD1DB8" w:rsidRDefault="00DD1DB8" w:rsidP="00E30618">
            <w:pPr>
              <w:pStyle w:val="TableFiguresBold0"/>
            </w:pPr>
            <w:r w:rsidRPr="00DD1DB8">
              <w:t>181</w:t>
            </w:r>
          </w:p>
        </w:tc>
        <w:tc>
          <w:tcPr>
            <w:tcW w:w="1622" w:type="dxa"/>
            <w:shd w:val="clear" w:color="auto" w:fill="auto"/>
            <w:vAlign w:val="bottom"/>
          </w:tcPr>
          <w:p w14:paraId="7B379DD1" w14:textId="77777777" w:rsidR="005E793C" w:rsidRPr="00DD1DB8" w:rsidRDefault="005E793C" w:rsidP="00E30618">
            <w:pPr>
              <w:pStyle w:val="TableFigures"/>
            </w:pPr>
            <w:r w:rsidRPr="00DD1DB8">
              <w:t>–</w:t>
            </w:r>
          </w:p>
        </w:tc>
      </w:tr>
      <w:tr w:rsidR="005F6D8A" w:rsidRPr="00DD1DB8" w14:paraId="440B0F15" w14:textId="77777777" w:rsidTr="00E30618">
        <w:trPr>
          <w:trHeight w:val="227"/>
        </w:trPr>
        <w:tc>
          <w:tcPr>
            <w:tcW w:w="5954" w:type="dxa"/>
            <w:shd w:val="clear" w:color="auto" w:fill="auto"/>
            <w:vAlign w:val="bottom"/>
          </w:tcPr>
          <w:p w14:paraId="7D1927AF" w14:textId="34440BAE" w:rsidR="005E793C" w:rsidRPr="00DD1DB8" w:rsidRDefault="005E793C" w:rsidP="00E30618">
            <w:pPr>
              <w:pStyle w:val="Tabletext"/>
              <w:rPr>
                <w:szCs w:val="20"/>
              </w:rPr>
            </w:pPr>
            <w:r w:rsidRPr="00DD1DB8">
              <w:rPr>
                <w:szCs w:val="20"/>
              </w:rPr>
              <w:t>Interim dividend for 20</w:t>
            </w:r>
            <w:r w:rsidR="00DD1DB8" w:rsidRPr="00DD1DB8">
              <w:rPr>
                <w:szCs w:val="20"/>
              </w:rPr>
              <w:t>20</w:t>
            </w:r>
            <w:r w:rsidRPr="00DD1DB8">
              <w:rPr>
                <w:szCs w:val="20"/>
              </w:rPr>
              <w:t xml:space="preserve"> @ </w:t>
            </w:r>
            <w:r w:rsidR="00E5736D" w:rsidRPr="00DD1DB8">
              <w:rPr>
                <w:szCs w:val="20"/>
              </w:rPr>
              <w:t>6.</w:t>
            </w:r>
            <w:r w:rsidR="00DD1DB8" w:rsidRPr="00DD1DB8">
              <w:rPr>
                <w:szCs w:val="20"/>
              </w:rPr>
              <w:t>9</w:t>
            </w:r>
            <w:r w:rsidRPr="00DD1DB8">
              <w:rPr>
                <w:szCs w:val="20"/>
              </w:rPr>
              <w:t xml:space="preserve"> pence per share</w:t>
            </w:r>
          </w:p>
        </w:tc>
        <w:tc>
          <w:tcPr>
            <w:tcW w:w="1559" w:type="dxa"/>
            <w:shd w:val="clear" w:color="auto" w:fill="auto"/>
            <w:vAlign w:val="bottom"/>
          </w:tcPr>
          <w:p w14:paraId="4914545E" w14:textId="77777777" w:rsidR="005E793C" w:rsidRPr="00DD1DB8" w:rsidRDefault="005E793C" w:rsidP="00E30618">
            <w:pPr>
              <w:pStyle w:val="TableFiguresBold0"/>
            </w:pPr>
          </w:p>
        </w:tc>
        <w:tc>
          <w:tcPr>
            <w:tcW w:w="1418" w:type="dxa"/>
            <w:shd w:val="clear" w:color="auto" w:fill="auto"/>
            <w:vAlign w:val="bottom"/>
          </w:tcPr>
          <w:p w14:paraId="2BF5744A" w14:textId="77777777" w:rsidR="005E793C" w:rsidRPr="00DD1DB8" w:rsidRDefault="005E793C" w:rsidP="00E30618">
            <w:pPr>
              <w:pStyle w:val="TableFiguresBold0"/>
            </w:pPr>
            <w:r w:rsidRPr="00DD1DB8">
              <w:t>–</w:t>
            </w:r>
          </w:p>
        </w:tc>
        <w:tc>
          <w:tcPr>
            <w:tcW w:w="1622" w:type="dxa"/>
            <w:shd w:val="clear" w:color="auto" w:fill="auto"/>
            <w:vAlign w:val="bottom"/>
          </w:tcPr>
          <w:p w14:paraId="027B0212" w14:textId="20C367DE" w:rsidR="005E793C" w:rsidRPr="00DD1DB8" w:rsidRDefault="00DD1DB8" w:rsidP="00E30618">
            <w:pPr>
              <w:pStyle w:val="TableFigures"/>
            </w:pPr>
            <w:r w:rsidRPr="00DD1DB8">
              <w:t>82</w:t>
            </w:r>
          </w:p>
        </w:tc>
      </w:tr>
      <w:tr w:rsidR="005F6D8A" w:rsidRPr="00DD1DB8" w14:paraId="34AD79E2" w14:textId="77777777" w:rsidTr="00E30618">
        <w:trPr>
          <w:trHeight w:val="227"/>
        </w:trPr>
        <w:tc>
          <w:tcPr>
            <w:tcW w:w="5954" w:type="dxa"/>
            <w:tcBorders>
              <w:bottom w:val="single" w:sz="4" w:space="0" w:color="999999"/>
            </w:tcBorders>
            <w:shd w:val="clear" w:color="auto" w:fill="auto"/>
            <w:vAlign w:val="bottom"/>
          </w:tcPr>
          <w:p w14:paraId="774E685A" w14:textId="3180F2CB" w:rsidR="005E793C" w:rsidRPr="00DD1DB8" w:rsidRDefault="005E793C" w:rsidP="00E30618">
            <w:pPr>
              <w:pStyle w:val="Tabletext"/>
              <w:rPr>
                <w:szCs w:val="20"/>
              </w:rPr>
            </w:pPr>
            <w:r w:rsidRPr="00DD1DB8">
              <w:rPr>
                <w:szCs w:val="20"/>
              </w:rPr>
              <w:t>Final dividend for 201</w:t>
            </w:r>
            <w:r w:rsidR="00DD1DB8" w:rsidRPr="00DD1DB8">
              <w:rPr>
                <w:szCs w:val="20"/>
              </w:rPr>
              <w:t>9</w:t>
            </w:r>
            <w:r w:rsidRPr="00DD1DB8">
              <w:rPr>
                <w:szCs w:val="20"/>
              </w:rPr>
              <w:t xml:space="preserve"> @ </w:t>
            </w:r>
            <w:r w:rsidR="00E5736D" w:rsidRPr="00DD1DB8">
              <w:rPr>
                <w:szCs w:val="20"/>
              </w:rPr>
              <w:t>1</w:t>
            </w:r>
            <w:r w:rsidR="00DD1DB8" w:rsidRPr="00DD1DB8">
              <w:rPr>
                <w:szCs w:val="20"/>
              </w:rPr>
              <w:t>4.4</w:t>
            </w:r>
            <w:r w:rsidRPr="00DD1DB8">
              <w:rPr>
                <w:szCs w:val="20"/>
              </w:rPr>
              <w:t xml:space="preserve"> pence per share</w:t>
            </w:r>
          </w:p>
        </w:tc>
        <w:tc>
          <w:tcPr>
            <w:tcW w:w="1559" w:type="dxa"/>
            <w:tcBorders>
              <w:bottom w:val="single" w:sz="4" w:space="0" w:color="999999"/>
            </w:tcBorders>
            <w:shd w:val="clear" w:color="auto" w:fill="auto"/>
            <w:vAlign w:val="bottom"/>
          </w:tcPr>
          <w:p w14:paraId="16063FBB" w14:textId="77777777" w:rsidR="005E793C" w:rsidRPr="00DD1DB8" w:rsidRDefault="005E793C" w:rsidP="00E30618">
            <w:pPr>
              <w:pStyle w:val="TableFiguresBold0"/>
            </w:pPr>
          </w:p>
        </w:tc>
        <w:tc>
          <w:tcPr>
            <w:tcW w:w="1418" w:type="dxa"/>
            <w:tcBorders>
              <w:bottom w:val="single" w:sz="4" w:space="0" w:color="999999"/>
            </w:tcBorders>
            <w:shd w:val="clear" w:color="auto" w:fill="auto"/>
            <w:vAlign w:val="bottom"/>
          </w:tcPr>
          <w:p w14:paraId="08C7A64E" w14:textId="77777777" w:rsidR="005E793C" w:rsidRPr="00DD1DB8" w:rsidRDefault="005E793C" w:rsidP="00E30618">
            <w:pPr>
              <w:pStyle w:val="TableFiguresBold0"/>
            </w:pPr>
            <w:r w:rsidRPr="00DD1DB8">
              <w:t>–</w:t>
            </w:r>
          </w:p>
        </w:tc>
        <w:tc>
          <w:tcPr>
            <w:tcW w:w="1622" w:type="dxa"/>
            <w:tcBorders>
              <w:bottom w:val="single" w:sz="4" w:space="0" w:color="999999"/>
            </w:tcBorders>
            <w:shd w:val="clear" w:color="auto" w:fill="auto"/>
            <w:vAlign w:val="bottom"/>
          </w:tcPr>
          <w:p w14:paraId="6E43A8BE" w14:textId="15830315" w:rsidR="005E793C" w:rsidRPr="00DD1DB8" w:rsidRDefault="00DD1DB8" w:rsidP="00E30618">
            <w:pPr>
              <w:pStyle w:val="TableFigures"/>
            </w:pPr>
            <w:r w:rsidRPr="00DD1DB8">
              <w:t>158</w:t>
            </w:r>
          </w:p>
        </w:tc>
      </w:tr>
      <w:tr w:rsidR="005E793C" w:rsidRPr="00DD1DB8" w14:paraId="6BCA6A3C" w14:textId="77777777" w:rsidTr="00E30618">
        <w:trPr>
          <w:trHeight w:val="204"/>
        </w:trPr>
        <w:tc>
          <w:tcPr>
            <w:tcW w:w="5954" w:type="dxa"/>
            <w:tcBorders>
              <w:top w:val="single" w:sz="4" w:space="0" w:color="999999"/>
              <w:bottom w:val="single" w:sz="8" w:space="0" w:color="999999"/>
            </w:tcBorders>
            <w:shd w:val="clear" w:color="auto" w:fill="auto"/>
            <w:vAlign w:val="bottom"/>
          </w:tcPr>
          <w:p w14:paraId="7E29AC7D" w14:textId="77777777" w:rsidR="005E793C" w:rsidRPr="00DD1DB8" w:rsidRDefault="005E793C" w:rsidP="00E30618">
            <w:pPr>
              <w:pStyle w:val="TabletextBold"/>
            </w:pPr>
            <w:r w:rsidRPr="00DD1DB8">
              <w:t>Total dividends</w:t>
            </w:r>
          </w:p>
        </w:tc>
        <w:tc>
          <w:tcPr>
            <w:tcW w:w="1559" w:type="dxa"/>
            <w:tcBorders>
              <w:top w:val="single" w:sz="4" w:space="0" w:color="999999"/>
              <w:bottom w:val="single" w:sz="8" w:space="0" w:color="999999"/>
            </w:tcBorders>
            <w:shd w:val="clear" w:color="auto" w:fill="auto"/>
            <w:vAlign w:val="bottom"/>
          </w:tcPr>
          <w:p w14:paraId="1FCB2C00" w14:textId="77777777" w:rsidR="005E793C" w:rsidRPr="00DD1DB8" w:rsidRDefault="005E793C" w:rsidP="00E30618">
            <w:pPr>
              <w:pStyle w:val="TableFiguresBold0"/>
            </w:pPr>
          </w:p>
        </w:tc>
        <w:tc>
          <w:tcPr>
            <w:tcW w:w="1418" w:type="dxa"/>
            <w:tcBorders>
              <w:top w:val="single" w:sz="4" w:space="0" w:color="999999"/>
              <w:bottom w:val="single" w:sz="8" w:space="0" w:color="999999"/>
            </w:tcBorders>
            <w:shd w:val="clear" w:color="auto" w:fill="auto"/>
            <w:vAlign w:val="bottom"/>
          </w:tcPr>
          <w:p w14:paraId="5063C7C0" w14:textId="4FBF069E" w:rsidR="005E793C" w:rsidRPr="00DD1DB8" w:rsidRDefault="00DD1DB8" w:rsidP="00E30618">
            <w:pPr>
              <w:pStyle w:val="TableFiguresBold0"/>
            </w:pPr>
            <w:r w:rsidRPr="00DD1DB8">
              <w:t>270</w:t>
            </w:r>
          </w:p>
        </w:tc>
        <w:tc>
          <w:tcPr>
            <w:tcW w:w="1622" w:type="dxa"/>
            <w:tcBorders>
              <w:top w:val="single" w:sz="4" w:space="0" w:color="999999"/>
              <w:bottom w:val="single" w:sz="8" w:space="0" w:color="999999"/>
            </w:tcBorders>
            <w:shd w:val="clear" w:color="auto" w:fill="auto"/>
            <w:vAlign w:val="bottom"/>
          </w:tcPr>
          <w:p w14:paraId="1EF30318" w14:textId="75EB4658" w:rsidR="005E793C" w:rsidRPr="00DD1DB8" w:rsidRDefault="00DD1DB8" w:rsidP="002313ED">
            <w:pPr>
              <w:pStyle w:val="TableFigures"/>
            </w:pPr>
            <w:r w:rsidRPr="00DD1DB8">
              <w:t>240</w:t>
            </w:r>
          </w:p>
        </w:tc>
      </w:tr>
    </w:tbl>
    <w:p w14:paraId="5D213ADA" w14:textId="22D4B742" w:rsidR="005E793C" w:rsidRPr="005F6D8A" w:rsidRDefault="005E793C" w:rsidP="005E793C">
      <w:pPr>
        <w:pStyle w:val="FootnotesNoSpace"/>
        <w:rPr>
          <w:i w:val="0"/>
          <w:color w:val="FF0000"/>
        </w:rPr>
      </w:pPr>
    </w:p>
    <w:p w14:paraId="5B62BDB1" w14:textId="77777777" w:rsidR="00DD1DB8" w:rsidRDefault="00DD1DB8" w:rsidP="00E5736D">
      <w:pPr>
        <w:pStyle w:val="Normal1"/>
      </w:pPr>
      <w:r>
        <w:t xml:space="preserve">The Board recommends a final dividend for 2021 of 16.9 pence which is estimated to result in a distribution of up to £203 million. The total dividend paid and proposed per share in respect of the year ended 31 December 2021 is 24.3 pence (2020: 22.1 pence). </w:t>
      </w:r>
    </w:p>
    <w:p w14:paraId="558F98CD" w14:textId="05C7B63F" w:rsidR="00DD1DB8" w:rsidRDefault="00DD1DB8" w:rsidP="00E5736D">
      <w:pPr>
        <w:pStyle w:val="Normal1"/>
      </w:pPr>
      <w:r>
        <w:t xml:space="preserve">The total dividend in 2021 of £270 million (2020: £240 million) was paid: £176 million as cash (2020: £179 million) and £94 million in scrip dividends (2020: £61 million). </w:t>
      </w:r>
    </w:p>
    <w:p w14:paraId="7C1B137F" w14:textId="398476AC" w:rsidR="005E793C" w:rsidRPr="00607E27" w:rsidRDefault="005E793C" w:rsidP="005E793C">
      <w:pPr>
        <w:pStyle w:val="Heading2"/>
      </w:pPr>
      <w:r w:rsidRPr="00607E27">
        <w:t>11. EARNINGS AND NET ASSETS PER SHARE</w:t>
      </w:r>
    </w:p>
    <w:p w14:paraId="0DAA153F" w14:textId="6F3C7445" w:rsidR="00607E27" w:rsidRDefault="00607E27" w:rsidP="001E3185">
      <w:pPr>
        <w:pStyle w:val="Normal1"/>
      </w:pPr>
      <w:r>
        <w:t>The earnings per share calculations use the weighted average number of shares in issue during the year and the net assets per share calculations use the number of shares in issue at year end. Earnings per share calculations exclude 0.2 million shares (2020: 0.4 million) being the average number of shares held on trust for employee share schemes and net assets per share calculations exclude 0.2 million shares (2020: 0.3 million) being the actual number of shares held on trust for employee share schemes at year end.</w:t>
      </w:r>
    </w:p>
    <w:p w14:paraId="7D455DF8" w14:textId="6932EA4D" w:rsidR="00B940B6" w:rsidRDefault="00B940B6" w:rsidP="001E3185">
      <w:pPr>
        <w:pStyle w:val="Normal1"/>
      </w:pPr>
    </w:p>
    <w:p w14:paraId="61538BE0" w14:textId="5D29EC89" w:rsidR="00B940B6" w:rsidRDefault="00B940B6" w:rsidP="001E3185">
      <w:pPr>
        <w:pStyle w:val="Normal1"/>
      </w:pPr>
    </w:p>
    <w:p w14:paraId="2C642DA5" w14:textId="1A37DFAC" w:rsidR="00B940B6" w:rsidRDefault="00B940B6" w:rsidP="001E3185">
      <w:pPr>
        <w:pStyle w:val="Normal1"/>
      </w:pPr>
    </w:p>
    <w:p w14:paraId="6C8C7CF5" w14:textId="64A2BB0A" w:rsidR="00B940B6" w:rsidRDefault="00B940B6" w:rsidP="001E3185">
      <w:pPr>
        <w:pStyle w:val="Normal1"/>
      </w:pPr>
    </w:p>
    <w:p w14:paraId="51EE482C" w14:textId="3D539C26" w:rsidR="00B940B6" w:rsidRDefault="00B940B6" w:rsidP="001E3185">
      <w:pPr>
        <w:pStyle w:val="Normal1"/>
      </w:pPr>
    </w:p>
    <w:p w14:paraId="4B9A2151" w14:textId="77777777" w:rsidR="00B940B6" w:rsidRDefault="00B940B6" w:rsidP="001E3185">
      <w:pPr>
        <w:pStyle w:val="Normal1"/>
      </w:pPr>
    </w:p>
    <w:p w14:paraId="50E83D5A" w14:textId="77777777" w:rsidR="005E793C" w:rsidRPr="00607E27" w:rsidRDefault="005E793C" w:rsidP="005E793C">
      <w:pPr>
        <w:pStyle w:val="Heading3"/>
      </w:pPr>
      <w:r w:rsidRPr="00607E27">
        <w:lastRenderedPageBreak/>
        <w:t>11(i) Earnings per ordinary share (EPS)</w:t>
      </w:r>
    </w:p>
    <w:tbl>
      <w:tblPr>
        <w:tblW w:w="10348" w:type="dxa"/>
        <w:tblLayout w:type="fixed"/>
        <w:tblCellMar>
          <w:left w:w="0" w:type="dxa"/>
          <w:right w:w="0" w:type="dxa"/>
        </w:tblCellMar>
        <w:tblLook w:val="01E0" w:firstRow="1" w:lastRow="1" w:firstColumn="1" w:lastColumn="1" w:noHBand="0" w:noVBand="0"/>
      </w:tblPr>
      <w:tblGrid>
        <w:gridCol w:w="3259"/>
        <w:gridCol w:w="758"/>
        <w:gridCol w:w="7"/>
        <w:gridCol w:w="753"/>
        <w:gridCol w:w="7"/>
        <w:gridCol w:w="178"/>
        <w:gridCol w:w="813"/>
        <w:gridCol w:w="756"/>
        <w:gridCol w:w="840"/>
        <w:gridCol w:w="284"/>
        <w:gridCol w:w="850"/>
        <w:gridCol w:w="851"/>
        <w:gridCol w:w="992"/>
      </w:tblGrid>
      <w:tr w:rsidR="005F6D8A" w:rsidRPr="00607E27" w14:paraId="5F4AA579" w14:textId="77777777" w:rsidTr="001E3185">
        <w:tc>
          <w:tcPr>
            <w:tcW w:w="3259" w:type="dxa"/>
            <w:shd w:val="clear" w:color="auto" w:fill="auto"/>
            <w:vAlign w:val="bottom"/>
          </w:tcPr>
          <w:p w14:paraId="788697BC" w14:textId="77777777" w:rsidR="005E793C" w:rsidRPr="00607E27" w:rsidRDefault="005E793C" w:rsidP="00E30618">
            <w:pPr>
              <w:pStyle w:val="Tabletext"/>
            </w:pPr>
          </w:p>
        </w:tc>
        <w:tc>
          <w:tcPr>
            <w:tcW w:w="758" w:type="dxa"/>
            <w:shd w:val="clear" w:color="auto" w:fill="auto"/>
            <w:vAlign w:val="bottom"/>
          </w:tcPr>
          <w:p w14:paraId="5E77F2AB" w14:textId="77777777" w:rsidR="005E793C" w:rsidRPr="00607E27" w:rsidRDefault="005E793C" w:rsidP="00E30618">
            <w:pPr>
              <w:pStyle w:val="TableColHeads"/>
              <w:jc w:val="center"/>
              <w:rPr>
                <w:b/>
              </w:rPr>
            </w:pPr>
          </w:p>
        </w:tc>
        <w:tc>
          <w:tcPr>
            <w:tcW w:w="760" w:type="dxa"/>
            <w:gridSpan w:val="2"/>
            <w:shd w:val="clear" w:color="auto" w:fill="auto"/>
            <w:vAlign w:val="bottom"/>
          </w:tcPr>
          <w:p w14:paraId="3AA56F33" w14:textId="77777777" w:rsidR="005E793C" w:rsidRPr="00607E27" w:rsidRDefault="005E793C" w:rsidP="00E30618">
            <w:pPr>
              <w:pStyle w:val="TableColHeads"/>
              <w:jc w:val="center"/>
              <w:rPr>
                <w:b/>
              </w:rPr>
            </w:pPr>
          </w:p>
        </w:tc>
        <w:tc>
          <w:tcPr>
            <w:tcW w:w="185" w:type="dxa"/>
            <w:gridSpan w:val="2"/>
            <w:shd w:val="clear" w:color="auto" w:fill="auto"/>
            <w:vAlign w:val="bottom"/>
          </w:tcPr>
          <w:p w14:paraId="77A7D2A3" w14:textId="77777777" w:rsidR="005E793C" w:rsidRPr="00607E27" w:rsidRDefault="005E793C" w:rsidP="00E30618">
            <w:pPr>
              <w:pStyle w:val="TableColHeads"/>
            </w:pPr>
          </w:p>
        </w:tc>
        <w:tc>
          <w:tcPr>
            <w:tcW w:w="2409" w:type="dxa"/>
            <w:gridSpan w:val="3"/>
            <w:tcBorders>
              <w:bottom w:val="single" w:sz="4" w:space="0" w:color="999999"/>
            </w:tcBorders>
            <w:shd w:val="clear" w:color="auto" w:fill="auto"/>
            <w:vAlign w:val="bottom"/>
          </w:tcPr>
          <w:p w14:paraId="7C48B29E" w14:textId="324FD50B" w:rsidR="005E793C" w:rsidRPr="00607E27" w:rsidRDefault="005E793C" w:rsidP="00E30618">
            <w:pPr>
              <w:pStyle w:val="TableColHeadsBold0"/>
              <w:jc w:val="center"/>
            </w:pPr>
            <w:r w:rsidRPr="00607E27">
              <w:t>20</w:t>
            </w:r>
            <w:r w:rsidR="001E3185" w:rsidRPr="00607E27">
              <w:t>2</w:t>
            </w:r>
            <w:r w:rsidR="00607E27" w:rsidRPr="00607E27">
              <w:t>1</w:t>
            </w:r>
          </w:p>
        </w:tc>
        <w:tc>
          <w:tcPr>
            <w:tcW w:w="284" w:type="dxa"/>
            <w:shd w:val="clear" w:color="auto" w:fill="auto"/>
            <w:vAlign w:val="bottom"/>
          </w:tcPr>
          <w:p w14:paraId="0BF95DE6" w14:textId="77777777" w:rsidR="005E793C" w:rsidRPr="00607E27" w:rsidRDefault="005E793C" w:rsidP="00E30618">
            <w:pPr>
              <w:pStyle w:val="TableColHeads"/>
            </w:pPr>
          </w:p>
        </w:tc>
        <w:tc>
          <w:tcPr>
            <w:tcW w:w="2693" w:type="dxa"/>
            <w:gridSpan w:val="3"/>
            <w:tcBorders>
              <w:bottom w:val="single" w:sz="4" w:space="0" w:color="999999"/>
            </w:tcBorders>
            <w:shd w:val="clear" w:color="auto" w:fill="auto"/>
            <w:vAlign w:val="bottom"/>
          </w:tcPr>
          <w:p w14:paraId="7893F5D3" w14:textId="4F74BE0C" w:rsidR="005E793C" w:rsidRPr="00607E27" w:rsidRDefault="001E3185" w:rsidP="00E30618">
            <w:pPr>
              <w:pStyle w:val="TableColHeads"/>
              <w:jc w:val="center"/>
            </w:pPr>
            <w:r w:rsidRPr="00607E27">
              <w:t>20</w:t>
            </w:r>
            <w:r w:rsidR="00607E27" w:rsidRPr="00607E27">
              <w:t>20</w:t>
            </w:r>
          </w:p>
        </w:tc>
      </w:tr>
      <w:tr w:rsidR="005F6D8A" w:rsidRPr="00607E27" w14:paraId="4199C819" w14:textId="77777777" w:rsidTr="001E3185">
        <w:tc>
          <w:tcPr>
            <w:tcW w:w="3259" w:type="dxa"/>
            <w:tcBorders>
              <w:bottom w:val="single" w:sz="8" w:space="0" w:color="999999"/>
            </w:tcBorders>
            <w:shd w:val="clear" w:color="auto" w:fill="auto"/>
            <w:vAlign w:val="bottom"/>
          </w:tcPr>
          <w:p w14:paraId="4DBAFCAE" w14:textId="77777777" w:rsidR="005E793C" w:rsidRPr="00607E27" w:rsidRDefault="005E793C" w:rsidP="00E30618">
            <w:pPr>
              <w:pStyle w:val="Tabletext"/>
            </w:pPr>
          </w:p>
        </w:tc>
        <w:tc>
          <w:tcPr>
            <w:tcW w:w="765" w:type="dxa"/>
            <w:gridSpan w:val="2"/>
            <w:tcBorders>
              <w:bottom w:val="single" w:sz="8" w:space="0" w:color="999999"/>
            </w:tcBorders>
            <w:shd w:val="clear" w:color="auto" w:fill="auto"/>
            <w:vAlign w:val="bottom"/>
          </w:tcPr>
          <w:p w14:paraId="197C845E" w14:textId="77777777" w:rsidR="005E793C" w:rsidRPr="00607E27" w:rsidRDefault="005E793C" w:rsidP="00E30618">
            <w:pPr>
              <w:pStyle w:val="TableColHeads"/>
              <w:rPr>
                <w:b/>
                <w:bCs/>
                <w:sz w:val="16"/>
                <w:szCs w:val="16"/>
              </w:rPr>
            </w:pPr>
          </w:p>
        </w:tc>
        <w:tc>
          <w:tcPr>
            <w:tcW w:w="760" w:type="dxa"/>
            <w:gridSpan w:val="2"/>
            <w:tcBorders>
              <w:bottom w:val="single" w:sz="8" w:space="0" w:color="999999"/>
            </w:tcBorders>
            <w:shd w:val="clear" w:color="auto" w:fill="auto"/>
            <w:vAlign w:val="bottom"/>
          </w:tcPr>
          <w:p w14:paraId="58EEC5DD" w14:textId="77777777" w:rsidR="005E793C" w:rsidRPr="00607E27" w:rsidRDefault="005E793C" w:rsidP="00E30618">
            <w:pPr>
              <w:pStyle w:val="TableColHeads"/>
              <w:rPr>
                <w:b/>
                <w:bCs/>
                <w:sz w:val="16"/>
                <w:szCs w:val="16"/>
              </w:rPr>
            </w:pPr>
          </w:p>
        </w:tc>
        <w:tc>
          <w:tcPr>
            <w:tcW w:w="178" w:type="dxa"/>
            <w:tcBorders>
              <w:bottom w:val="single" w:sz="8" w:space="0" w:color="999999"/>
            </w:tcBorders>
            <w:shd w:val="clear" w:color="auto" w:fill="auto"/>
            <w:vAlign w:val="bottom"/>
          </w:tcPr>
          <w:p w14:paraId="5B29A692" w14:textId="77777777" w:rsidR="005E793C" w:rsidRPr="00607E27" w:rsidRDefault="005E793C" w:rsidP="00E30618">
            <w:pPr>
              <w:pStyle w:val="TableColHeads"/>
              <w:rPr>
                <w:sz w:val="16"/>
                <w:szCs w:val="16"/>
              </w:rPr>
            </w:pPr>
          </w:p>
        </w:tc>
        <w:tc>
          <w:tcPr>
            <w:tcW w:w="813" w:type="dxa"/>
            <w:tcBorders>
              <w:top w:val="single" w:sz="4" w:space="0" w:color="999999"/>
              <w:bottom w:val="single" w:sz="8" w:space="0" w:color="999999"/>
            </w:tcBorders>
            <w:shd w:val="clear" w:color="auto" w:fill="auto"/>
            <w:vAlign w:val="bottom"/>
          </w:tcPr>
          <w:p w14:paraId="67E80F78" w14:textId="77777777" w:rsidR="005E793C" w:rsidRPr="00607E27" w:rsidRDefault="005E793C" w:rsidP="00E30618">
            <w:pPr>
              <w:pStyle w:val="TableColHeadsBold0"/>
              <w:rPr>
                <w:sz w:val="16"/>
                <w:szCs w:val="16"/>
              </w:rPr>
            </w:pPr>
            <w:r w:rsidRPr="00607E27">
              <w:rPr>
                <w:sz w:val="16"/>
                <w:szCs w:val="16"/>
              </w:rPr>
              <w:t>Earnings</w:t>
            </w:r>
            <w:r w:rsidRPr="00607E27">
              <w:rPr>
                <w:sz w:val="16"/>
                <w:szCs w:val="16"/>
              </w:rPr>
              <w:br/>
              <w:t>£m</w:t>
            </w:r>
          </w:p>
        </w:tc>
        <w:tc>
          <w:tcPr>
            <w:tcW w:w="756" w:type="dxa"/>
            <w:tcBorders>
              <w:top w:val="single" w:sz="4" w:space="0" w:color="999999"/>
              <w:bottom w:val="single" w:sz="8" w:space="0" w:color="999999"/>
            </w:tcBorders>
            <w:shd w:val="clear" w:color="auto" w:fill="auto"/>
            <w:vAlign w:val="bottom"/>
          </w:tcPr>
          <w:p w14:paraId="4CA66607" w14:textId="77777777" w:rsidR="005E793C" w:rsidRPr="00607E27" w:rsidRDefault="005E793C" w:rsidP="00E30618">
            <w:pPr>
              <w:pStyle w:val="TableColHeadsBold0"/>
              <w:rPr>
                <w:sz w:val="16"/>
                <w:szCs w:val="16"/>
                <w:vertAlign w:val="superscript"/>
              </w:rPr>
            </w:pPr>
            <w:r w:rsidRPr="00607E27">
              <w:rPr>
                <w:sz w:val="16"/>
                <w:szCs w:val="16"/>
              </w:rPr>
              <w:t>Shares</w:t>
            </w:r>
            <w:r w:rsidRPr="00607E27">
              <w:rPr>
                <w:sz w:val="16"/>
                <w:szCs w:val="16"/>
              </w:rPr>
              <w:br/>
              <w:t>million</w:t>
            </w:r>
          </w:p>
        </w:tc>
        <w:tc>
          <w:tcPr>
            <w:tcW w:w="840" w:type="dxa"/>
            <w:tcBorders>
              <w:top w:val="single" w:sz="4" w:space="0" w:color="999999"/>
              <w:bottom w:val="single" w:sz="8" w:space="0" w:color="999999"/>
            </w:tcBorders>
            <w:shd w:val="clear" w:color="auto" w:fill="auto"/>
            <w:vAlign w:val="bottom"/>
          </w:tcPr>
          <w:p w14:paraId="26A508EA" w14:textId="77777777" w:rsidR="005E793C" w:rsidRPr="00607E27" w:rsidRDefault="005E793C" w:rsidP="00E30618">
            <w:pPr>
              <w:pStyle w:val="TableColHeadsBold0"/>
              <w:rPr>
                <w:sz w:val="16"/>
                <w:szCs w:val="16"/>
                <w:vertAlign w:val="superscript"/>
              </w:rPr>
            </w:pPr>
            <w:r w:rsidRPr="00607E27">
              <w:rPr>
                <w:sz w:val="16"/>
                <w:szCs w:val="16"/>
              </w:rPr>
              <w:t>Pence per share</w:t>
            </w:r>
          </w:p>
        </w:tc>
        <w:tc>
          <w:tcPr>
            <w:tcW w:w="284" w:type="dxa"/>
            <w:tcBorders>
              <w:bottom w:val="single" w:sz="8" w:space="0" w:color="999999"/>
            </w:tcBorders>
            <w:shd w:val="clear" w:color="auto" w:fill="auto"/>
            <w:vAlign w:val="bottom"/>
          </w:tcPr>
          <w:p w14:paraId="2453C1D7" w14:textId="77777777" w:rsidR="005E793C" w:rsidRPr="00607E27" w:rsidRDefault="005E793C" w:rsidP="00E30618">
            <w:pPr>
              <w:pStyle w:val="TableColHeads"/>
              <w:rPr>
                <w:sz w:val="16"/>
                <w:szCs w:val="16"/>
              </w:rPr>
            </w:pPr>
          </w:p>
        </w:tc>
        <w:tc>
          <w:tcPr>
            <w:tcW w:w="850" w:type="dxa"/>
            <w:tcBorders>
              <w:top w:val="single" w:sz="4" w:space="0" w:color="999999"/>
              <w:bottom w:val="single" w:sz="8" w:space="0" w:color="999999"/>
            </w:tcBorders>
            <w:shd w:val="clear" w:color="auto" w:fill="auto"/>
            <w:vAlign w:val="bottom"/>
          </w:tcPr>
          <w:p w14:paraId="3C401DDD" w14:textId="77777777" w:rsidR="005E793C" w:rsidRPr="00607E27" w:rsidRDefault="005E793C" w:rsidP="00E30618">
            <w:pPr>
              <w:pStyle w:val="TableColHeads"/>
              <w:rPr>
                <w:sz w:val="16"/>
                <w:szCs w:val="16"/>
              </w:rPr>
            </w:pPr>
            <w:r w:rsidRPr="00607E27">
              <w:rPr>
                <w:sz w:val="16"/>
                <w:szCs w:val="16"/>
              </w:rPr>
              <w:t>Earnings</w:t>
            </w:r>
            <w:r w:rsidRPr="00607E27">
              <w:rPr>
                <w:sz w:val="16"/>
                <w:szCs w:val="16"/>
              </w:rPr>
              <w:br/>
              <w:t>£m</w:t>
            </w:r>
          </w:p>
        </w:tc>
        <w:tc>
          <w:tcPr>
            <w:tcW w:w="851" w:type="dxa"/>
            <w:tcBorders>
              <w:top w:val="single" w:sz="4" w:space="0" w:color="999999"/>
              <w:bottom w:val="single" w:sz="8" w:space="0" w:color="999999"/>
            </w:tcBorders>
            <w:shd w:val="clear" w:color="auto" w:fill="auto"/>
            <w:vAlign w:val="bottom"/>
          </w:tcPr>
          <w:p w14:paraId="02C66914" w14:textId="77777777" w:rsidR="005E793C" w:rsidRPr="00607E27" w:rsidRDefault="005E793C" w:rsidP="00E30618">
            <w:pPr>
              <w:pStyle w:val="TableColHeads"/>
              <w:rPr>
                <w:sz w:val="16"/>
                <w:szCs w:val="16"/>
                <w:vertAlign w:val="superscript"/>
              </w:rPr>
            </w:pPr>
            <w:r w:rsidRPr="00607E27">
              <w:rPr>
                <w:sz w:val="16"/>
                <w:szCs w:val="16"/>
              </w:rPr>
              <w:t>Shares</w:t>
            </w:r>
            <w:r w:rsidRPr="00607E27">
              <w:rPr>
                <w:sz w:val="16"/>
                <w:szCs w:val="16"/>
              </w:rPr>
              <w:br/>
              <w:t>million</w:t>
            </w:r>
          </w:p>
        </w:tc>
        <w:tc>
          <w:tcPr>
            <w:tcW w:w="992" w:type="dxa"/>
            <w:tcBorders>
              <w:top w:val="single" w:sz="4" w:space="0" w:color="999999"/>
              <w:bottom w:val="single" w:sz="8" w:space="0" w:color="999999"/>
            </w:tcBorders>
            <w:shd w:val="clear" w:color="auto" w:fill="auto"/>
            <w:vAlign w:val="bottom"/>
          </w:tcPr>
          <w:p w14:paraId="10B9C3D0" w14:textId="77777777" w:rsidR="005E793C" w:rsidRPr="00607E27" w:rsidRDefault="005E793C" w:rsidP="00E30618">
            <w:pPr>
              <w:pStyle w:val="TableColHeads"/>
              <w:rPr>
                <w:sz w:val="16"/>
                <w:szCs w:val="16"/>
                <w:vertAlign w:val="superscript"/>
              </w:rPr>
            </w:pPr>
            <w:r w:rsidRPr="00607E27">
              <w:rPr>
                <w:sz w:val="16"/>
                <w:szCs w:val="16"/>
              </w:rPr>
              <w:t>Pence per share</w:t>
            </w:r>
          </w:p>
        </w:tc>
      </w:tr>
      <w:tr w:rsidR="005F6D8A" w:rsidRPr="00607E27" w14:paraId="5E34971A" w14:textId="77777777" w:rsidTr="001E3185">
        <w:tc>
          <w:tcPr>
            <w:tcW w:w="3259" w:type="dxa"/>
            <w:tcBorders>
              <w:top w:val="single" w:sz="8" w:space="0" w:color="999999"/>
            </w:tcBorders>
            <w:shd w:val="clear" w:color="auto" w:fill="auto"/>
            <w:vAlign w:val="bottom"/>
          </w:tcPr>
          <w:p w14:paraId="439E4724" w14:textId="77777777" w:rsidR="001E3185" w:rsidRPr="00607E27" w:rsidRDefault="001E3185" w:rsidP="001E3185">
            <w:pPr>
              <w:pStyle w:val="TabletextBold"/>
            </w:pPr>
            <w:r w:rsidRPr="00607E27">
              <w:t>Basic EPS</w:t>
            </w:r>
          </w:p>
        </w:tc>
        <w:tc>
          <w:tcPr>
            <w:tcW w:w="765" w:type="dxa"/>
            <w:gridSpan w:val="2"/>
            <w:tcBorders>
              <w:top w:val="single" w:sz="8" w:space="0" w:color="999999"/>
            </w:tcBorders>
            <w:shd w:val="clear" w:color="auto" w:fill="auto"/>
            <w:vAlign w:val="bottom"/>
          </w:tcPr>
          <w:p w14:paraId="2A1C04AD" w14:textId="77777777" w:rsidR="001E3185" w:rsidRPr="00607E27" w:rsidRDefault="001E3185" w:rsidP="001E3185">
            <w:pPr>
              <w:pStyle w:val="TableFiguresBold0"/>
            </w:pPr>
          </w:p>
        </w:tc>
        <w:tc>
          <w:tcPr>
            <w:tcW w:w="760" w:type="dxa"/>
            <w:gridSpan w:val="2"/>
            <w:tcBorders>
              <w:top w:val="single" w:sz="8" w:space="0" w:color="999999"/>
            </w:tcBorders>
            <w:shd w:val="clear" w:color="auto" w:fill="auto"/>
            <w:vAlign w:val="bottom"/>
          </w:tcPr>
          <w:p w14:paraId="0FEC1719" w14:textId="77777777" w:rsidR="001E3185" w:rsidRPr="00607E27" w:rsidRDefault="001E3185" w:rsidP="001E3185">
            <w:pPr>
              <w:pStyle w:val="TableFiguresBold0"/>
            </w:pPr>
          </w:p>
        </w:tc>
        <w:tc>
          <w:tcPr>
            <w:tcW w:w="178" w:type="dxa"/>
            <w:tcBorders>
              <w:top w:val="single" w:sz="8" w:space="0" w:color="999999"/>
            </w:tcBorders>
            <w:shd w:val="clear" w:color="auto" w:fill="auto"/>
            <w:vAlign w:val="bottom"/>
          </w:tcPr>
          <w:p w14:paraId="6F3EE109" w14:textId="77777777" w:rsidR="001E3185" w:rsidRPr="00607E27" w:rsidRDefault="001E3185" w:rsidP="001E3185">
            <w:pPr>
              <w:pStyle w:val="TableFigures"/>
            </w:pPr>
          </w:p>
        </w:tc>
        <w:tc>
          <w:tcPr>
            <w:tcW w:w="813" w:type="dxa"/>
            <w:tcBorders>
              <w:top w:val="single" w:sz="8" w:space="0" w:color="999999"/>
            </w:tcBorders>
            <w:shd w:val="clear" w:color="auto" w:fill="auto"/>
          </w:tcPr>
          <w:p w14:paraId="5A4C16FF" w14:textId="2FEAB679" w:rsidR="001E3185" w:rsidRPr="00607E27" w:rsidRDefault="00607E27" w:rsidP="001E3185">
            <w:pPr>
              <w:pStyle w:val="TableFiguresBold0"/>
            </w:pPr>
            <w:r w:rsidRPr="00607E27">
              <w:t>4,060</w:t>
            </w:r>
          </w:p>
        </w:tc>
        <w:tc>
          <w:tcPr>
            <w:tcW w:w="756" w:type="dxa"/>
            <w:tcBorders>
              <w:top w:val="single" w:sz="8" w:space="0" w:color="999999"/>
            </w:tcBorders>
            <w:shd w:val="clear" w:color="auto" w:fill="auto"/>
          </w:tcPr>
          <w:p w14:paraId="341B10E0" w14:textId="32179372" w:rsidR="001E3185" w:rsidRPr="00607E27" w:rsidRDefault="00607E27" w:rsidP="001E3185">
            <w:pPr>
              <w:pStyle w:val="TableFiguresBold0"/>
            </w:pPr>
            <w:r w:rsidRPr="00607E27">
              <w:t>1,197.7</w:t>
            </w:r>
          </w:p>
        </w:tc>
        <w:tc>
          <w:tcPr>
            <w:tcW w:w="840" w:type="dxa"/>
            <w:tcBorders>
              <w:top w:val="single" w:sz="8" w:space="0" w:color="999999"/>
            </w:tcBorders>
            <w:shd w:val="clear" w:color="auto" w:fill="auto"/>
          </w:tcPr>
          <w:p w14:paraId="0D632BDB" w14:textId="283B2905" w:rsidR="001E3185" w:rsidRPr="00607E27" w:rsidRDefault="00607E27" w:rsidP="001E3185">
            <w:pPr>
              <w:pStyle w:val="TableFiguresBold0"/>
            </w:pPr>
            <w:r w:rsidRPr="00607E27">
              <w:t>339.0</w:t>
            </w:r>
          </w:p>
        </w:tc>
        <w:tc>
          <w:tcPr>
            <w:tcW w:w="284" w:type="dxa"/>
            <w:tcBorders>
              <w:top w:val="single" w:sz="8" w:space="0" w:color="999999"/>
            </w:tcBorders>
            <w:shd w:val="clear" w:color="auto" w:fill="auto"/>
            <w:vAlign w:val="bottom"/>
          </w:tcPr>
          <w:p w14:paraId="3096392A" w14:textId="77777777" w:rsidR="001E3185" w:rsidRPr="00607E27" w:rsidRDefault="001E3185" w:rsidP="001E3185">
            <w:pPr>
              <w:pStyle w:val="TableFigures"/>
            </w:pPr>
          </w:p>
        </w:tc>
        <w:tc>
          <w:tcPr>
            <w:tcW w:w="850" w:type="dxa"/>
            <w:tcBorders>
              <w:top w:val="single" w:sz="8" w:space="0" w:color="999999"/>
            </w:tcBorders>
            <w:shd w:val="clear" w:color="auto" w:fill="auto"/>
          </w:tcPr>
          <w:p w14:paraId="0E1BDA7A" w14:textId="1AF62B7E" w:rsidR="001E3185" w:rsidRPr="00607E27" w:rsidRDefault="00607E27" w:rsidP="001E3185">
            <w:pPr>
              <w:pStyle w:val="TableFigures"/>
              <w:rPr>
                <w:b/>
              </w:rPr>
            </w:pPr>
            <w:r w:rsidRPr="00607E27">
              <w:t>1,427</w:t>
            </w:r>
          </w:p>
        </w:tc>
        <w:tc>
          <w:tcPr>
            <w:tcW w:w="851" w:type="dxa"/>
            <w:tcBorders>
              <w:top w:val="single" w:sz="8" w:space="0" w:color="999999"/>
            </w:tcBorders>
            <w:shd w:val="clear" w:color="auto" w:fill="auto"/>
          </w:tcPr>
          <w:p w14:paraId="5D99221B" w14:textId="0320BF1E" w:rsidR="001E3185" w:rsidRPr="00607E27" w:rsidRDefault="00607E27" w:rsidP="001E3185">
            <w:pPr>
              <w:pStyle w:val="TableFigures"/>
              <w:rPr>
                <w:bCs/>
              </w:rPr>
            </w:pPr>
            <w:r w:rsidRPr="00607E27">
              <w:t>1,149.8</w:t>
            </w:r>
          </w:p>
        </w:tc>
        <w:tc>
          <w:tcPr>
            <w:tcW w:w="992" w:type="dxa"/>
            <w:tcBorders>
              <w:top w:val="single" w:sz="8" w:space="0" w:color="999999"/>
            </w:tcBorders>
            <w:shd w:val="clear" w:color="auto" w:fill="auto"/>
          </w:tcPr>
          <w:p w14:paraId="56BE50F4" w14:textId="378CD0A6" w:rsidR="001E3185" w:rsidRPr="00607E27" w:rsidRDefault="00607E27" w:rsidP="001E3185">
            <w:pPr>
              <w:pStyle w:val="TableFigures"/>
              <w:rPr>
                <w:b/>
              </w:rPr>
            </w:pPr>
            <w:r w:rsidRPr="00607E27">
              <w:t>124.1</w:t>
            </w:r>
          </w:p>
        </w:tc>
      </w:tr>
      <w:tr w:rsidR="005F6D8A" w:rsidRPr="00607E27" w14:paraId="65B28049" w14:textId="77777777" w:rsidTr="001E3185">
        <w:tc>
          <w:tcPr>
            <w:tcW w:w="3259" w:type="dxa"/>
            <w:shd w:val="clear" w:color="auto" w:fill="auto"/>
            <w:vAlign w:val="bottom"/>
          </w:tcPr>
          <w:p w14:paraId="2295A0F4" w14:textId="77777777" w:rsidR="001E3185" w:rsidRPr="00607E27" w:rsidRDefault="001E3185" w:rsidP="001E3185">
            <w:pPr>
              <w:pStyle w:val="Tabletext"/>
            </w:pPr>
            <w:r w:rsidRPr="00607E27">
              <w:t>Dilution adjustments:</w:t>
            </w:r>
          </w:p>
        </w:tc>
        <w:tc>
          <w:tcPr>
            <w:tcW w:w="765" w:type="dxa"/>
            <w:gridSpan w:val="2"/>
            <w:shd w:val="clear" w:color="auto" w:fill="auto"/>
            <w:vAlign w:val="bottom"/>
          </w:tcPr>
          <w:p w14:paraId="614C88AE" w14:textId="77777777" w:rsidR="001E3185" w:rsidRPr="00607E27" w:rsidRDefault="001E3185" w:rsidP="001E3185">
            <w:pPr>
              <w:pStyle w:val="TableFiguresBold0"/>
            </w:pPr>
          </w:p>
        </w:tc>
        <w:tc>
          <w:tcPr>
            <w:tcW w:w="760" w:type="dxa"/>
            <w:gridSpan w:val="2"/>
            <w:shd w:val="clear" w:color="auto" w:fill="auto"/>
            <w:vAlign w:val="bottom"/>
          </w:tcPr>
          <w:p w14:paraId="50246575" w14:textId="77777777" w:rsidR="001E3185" w:rsidRPr="00607E27" w:rsidRDefault="001E3185" w:rsidP="001E3185">
            <w:pPr>
              <w:pStyle w:val="TableFiguresBold0"/>
            </w:pPr>
          </w:p>
        </w:tc>
        <w:tc>
          <w:tcPr>
            <w:tcW w:w="178" w:type="dxa"/>
            <w:shd w:val="clear" w:color="auto" w:fill="auto"/>
            <w:vAlign w:val="bottom"/>
          </w:tcPr>
          <w:p w14:paraId="1F552913" w14:textId="77777777" w:rsidR="001E3185" w:rsidRPr="00607E27" w:rsidRDefault="001E3185" w:rsidP="001E3185">
            <w:pPr>
              <w:pStyle w:val="TableFigures"/>
            </w:pPr>
          </w:p>
        </w:tc>
        <w:tc>
          <w:tcPr>
            <w:tcW w:w="813" w:type="dxa"/>
            <w:shd w:val="clear" w:color="auto" w:fill="auto"/>
          </w:tcPr>
          <w:p w14:paraId="21158323" w14:textId="77777777" w:rsidR="001E3185" w:rsidRPr="00607E27" w:rsidRDefault="001E3185" w:rsidP="001E3185">
            <w:pPr>
              <w:pStyle w:val="TableFiguresBold0"/>
            </w:pPr>
          </w:p>
        </w:tc>
        <w:tc>
          <w:tcPr>
            <w:tcW w:w="756" w:type="dxa"/>
            <w:shd w:val="clear" w:color="auto" w:fill="auto"/>
          </w:tcPr>
          <w:p w14:paraId="5154A942" w14:textId="77777777" w:rsidR="001E3185" w:rsidRPr="00607E27" w:rsidRDefault="001E3185" w:rsidP="001E3185">
            <w:pPr>
              <w:pStyle w:val="TableFiguresBold0"/>
            </w:pPr>
          </w:p>
        </w:tc>
        <w:tc>
          <w:tcPr>
            <w:tcW w:w="840" w:type="dxa"/>
            <w:shd w:val="clear" w:color="auto" w:fill="auto"/>
          </w:tcPr>
          <w:p w14:paraId="37EE371F" w14:textId="77777777" w:rsidR="001E3185" w:rsidRPr="00607E27" w:rsidRDefault="001E3185" w:rsidP="001E3185">
            <w:pPr>
              <w:pStyle w:val="TableFiguresBold0"/>
            </w:pPr>
          </w:p>
        </w:tc>
        <w:tc>
          <w:tcPr>
            <w:tcW w:w="284" w:type="dxa"/>
            <w:shd w:val="clear" w:color="auto" w:fill="auto"/>
            <w:vAlign w:val="bottom"/>
          </w:tcPr>
          <w:p w14:paraId="48C57A8D" w14:textId="77777777" w:rsidR="001E3185" w:rsidRPr="00607E27" w:rsidRDefault="001E3185" w:rsidP="001E3185">
            <w:pPr>
              <w:pStyle w:val="TableFigures"/>
            </w:pPr>
          </w:p>
        </w:tc>
        <w:tc>
          <w:tcPr>
            <w:tcW w:w="850" w:type="dxa"/>
            <w:shd w:val="clear" w:color="auto" w:fill="auto"/>
          </w:tcPr>
          <w:p w14:paraId="5AFB4857" w14:textId="77777777" w:rsidR="001E3185" w:rsidRPr="00607E27" w:rsidRDefault="001E3185" w:rsidP="001E3185">
            <w:pPr>
              <w:pStyle w:val="TableFigures"/>
              <w:rPr>
                <w:b/>
              </w:rPr>
            </w:pPr>
          </w:p>
        </w:tc>
        <w:tc>
          <w:tcPr>
            <w:tcW w:w="851" w:type="dxa"/>
            <w:shd w:val="clear" w:color="auto" w:fill="auto"/>
          </w:tcPr>
          <w:p w14:paraId="751318A1" w14:textId="77777777" w:rsidR="001E3185" w:rsidRPr="00607E27" w:rsidRDefault="001E3185" w:rsidP="001E3185">
            <w:pPr>
              <w:pStyle w:val="TableFigures"/>
              <w:rPr>
                <w:bCs/>
              </w:rPr>
            </w:pPr>
          </w:p>
        </w:tc>
        <w:tc>
          <w:tcPr>
            <w:tcW w:w="992" w:type="dxa"/>
            <w:shd w:val="clear" w:color="auto" w:fill="auto"/>
          </w:tcPr>
          <w:p w14:paraId="78A4CF52" w14:textId="77777777" w:rsidR="001E3185" w:rsidRPr="00607E27" w:rsidRDefault="001E3185" w:rsidP="001E3185">
            <w:pPr>
              <w:pStyle w:val="TableFigures"/>
              <w:rPr>
                <w:b/>
              </w:rPr>
            </w:pPr>
          </w:p>
        </w:tc>
      </w:tr>
      <w:tr w:rsidR="005F6D8A" w:rsidRPr="00607E27" w14:paraId="7321FBD5" w14:textId="77777777" w:rsidTr="001E3185">
        <w:tc>
          <w:tcPr>
            <w:tcW w:w="3259" w:type="dxa"/>
            <w:tcBorders>
              <w:bottom w:val="single" w:sz="4" w:space="0" w:color="999999"/>
            </w:tcBorders>
            <w:shd w:val="clear" w:color="auto" w:fill="auto"/>
            <w:vAlign w:val="bottom"/>
          </w:tcPr>
          <w:p w14:paraId="0BF06855" w14:textId="34BB1208" w:rsidR="001E3185" w:rsidRPr="00607E27" w:rsidRDefault="001E3185" w:rsidP="001E3185">
            <w:pPr>
              <w:pStyle w:val="Tabletext"/>
            </w:pPr>
            <w:r w:rsidRPr="00607E27">
              <w:t>Share and save as you earn schemes</w:t>
            </w:r>
          </w:p>
        </w:tc>
        <w:tc>
          <w:tcPr>
            <w:tcW w:w="765" w:type="dxa"/>
            <w:gridSpan w:val="2"/>
            <w:tcBorders>
              <w:bottom w:val="single" w:sz="4" w:space="0" w:color="999999"/>
            </w:tcBorders>
            <w:shd w:val="clear" w:color="auto" w:fill="auto"/>
            <w:vAlign w:val="bottom"/>
          </w:tcPr>
          <w:p w14:paraId="20DF495E" w14:textId="77777777" w:rsidR="001E3185" w:rsidRPr="00607E27" w:rsidRDefault="001E3185" w:rsidP="001E3185">
            <w:pPr>
              <w:pStyle w:val="TableFigures"/>
              <w:rPr>
                <w:b/>
                <w:bCs/>
              </w:rPr>
            </w:pPr>
          </w:p>
        </w:tc>
        <w:tc>
          <w:tcPr>
            <w:tcW w:w="760" w:type="dxa"/>
            <w:gridSpan w:val="2"/>
            <w:tcBorders>
              <w:bottom w:val="single" w:sz="4" w:space="0" w:color="999999"/>
            </w:tcBorders>
            <w:shd w:val="clear" w:color="auto" w:fill="auto"/>
            <w:vAlign w:val="bottom"/>
          </w:tcPr>
          <w:p w14:paraId="310E4F60" w14:textId="77777777" w:rsidR="001E3185" w:rsidRPr="00607E27" w:rsidRDefault="001E3185" w:rsidP="001E3185">
            <w:pPr>
              <w:pStyle w:val="TableFiguresBracketsBold"/>
            </w:pPr>
          </w:p>
        </w:tc>
        <w:tc>
          <w:tcPr>
            <w:tcW w:w="178" w:type="dxa"/>
            <w:tcBorders>
              <w:bottom w:val="single" w:sz="4" w:space="0" w:color="999999"/>
            </w:tcBorders>
            <w:shd w:val="clear" w:color="auto" w:fill="auto"/>
            <w:vAlign w:val="bottom"/>
          </w:tcPr>
          <w:p w14:paraId="0D07E082" w14:textId="77777777" w:rsidR="001E3185" w:rsidRPr="00607E27" w:rsidRDefault="001E3185" w:rsidP="001E3185">
            <w:pPr>
              <w:pStyle w:val="TableFigures"/>
            </w:pPr>
          </w:p>
        </w:tc>
        <w:tc>
          <w:tcPr>
            <w:tcW w:w="813" w:type="dxa"/>
            <w:tcBorders>
              <w:bottom w:val="single" w:sz="4" w:space="0" w:color="999999"/>
            </w:tcBorders>
            <w:shd w:val="clear" w:color="auto" w:fill="auto"/>
          </w:tcPr>
          <w:p w14:paraId="023C8B69" w14:textId="4F31ADFB" w:rsidR="001E3185" w:rsidRPr="00607E27" w:rsidRDefault="001E3185" w:rsidP="002313ED">
            <w:pPr>
              <w:pStyle w:val="TableFiguresBold0"/>
            </w:pPr>
            <w:r w:rsidRPr="00607E27">
              <w:t>–</w:t>
            </w:r>
          </w:p>
        </w:tc>
        <w:tc>
          <w:tcPr>
            <w:tcW w:w="756" w:type="dxa"/>
            <w:tcBorders>
              <w:bottom w:val="single" w:sz="4" w:space="0" w:color="999999"/>
            </w:tcBorders>
            <w:shd w:val="clear" w:color="auto" w:fill="auto"/>
          </w:tcPr>
          <w:p w14:paraId="67BCE6C0" w14:textId="7F9AEE98" w:rsidR="001E3185" w:rsidRPr="00607E27" w:rsidRDefault="00607E27" w:rsidP="001E3185">
            <w:pPr>
              <w:pStyle w:val="TableFiguresBold0"/>
            </w:pPr>
            <w:r w:rsidRPr="00607E27">
              <w:t>3.3</w:t>
            </w:r>
          </w:p>
        </w:tc>
        <w:tc>
          <w:tcPr>
            <w:tcW w:w="840" w:type="dxa"/>
            <w:tcBorders>
              <w:bottom w:val="single" w:sz="4" w:space="0" w:color="999999"/>
            </w:tcBorders>
            <w:shd w:val="clear" w:color="auto" w:fill="auto"/>
          </w:tcPr>
          <w:p w14:paraId="54ED4904" w14:textId="3BFB55D2" w:rsidR="001E3185" w:rsidRPr="00607E27" w:rsidRDefault="00607E27" w:rsidP="002313ED">
            <w:pPr>
              <w:pStyle w:val="TableFiguresBracketsBold"/>
            </w:pPr>
            <w:r w:rsidRPr="00607E27">
              <w:t>(0.9)</w:t>
            </w:r>
          </w:p>
        </w:tc>
        <w:tc>
          <w:tcPr>
            <w:tcW w:w="284" w:type="dxa"/>
            <w:tcBorders>
              <w:bottom w:val="single" w:sz="4" w:space="0" w:color="999999"/>
            </w:tcBorders>
            <w:shd w:val="clear" w:color="auto" w:fill="auto"/>
            <w:vAlign w:val="bottom"/>
          </w:tcPr>
          <w:p w14:paraId="2E16F333" w14:textId="77777777" w:rsidR="001E3185" w:rsidRPr="00607E27" w:rsidRDefault="001E3185" w:rsidP="001E3185">
            <w:pPr>
              <w:pStyle w:val="TableFigures"/>
            </w:pPr>
          </w:p>
        </w:tc>
        <w:tc>
          <w:tcPr>
            <w:tcW w:w="850" w:type="dxa"/>
            <w:tcBorders>
              <w:bottom w:val="single" w:sz="4" w:space="0" w:color="999999"/>
            </w:tcBorders>
            <w:shd w:val="clear" w:color="auto" w:fill="auto"/>
          </w:tcPr>
          <w:p w14:paraId="417CAFB6" w14:textId="3D253492" w:rsidR="001E3185" w:rsidRPr="00607E27" w:rsidRDefault="001E3185" w:rsidP="001E3185">
            <w:pPr>
              <w:pStyle w:val="TableFigures"/>
              <w:rPr>
                <w:b/>
              </w:rPr>
            </w:pPr>
            <w:r w:rsidRPr="00607E27">
              <w:t>–</w:t>
            </w:r>
          </w:p>
        </w:tc>
        <w:tc>
          <w:tcPr>
            <w:tcW w:w="851" w:type="dxa"/>
            <w:tcBorders>
              <w:bottom w:val="single" w:sz="4" w:space="0" w:color="999999"/>
            </w:tcBorders>
            <w:shd w:val="clear" w:color="auto" w:fill="auto"/>
          </w:tcPr>
          <w:p w14:paraId="676DBE32" w14:textId="125A7CCC" w:rsidR="001E3185" w:rsidRPr="00607E27" w:rsidRDefault="00607E27" w:rsidP="001E3185">
            <w:pPr>
              <w:pStyle w:val="TableFigures"/>
              <w:rPr>
                <w:b/>
              </w:rPr>
            </w:pPr>
            <w:r w:rsidRPr="00607E27">
              <w:t>4.7</w:t>
            </w:r>
          </w:p>
        </w:tc>
        <w:tc>
          <w:tcPr>
            <w:tcW w:w="992" w:type="dxa"/>
            <w:tcBorders>
              <w:bottom w:val="single" w:sz="4" w:space="0" w:color="999999"/>
            </w:tcBorders>
            <w:shd w:val="clear" w:color="auto" w:fill="auto"/>
          </w:tcPr>
          <w:p w14:paraId="78265F46" w14:textId="211274C5" w:rsidR="001E3185" w:rsidRPr="00607E27" w:rsidRDefault="001E3185" w:rsidP="002313ED">
            <w:pPr>
              <w:pStyle w:val="TableFiguresBrackets"/>
              <w:rPr>
                <w:b/>
              </w:rPr>
            </w:pPr>
            <w:r w:rsidRPr="00607E27">
              <w:t>(0.</w:t>
            </w:r>
            <w:r w:rsidR="00607E27" w:rsidRPr="00607E27">
              <w:t>5</w:t>
            </w:r>
            <w:r w:rsidRPr="00607E27">
              <w:t>)</w:t>
            </w:r>
          </w:p>
        </w:tc>
      </w:tr>
      <w:tr w:rsidR="005F6D8A" w:rsidRPr="00607E27" w14:paraId="0BEE3E05" w14:textId="77777777" w:rsidTr="00CA0FDF">
        <w:tc>
          <w:tcPr>
            <w:tcW w:w="3259" w:type="dxa"/>
            <w:tcBorders>
              <w:top w:val="single" w:sz="4" w:space="0" w:color="999999"/>
              <w:bottom w:val="single" w:sz="4" w:space="0" w:color="999999"/>
            </w:tcBorders>
            <w:shd w:val="clear" w:color="auto" w:fill="auto"/>
            <w:vAlign w:val="bottom"/>
          </w:tcPr>
          <w:p w14:paraId="79C720DF" w14:textId="77777777" w:rsidR="001E3185" w:rsidRPr="00607E27" w:rsidRDefault="001E3185" w:rsidP="001E3185">
            <w:pPr>
              <w:pStyle w:val="TabletextBold"/>
            </w:pPr>
            <w:r w:rsidRPr="00607E27">
              <w:t>Diluted EPS</w:t>
            </w:r>
          </w:p>
        </w:tc>
        <w:tc>
          <w:tcPr>
            <w:tcW w:w="765" w:type="dxa"/>
            <w:gridSpan w:val="2"/>
            <w:tcBorders>
              <w:top w:val="single" w:sz="4" w:space="0" w:color="999999"/>
              <w:bottom w:val="single" w:sz="4" w:space="0" w:color="999999"/>
            </w:tcBorders>
            <w:shd w:val="clear" w:color="auto" w:fill="auto"/>
            <w:vAlign w:val="bottom"/>
          </w:tcPr>
          <w:p w14:paraId="67450D03" w14:textId="77777777" w:rsidR="001E3185" w:rsidRPr="00607E27" w:rsidRDefault="001E3185" w:rsidP="001E3185">
            <w:pPr>
              <w:pStyle w:val="TableFiguresBold0"/>
            </w:pPr>
          </w:p>
        </w:tc>
        <w:tc>
          <w:tcPr>
            <w:tcW w:w="760" w:type="dxa"/>
            <w:gridSpan w:val="2"/>
            <w:tcBorders>
              <w:top w:val="single" w:sz="4" w:space="0" w:color="999999"/>
              <w:bottom w:val="single" w:sz="4" w:space="0" w:color="999999"/>
            </w:tcBorders>
            <w:shd w:val="clear" w:color="auto" w:fill="auto"/>
            <w:vAlign w:val="bottom"/>
          </w:tcPr>
          <w:p w14:paraId="5F110B9F" w14:textId="77777777" w:rsidR="001E3185" w:rsidRPr="00607E27" w:rsidRDefault="001E3185" w:rsidP="001E3185">
            <w:pPr>
              <w:pStyle w:val="TableFiguresBold0"/>
            </w:pPr>
          </w:p>
        </w:tc>
        <w:tc>
          <w:tcPr>
            <w:tcW w:w="178" w:type="dxa"/>
            <w:tcBorders>
              <w:top w:val="single" w:sz="4" w:space="0" w:color="999999"/>
              <w:bottom w:val="single" w:sz="4" w:space="0" w:color="999999"/>
            </w:tcBorders>
            <w:shd w:val="clear" w:color="auto" w:fill="auto"/>
            <w:vAlign w:val="bottom"/>
          </w:tcPr>
          <w:p w14:paraId="2BF7C34E" w14:textId="77777777" w:rsidR="001E3185" w:rsidRPr="00607E27" w:rsidRDefault="001E3185" w:rsidP="001E3185">
            <w:pPr>
              <w:pStyle w:val="TableFigures"/>
            </w:pPr>
          </w:p>
        </w:tc>
        <w:tc>
          <w:tcPr>
            <w:tcW w:w="813" w:type="dxa"/>
            <w:tcBorders>
              <w:top w:val="single" w:sz="4" w:space="0" w:color="999999"/>
              <w:bottom w:val="single" w:sz="4" w:space="0" w:color="999999"/>
            </w:tcBorders>
            <w:shd w:val="clear" w:color="auto" w:fill="auto"/>
          </w:tcPr>
          <w:p w14:paraId="5B0C5A6E" w14:textId="37932019" w:rsidR="001E3185" w:rsidRPr="00607E27" w:rsidRDefault="00607E27" w:rsidP="001E3185">
            <w:pPr>
              <w:pStyle w:val="TableFiguresBold0"/>
            </w:pPr>
            <w:r w:rsidRPr="00607E27">
              <w:t>4,060</w:t>
            </w:r>
          </w:p>
        </w:tc>
        <w:tc>
          <w:tcPr>
            <w:tcW w:w="756" w:type="dxa"/>
            <w:tcBorders>
              <w:top w:val="single" w:sz="4" w:space="0" w:color="999999"/>
              <w:bottom w:val="single" w:sz="4" w:space="0" w:color="999999"/>
            </w:tcBorders>
            <w:shd w:val="clear" w:color="auto" w:fill="auto"/>
          </w:tcPr>
          <w:p w14:paraId="03F618AA" w14:textId="01097912" w:rsidR="001E3185" w:rsidRPr="00607E27" w:rsidRDefault="00607E27" w:rsidP="001E3185">
            <w:pPr>
              <w:pStyle w:val="TableFiguresBold0"/>
            </w:pPr>
            <w:r w:rsidRPr="00607E27">
              <w:t>1,201.0</w:t>
            </w:r>
          </w:p>
        </w:tc>
        <w:tc>
          <w:tcPr>
            <w:tcW w:w="840" w:type="dxa"/>
            <w:tcBorders>
              <w:top w:val="single" w:sz="4" w:space="0" w:color="999999"/>
              <w:bottom w:val="single" w:sz="4" w:space="0" w:color="999999"/>
            </w:tcBorders>
            <w:shd w:val="clear" w:color="auto" w:fill="auto"/>
          </w:tcPr>
          <w:p w14:paraId="131CD80D" w14:textId="046F67E2" w:rsidR="001E3185" w:rsidRPr="00607E27" w:rsidRDefault="00607E27" w:rsidP="001E3185">
            <w:pPr>
              <w:pStyle w:val="TableFiguresBold0"/>
            </w:pPr>
            <w:r w:rsidRPr="00607E27">
              <w:t>338.1</w:t>
            </w:r>
          </w:p>
        </w:tc>
        <w:tc>
          <w:tcPr>
            <w:tcW w:w="284" w:type="dxa"/>
            <w:tcBorders>
              <w:top w:val="single" w:sz="4" w:space="0" w:color="999999"/>
              <w:bottom w:val="single" w:sz="4" w:space="0" w:color="999999"/>
            </w:tcBorders>
            <w:shd w:val="clear" w:color="auto" w:fill="auto"/>
            <w:vAlign w:val="bottom"/>
          </w:tcPr>
          <w:p w14:paraId="5499173B" w14:textId="77777777" w:rsidR="001E3185" w:rsidRPr="00607E27" w:rsidRDefault="001E3185" w:rsidP="001E3185">
            <w:pPr>
              <w:pStyle w:val="TableFigures"/>
            </w:pPr>
          </w:p>
        </w:tc>
        <w:tc>
          <w:tcPr>
            <w:tcW w:w="850" w:type="dxa"/>
            <w:tcBorders>
              <w:top w:val="single" w:sz="4" w:space="0" w:color="999999"/>
              <w:bottom w:val="single" w:sz="4" w:space="0" w:color="999999"/>
            </w:tcBorders>
            <w:shd w:val="clear" w:color="auto" w:fill="auto"/>
          </w:tcPr>
          <w:p w14:paraId="101D083B" w14:textId="6C775850" w:rsidR="001E3185" w:rsidRPr="00607E27" w:rsidRDefault="00607E27" w:rsidP="001E3185">
            <w:pPr>
              <w:pStyle w:val="TableFigures"/>
              <w:rPr>
                <w:b/>
              </w:rPr>
            </w:pPr>
            <w:r w:rsidRPr="00607E27">
              <w:t>1,427</w:t>
            </w:r>
          </w:p>
        </w:tc>
        <w:tc>
          <w:tcPr>
            <w:tcW w:w="851" w:type="dxa"/>
            <w:tcBorders>
              <w:top w:val="single" w:sz="4" w:space="0" w:color="999999"/>
              <w:bottom w:val="single" w:sz="4" w:space="0" w:color="999999"/>
            </w:tcBorders>
            <w:shd w:val="clear" w:color="auto" w:fill="auto"/>
          </w:tcPr>
          <w:p w14:paraId="44D17216" w14:textId="4C5D3183" w:rsidR="001E3185" w:rsidRPr="00607E27" w:rsidRDefault="00607E27" w:rsidP="001E3185">
            <w:pPr>
              <w:pStyle w:val="TableFigures"/>
              <w:rPr>
                <w:b/>
              </w:rPr>
            </w:pPr>
            <w:r w:rsidRPr="00607E27">
              <w:t>1,154.5</w:t>
            </w:r>
          </w:p>
        </w:tc>
        <w:tc>
          <w:tcPr>
            <w:tcW w:w="992" w:type="dxa"/>
            <w:tcBorders>
              <w:top w:val="single" w:sz="4" w:space="0" w:color="999999"/>
              <w:bottom w:val="single" w:sz="4" w:space="0" w:color="999999"/>
            </w:tcBorders>
            <w:shd w:val="clear" w:color="auto" w:fill="auto"/>
          </w:tcPr>
          <w:p w14:paraId="321287BD" w14:textId="3A2447E0" w:rsidR="001E3185" w:rsidRPr="00607E27" w:rsidRDefault="00607E27" w:rsidP="001E3185">
            <w:pPr>
              <w:pStyle w:val="TableFigures"/>
              <w:rPr>
                <w:b/>
              </w:rPr>
            </w:pPr>
            <w:r w:rsidRPr="00607E27">
              <w:t>123.6</w:t>
            </w:r>
          </w:p>
        </w:tc>
      </w:tr>
      <w:tr w:rsidR="005F6D8A" w:rsidRPr="00607E27" w14:paraId="486C31F2" w14:textId="77777777" w:rsidTr="00CA0FDF">
        <w:tc>
          <w:tcPr>
            <w:tcW w:w="3259" w:type="dxa"/>
            <w:shd w:val="clear" w:color="auto" w:fill="auto"/>
            <w:vAlign w:val="bottom"/>
          </w:tcPr>
          <w:p w14:paraId="1F8188E8" w14:textId="77777777" w:rsidR="001E3185" w:rsidRPr="00607E27" w:rsidRDefault="001E3185" w:rsidP="001E3185">
            <w:pPr>
              <w:pStyle w:val="Tabletext"/>
              <w:rPr>
                <w:b/>
              </w:rPr>
            </w:pPr>
            <w:r w:rsidRPr="00607E27">
              <w:rPr>
                <w:b/>
              </w:rPr>
              <w:t>Basic EPS</w:t>
            </w:r>
          </w:p>
        </w:tc>
        <w:tc>
          <w:tcPr>
            <w:tcW w:w="765" w:type="dxa"/>
            <w:gridSpan w:val="2"/>
            <w:shd w:val="clear" w:color="auto" w:fill="auto"/>
            <w:vAlign w:val="bottom"/>
          </w:tcPr>
          <w:p w14:paraId="476DE394" w14:textId="77777777" w:rsidR="001E3185" w:rsidRPr="00607E27" w:rsidRDefault="001E3185" w:rsidP="001E3185">
            <w:pPr>
              <w:pStyle w:val="TableFiguresBold0"/>
            </w:pPr>
          </w:p>
        </w:tc>
        <w:tc>
          <w:tcPr>
            <w:tcW w:w="760" w:type="dxa"/>
            <w:gridSpan w:val="2"/>
            <w:shd w:val="clear" w:color="auto" w:fill="auto"/>
            <w:vAlign w:val="bottom"/>
          </w:tcPr>
          <w:p w14:paraId="5DC0808D" w14:textId="77777777" w:rsidR="001E3185" w:rsidRPr="00607E27" w:rsidRDefault="001E3185" w:rsidP="001E3185">
            <w:pPr>
              <w:pStyle w:val="TableFiguresBold0"/>
            </w:pPr>
          </w:p>
        </w:tc>
        <w:tc>
          <w:tcPr>
            <w:tcW w:w="178" w:type="dxa"/>
            <w:shd w:val="clear" w:color="auto" w:fill="auto"/>
            <w:vAlign w:val="bottom"/>
          </w:tcPr>
          <w:p w14:paraId="3D108E9E" w14:textId="77777777" w:rsidR="001E3185" w:rsidRPr="00607E27" w:rsidRDefault="001E3185" w:rsidP="001E3185">
            <w:pPr>
              <w:pStyle w:val="TableFigures"/>
              <w:jc w:val="center"/>
            </w:pPr>
          </w:p>
        </w:tc>
        <w:tc>
          <w:tcPr>
            <w:tcW w:w="813" w:type="dxa"/>
            <w:shd w:val="clear" w:color="auto" w:fill="auto"/>
          </w:tcPr>
          <w:p w14:paraId="3F3C24BB" w14:textId="416C80E9" w:rsidR="001E3185" w:rsidRPr="00607E27" w:rsidRDefault="00607E27" w:rsidP="001E3185">
            <w:pPr>
              <w:pStyle w:val="TableFiguresBold0"/>
              <w:rPr>
                <w:sz w:val="19"/>
                <w:szCs w:val="19"/>
              </w:rPr>
            </w:pPr>
            <w:r w:rsidRPr="00607E27">
              <w:t>4,060</w:t>
            </w:r>
          </w:p>
        </w:tc>
        <w:tc>
          <w:tcPr>
            <w:tcW w:w="756" w:type="dxa"/>
            <w:shd w:val="clear" w:color="auto" w:fill="auto"/>
          </w:tcPr>
          <w:p w14:paraId="0159F1E7" w14:textId="2DEC7F6A" w:rsidR="001E3185" w:rsidRPr="00607E27" w:rsidRDefault="00607E27" w:rsidP="001E3185">
            <w:pPr>
              <w:pStyle w:val="TableFiguresBold0"/>
            </w:pPr>
            <w:r w:rsidRPr="00607E27">
              <w:t>1,197.7</w:t>
            </w:r>
          </w:p>
        </w:tc>
        <w:tc>
          <w:tcPr>
            <w:tcW w:w="840" w:type="dxa"/>
            <w:shd w:val="clear" w:color="auto" w:fill="auto"/>
          </w:tcPr>
          <w:p w14:paraId="72A1E7D5" w14:textId="17925C6C" w:rsidR="001E3185" w:rsidRPr="00607E27" w:rsidRDefault="00607E27" w:rsidP="001E3185">
            <w:pPr>
              <w:pStyle w:val="TableFiguresBold0"/>
              <w:rPr>
                <w:sz w:val="19"/>
                <w:szCs w:val="19"/>
              </w:rPr>
            </w:pPr>
            <w:r w:rsidRPr="00607E27">
              <w:t>339.0</w:t>
            </w:r>
          </w:p>
        </w:tc>
        <w:tc>
          <w:tcPr>
            <w:tcW w:w="284" w:type="dxa"/>
            <w:shd w:val="clear" w:color="auto" w:fill="auto"/>
            <w:vAlign w:val="bottom"/>
          </w:tcPr>
          <w:p w14:paraId="4847CA12" w14:textId="77777777" w:rsidR="001E3185" w:rsidRPr="00607E27" w:rsidRDefault="001E3185" w:rsidP="001E3185">
            <w:pPr>
              <w:pStyle w:val="TableFiguresBrackets"/>
            </w:pPr>
          </w:p>
        </w:tc>
        <w:tc>
          <w:tcPr>
            <w:tcW w:w="850" w:type="dxa"/>
            <w:shd w:val="clear" w:color="auto" w:fill="auto"/>
          </w:tcPr>
          <w:p w14:paraId="051FE4F1" w14:textId="3522976A" w:rsidR="001E3185" w:rsidRPr="00607E27" w:rsidRDefault="00607E27" w:rsidP="001E3185">
            <w:pPr>
              <w:pStyle w:val="TableFigures"/>
            </w:pPr>
            <w:r w:rsidRPr="00607E27">
              <w:t>1,427</w:t>
            </w:r>
          </w:p>
        </w:tc>
        <w:tc>
          <w:tcPr>
            <w:tcW w:w="851" w:type="dxa"/>
            <w:shd w:val="clear" w:color="auto" w:fill="auto"/>
          </w:tcPr>
          <w:p w14:paraId="339EA135" w14:textId="621DD9C6" w:rsidR="001E3185" w:rsidRPr="00607E27" w:rsidRDefault="00607E27" w:rsidP="001E3185">
            <w:pPr>
              <w:pStyle w:val="TableFigures"/>
              <w:rPr>
                <w:b/>
              </w:rPr>
            </w:pPr>
            <w:r w:rsidRPr="00607E27">
              <w:t>1,149.8</w:t>
            </w:r>
          </w:p>
        </w:tc>
        <w:tc>
          <w:tcPr>
            <w:tcW w:w="992" w:type="dxa"/>
            <w:shd w:val="clear" w:color="auto" w:fill="auto"/>
          </w:tcPr>
          <w:p w14:paraId="679B35CF" w14:textId="1E955D3C" w:rsidR="001E3185" w:rsidRPr="00607E27" w:rsidRDefault="00607E27" w:rsidP="001E3185">
            <w:pPr>
              <w:pStyle w:val="TableFigures"/>
            </w:pPr>
            <w:r w:rsidRPr="00607E27">
              <w:t>124.1</w:t>
            </w:r>
          </w:p>
        </w:tc>
      </w:tr>
      <w:tr w:rsidR="005F6D8A" w:rsidRPr="00607E27" w14:paraId="082AEAAF" w14:textId="77777777" w:rsidTr="00CA0FDF">
        <w:tc>
          <w:tcPr>
            <w:tcW w:w="3259" w:type="dxa"/>
            <w:shd w:val="clear" w:color="auto" w:fill="auto"/>
            <w:vAlign w:val="bottom"/>
          </w:tcPr>
          <w:p w14:paraId="79C4F264" w14:textId="77777777" w:rsidR="001E3185" w:rsidRPr="00607E27" w:rsidRDefault="001E3185" w:rsidP="001E3185">
            <w:pPr>
              <w:pStyle w:val="Tabletext"/>
            </w:pPr>
            <w:r w:rsidRPr="00607E27">
              <w:t>Adjustments to profit before tax</w:t>
            </w:r>
            <w:r w:rsidRPr="00607E27">
              <w:rPr>
                <w:vertAlign w:val="superscript"/>
              </w:rPr>
              <w:t>1</w:t>
            </w:r>
          </w:p>
        </w:tc>
        <w:tc>
          <w:tcPr>
            <w:tcW w:w="765" w:type="dxa"/>
            <w:gridSpan w:val="2"/>
            <w:shd w:val="clear" w:color="auto" w:fill="auto"/>
            <w:vAlign w:val="bottom"/>
          </w:tcPr>
          <w:p w14:paraId="1393F299" w14:textId="77777777" w:rsidR="001E3185" w:rsidRPr="00607E27" w:rsidRDefault="001E3185" w:rsidP="001E3185">
            <w:pPr>
              <w:pStyle w:val="TableFiguresBracketsBold"/>
            </w:pPr>
          </w:p>
        </w:tc>
        <w:tc>
          <w:tcPr>
            <w:tcW w:w="760" w:type="dxa"/>
            <w:gridSpan w:val="2"/>
            <w:shd w:val="clear" w:color="auto" w:fill="auto"/>
            <w:vAlign w:val="bottom"/>
          </w:tcPr>
          <w:p w14:paraId="2DCE8C42" w14:textId="77777777" w:rsidR="001E3185" w:rsidRPr="00607E27" w:rsidRDefault="001E3185" w:rsidP="001E3185">
            <w:pPr>
              <w:pStyle w:val="TableFiguresBracketsBold"/>
            </w:pPr>
          </w:p>
        </w:tc>
        <w:tc>
          <w:tcPr>
            <w:tcW w:w="178" w:type="dxa"/>
            <w:shd w:val="clear" w:color="auto" w:fill="auto"/>
            <w:vAlign w:val="bottom"/>
          </w:tcPr>
          <w:p w14:paraId="67E78E0D" w14:textId="77777777" w:rsidR="001E3185" w:rsidRPr="00607E27" w:rsidRDefault="001E3185" w:rsidP="001E3185">
            <w:pPr>
              <w:pStyle w:val="TableFigures"/>
            </w:pPr>
          </w:p>
        </w:tc>
        <w:tc>
          <w:tcPr>
            <w:tcW w:w="813" w:type="dxa"/>
            <w:shd w:val="clear" w:color="auto" w:fill="auto"/>
          </w:tcPr>
          <w:p w14:paraId="39416CE7" w14:textId="3966C550" w:rsidR="001E3185" w:rsidRPr="00607E27" w:rsidRDefault="00607E27" w:rsidP="002313ED">
            <w:pPr>
              <w:pStyle w:val="TableFiguresBracketsBold"/>
            </w:pPr>
            <w:r w:rsidRPr="00607E27">
              <w:t>(3,999)</w:t>
            </w:r>
          </w:p>
        </w:tc>
        <w:tc>
          <w:tcPr>
            <w:tcW w:w="756" w:type="dxa"/>
            <w:shd w:val="clear" w:color="auto" w:fill="auto"/>
          </w:tcPr>
          <w:p w14:paraId="1DFBAE24" w14:textId="77777777" w:rsidR="001E3185" w:rsidRPr="00607E27" w:rsidRDefault="001E3185" w:rsidP="001E3185">
            <w:pPr>
              <w:pStyle w:val="TableFiguresBold0"/>
            </w:pPr>
          </w:p>
        </w:tc>
        <w:tc>
          <w:tcPr>
            <w:tcW w:w="840" w:type="dxa"/>
            <w:shd w:val="clear" w:color="auto" w:fill="auto"/>
          </w:tcPr>
          <w:p w14:paraId="5B5454D9" w14:textId="11F9EA40" w:rsidR="001E3185" w:rsidRPr="00607E27" w:rsidRDefault="00607E27" w:rsidP="002313ED">
            <w:pPr>
              <w:pStyle w:val="TableFiguresBracketsBold"/>
            </w:pPr>
            <w:r w:rsidRPr="00607E27">
              <w:t>(333.9)</w:t>
            </w:r>
          </w:p>
        </w:tc>
        <w:tc>
          <w:tcPr>
            <w:tcW w:w="284" w:type="dxa"/>
            <w:shd w:val="clear" w:color="auto" w:fill="auto"/>
            <w:vAlign w:val="bottom"/>
          </w:tcPr>
          <w:p w14:paraId="4D47E465" w14:textId="77777777" w:rsidR="001E3185" w:rsidRPr="00607E27" w:rsidRDefault="001E3185" w:rsidP="001E3185">
            <w:pPr>
              <w:pStyle w:val="TableFiguresBrackets"/>
            </w:pPr>
          </w:p>
        </w:tc>
        <w:tc>
          <w:tcPr>
            <w:tcW w:w="850" w:type="dxa"/>
            <w:shd w:val="clear" w:color="auto" w:fill="auto"/>
          </w:tcPr>
          <w:p w14:paraId="5A11CF2E" w14:textId="507AF1C0" w:rsidR="001E3185" w:rsidRPr="00607E27" w:rsidRDefault="00607E27" w:rsidP="002313ED">
            <w:pPr>
              <w:pStyle w:val="TableFiguresBrackets"/>
            </w:pPr>
            <w:r w:rsidRPr="00607E27">
              <w:t>(1,168)</w:t>
            </w:r>
          </w:p>
        </w:tc>
        <w:tc>
          <w:tcPr>
            <w:tcW w:w="851" w:type="dxa"/>
            <w:shd w:val="clear" w:color="auto" w:fill="auto"/>
          </w:tcPr>
          <w:p w14:paraId="78460567" w14:textId="77777777" w:rsidR="001E3185" w:rsidRPr="00607E27" w:rsidRDefault="001E3185" w:rsidP="001E3185">
            <w:pPr>
              <w:pStyle w:val="TableFigures"/>
              <w:rPr>
                <w:b/>
              </w:rPr>
            </w:pPr>
          </w:p>
        </w:tc>
        <w:tc>
          <w:tcPr>
            <w:tcW w:w="992" w:type="dxa"/>
            <w:shd w:val="clear" w:color="auto" w:fill="auto"/>
          </w:tcPr>
          <w:p w14:paraId="314A3DA0" w14:textId="53E7AE2C" w:rsidR="001E3185" w:rsidRPr="00607E27" w:rsidRDefault="00607E27" w:rsidP="002313ED">
            <w:pPr>
              <w:pStyle w:val="TableFiguresBrackets"/>
            </w:pPr>
            <w:r w:rsidRPr="00607E27">
              <w:t>(101.6)</w:t>
            </w:r>
          </w:p>
        </w:tc>
      </w:tr>
      <w:tr w:rsidR="005F6D8A" w:rsidRPr="00607E27" w14:paraId="2804E455" w14:textId="77777777" w:rsidTr="00CA0FDF">
        <w:tc>
          <w:tcPr>
            <w:tcW w:w="3259" w:type="dxa"/>
            <w:shd w:val="clear" w:color="auto" w:fill="auto"/>
            <w:vAlign w:val="bottom"/>
          </w:tcPr>
          <w:p w14:paraId="717A00F5" w14:textId="77777777" w:rsidR="001E3185" w:rsidRPr="00607E27" w:rsidRDefault="001E3185" w:rsidP="001E3185">
            <w:pPr>
              <w:pStyle w:val="Tabletext"/>
            </w:pPr>
            <w:r w:rsidRPr="00607E27">
              <w:t>Tax in respect of Adjustments</w:t>
            </w:r>
          </w:p>
        </w:tc>
        <w:tc>
          <w:tcPr>
            <w:tcW w:w="765" w:type="dxa"/>
            <w:gridSpan w:val="2"/>
            <w:shd w:val="clear" w:color="auto" w:fill="auto"/>
            <w:vAlign w:val="bottom"/>
          </w:tcPr>
          <w:p w14:paraId="7083987C" w14:textId="77777777" w:rsidR="001E3185" w:rsidRPr="00607E27" w:rsidRDefault="001E3185" w:rsidP="001E3185">
            <w:pPr>
              <w:pStyle w:val="TableFiguresBold0"/>
              <w:rPr>
                <w:szCs w:val="20"/>
              </w:rPr>
            </w:pPr>
          </w:p>
        </w:tc>
        <w:tc>
          <w:tcPr>
            <w:tcW w:w="760" w:type="dxa"/>
            <w:gridSpan w:val="2"/>
            <w:shd w:val="clear" w:color="auto" w:fill="auto"/>
            <w:vAlign w:val="bottom"/>
          </w:tcPr>
          <w:p w14:paraId="037DB307" w14:textId="77777777" w:rsidR="001E3185" w:rsidRPr="00607E27" w:rsidRDefault="001E3185" w:rsidP="001E3185">
            <w:pPr>
              <w:pStyle w:val="TableFiguresBold0"/>
            </w:pPr>
          </w:p>
        </w:tc>
        <w:tc>
          <w:tcPr>
            <w:tcW w:w="178" w:type="dxa"/>
            <w:shd w:val="clear" w:color="auto" w:fill="auto"/>
            <w:vAlign w:val="bottom"/>
          </w:tcPr>
          <w:p w14:paraId="0849CF44" w14:textId="77777777" w:rsidR="001E3185" w:rsidRPr="00607E27" w:rsidRDefault="001E3185" w:rsidP="001E3185">
            <w:pPr>
              <w:pStyle w:val="TableFigures"/>
            </w:pPr>
          </w:p>
        </w:tc>
        <w:tc>
          <w:tcPr>
            <w:tcW w:w="813" w:type="dxa"/>
            <w:shd w:val="clear" w:color="auto" w:fill="auto"/>
          </w:tcPr>
          <w:p w14:paraId="12A10E44" w14:textId="77CC85F6" w:rsidR="001E3185" w:rsidRPr="00607E27" w:rsidRDefault="00607E27" w:rsidP="001E3185">
            <w:pPr>
              <w:pStyle w:val="TableFiguresBold0"/>
            </w:pPr>
            <w:r w:rsidRPr="00607E27">
              <w:t>280</w:t>
            </w:r>
          </w:p>
        </w:tc>
        <w:tc>
          <w:tcPr>
            <w:tcW w:w="756" w:type="dxa"/>
            <w:shd w:val="clear" w:color="auto" w:fill="auto"/>
          </w:tcPr>
          <w:p w14:paraId="47AD00C6" w14:textId="77777777" w:rsidR="001E3185" w:rsidRPr="00607E27" w:rsidRDefault="001E3185" w:rsidP="001E3185">
            <w:pPr>
              <w:pStyle w:val="TableFiguresBold0"/>
            </w:pPr>
          </w:p>
        </w:tc>
        <w:tc>
          <w:tcPr>
            <w:tcW w:w="840" w:type="dxa"/>
            <w:shd w:val="clear" w:color="auto" w:fill="auto"/>
          </w:tcPr>
          <w:p w14:paraId="53037D00" w14:textId="43BF0114" w:rsidR="001E3185" w:rsidRPr="00607E27" w:rsidRDefault="00607E27" w:rsidP="001E3185">
            <w:pPr>
              <w:pStyle w:val="TableFiguresBold0"/>
            </w:pPr>
            <w:r w:rsidRPr="00607E27">
              <w:t>23.4</w:t>
            </w:r>
          </w:p>
        </w:tc>
        <w:tc>
          <w:tcPr>
            <w:tcW w:w="284" w:type="dxa"/>
            <w:shd w:val="clear" w:color="auto" w:fill="auto"/>
            <w:vAlign w:val="bottom"/>
          </w:tcPr>
          <w:p w14:paraId="47DF575F" w14:textId="77777777" w:rsidR="001E3185" w:rsidRPr="00607E27" w:rsidRDefault="001E3185" w:rsidP="001E3185">
            <w:pPr>
              <w:pStyle w:val="TableFigures"/>
            </w:pPr>
          </w:p>
        </w:tc>
        <w:tc>
          <w:tcPr>
            <w:tcW w:w="850" w:type="dxa"/>
            <w:shd w:val="clear" w:color="auto" w:fill="auto"/>
          </w:tcPr>
          <w:p w14:paraId="5E27A057" w14:textId="7BE3FF36" w:rsidR="001E3185" w:rsidRPr="00607E27" w:rsidRDefault="00607E27" w:rsidP="001E3185">
            <w:pPr>
              <w:pStyle w:val="TableFigures"/>
              <w:rPr>
                <w:b/>
              </w:rPr>
            </w:pPr>
            <w:r w:rsidRPr="00607E27">
              <w:t>31</w:t>
            </w:r>
          </w:p>
        </w:tc>
        <w:tc>
          <w:tcPr>
            <w:tcW w:w="851" w:type="dxa"/>
            <w:shd w:val="clear" w:color="auto" w:fill="auto"/>
          </w:tcPr>
          <w:p w14:paraId="313F18BA" w14:textId="77777777" w:rsidR="001E3185" w:rsidRPr="00607E27" w:rsidRDefault="001E3185" w:rsidP="001E3185">
            <w:pPr>
              <w:pStyle w:val="TableFigures"/>
              <w:rPr>
                <w:b/>
              </w:rPr>
            </w:pPr>
          </w:p>
        </w:tc>
        <w:tc>
          <w:tcPr>
            <w:tcW w:w="992" w:type="dxa"/>
            <w:shd w:val="clear" w:color="auto" w:fill="auto"/>
          </w:tcPr>
          <w:p w14:paraId="5CA4595B" w14:textId="1A704D59" w:rsidR="001E3185" w:rsidRPr="00607E27" w:rsidRDefault="00607E27" w:rsidP="001E3185">
            <w:pPr>
              <w:pStyle w:val="TableFigures"/>
              <w:rPr>
                <w:b/>
              </w:rPr>
            </w:pPr>
            <w:r w:rsidRPr="00607E27">
              <w:t>2.7</w:t>
            </w:r>
          </w:p>
        </w:tc>
      </w:tr>
      <w:tr w:rsidR="005F6D8A" w:rsidRPr="00607E27" w14:paraId="0EC592F8" w14:textId="77777777" w:rsidTr="00CA0FDF">
        <w:tc>
          <w:tcPr>
            <w:tcW w:w="3259" w:type="dxa"/>
            <w:tcBorders>
              <w:bottom w:val="single" w:sz="4" w:space="0" w:color="A6A6A6"/>
            </w:tcBorders>
            <w:shd w:val="clear" w:color="auto" w:fill="auto"/>
            <w:vAlign w:val="bottom"/>
          </w:tcPr>
          <w:p w14:paraId="5EB85669" w14:textId="34B256C9" w:rsidR="001E3185" w:rsidRPr="00607E27" w:rsidRDefault="001E3185" w:rsidP="001E3185">
            <w:pPr>
              <w:pStyle w:val="Tabletext"/>
            </w:pPr>
            <w:r w:rsidRPr="00607E27">
              <w:t xml:space="preserve">Non-controlling interest on </w:t>
            </w:r>
            <w:r w:rsidR="001F3EBD" w:rsidRPr="00607E27">
              <w:t>A</w:t>
            </w:r>
            <w:r w:rsidRPr="00607E27">
              <w:t>djustments</w:t>
            </w:r>
          </w:p>
        </w:tc>
        <w:tc>
          <w:tcPr>
            <w:tcW w:w="765" w:type="dxa"/>
            <w:gridSpan w:val="2"/>
            <w:tcBorders>
              <w:bottom w:val="single" w:sz="4" w:space="0" w:color="A6A6A6"/>
            </w:tcBorders>
            <w:shd w:val="clear" w:color="auto" w:fill="auto"/>
            <w:vAlign w:val="bottom"/>
          </w:tcPr>
          <w:p w14:paraId="60D7E990" w14:textId="77777777" w:rsidR="001E3185" w:rsidRPr="00607E27" w:rsidRDefault="001E3185" w:rsidP="001E3185">
            <w:pPr>
              <w:pStyle w:val="TableFiguresBold0"/>
              <w:rPr>
                <w:szCs w:val="20"/>
              </w:rPr>
            </w:pPr>
          </w:p>
        </w:tc>
        <w:tc>
          <w:tcPr>
            <w:tcW w:w="760" w:type="dxa"/>
            <w:gridSpan w:val="2"/>
            <w:tcBorders>
              <w:bottom w:val="single" w:sz="4" w:space="0" w:color="A6A6A6"/>
            </w:tcBorders>
            <w:shd w:val="clear" w:color="auto" w:fill="auto"/>
            <w:vAlign w:val="bottom"/>
          </w:tcPr>
          <w:p w14:paraId="562816F9" w14:textId="77777777" w:rsidR="001E3185" w:rsidRPr="00607E27" w:rsidRDefault="001E3185" w:rsidP="001E3185">
            <w:pPr>
              <w:pStyle w:val="TableFiguresBold0"/>
            </w:pPr>
          </w:p>
        </w:tc>
        <w:tc>
          <w:tcPr>
            <w:tcW w:w="178" w:type="dxa"/>
            <w:tcBorders>
              <w:bottom w:val="single" w:sz="4" w:space="0" w:color="A6A6A6"/>
            </w:tcBorders>
            <w:shd w:val="clear" w:color="auto" w:fill="auto"/>
            <w:vAlign w:val="bottom"/>
          </w:tcPr>
          <w:p w14:paraId="5B062A3E" w14:textId="77777777" w:rsidR="001E3185" w:rsidRPr="00607E27" w:rsidRDefault="001E3185" w:rsidP="001E3185">
            <w:pPr>
              <w:pStyle w:val="TableFigures"/>
            </w:pPr>
          </w:p>
        </w:tc>
        <w:tc>
          <w:tcPr>
            <w:tcW w:w="813" w:type="dxa"/>
            <w:tcBorders>
              <w:bottom w:val="single" w:sz="4" w:space="0" w:color="A6A6A6"/>
            </w:tcBorders>
            <w:shd w:val="clear" w:color="auto" w:fill="auto"/>
          </w:tcPr>
          <w:p w14:paraId="168F79EC" w14:textId="6FCE676D" w:rsidR="001E3185" w:rsidRPr="00607E27" w:rsidRDefault="00607E27" w:rsidP="001E3185">
            <w:pPr>
              <w:pStyle w:val="TableFiguresBold0"/>
            </w:pPr>
            <w:r w:rsidRPr="00607E27">
              <w:t>7</w:t>
            </w:r>
          </w:p>
        </w:tc>
        <w:tc>
          <w:tcPr>
            <w:tcW w:w="756" w:type="dxa"/>
            <w:tcBorders>
              <w:bottom w:val="single" w:sz="4" w:space="0" w:color="A6A6A6"/>
            </w:tcBorders>
            <w:shd w:val="clear" w:color="auto" w:fill="auto"/>
          </w:tcPr>
          <w:p w14:paraId="19450DB5" w14:textId="77777777" w:rsidR="001E3185" w:rsidRPr="00607E27" w:rsidRDefault="001E3185" w:rsidP="001E3185">
            <w:pPr>
              <w:pStyle w:val="TableFiguresBold0"/>
            </w:pPr>
          </w:p>
        </w:tc>
        <w:tc>
          <w:tcPr>
            <w:tcW w:w="840" w:type="dxa"/>
            <w:tcBorders>
              <w:bottom w:val="single" w:sz="4" w:space="0" w:color="A6A6A6"/>
            </w:tcBorders>
            <w:shd w:val="clear" w:color="auto" w:fill="auto"/>
          </w:tcPr>
          <w:p w14:paraId="092B8A5C" w14:textId="45EF2762" w:rsidR="001E3185" w:rsidRPr="00607E27" w:rsidRDefault="00607E27" w:rsidP="001E3185">
            <w:pPr>
              <w:pStyle w:val="TableFiguresBold0"/>
            </w:pPr>
            <w:r w:rsidRPr="00607E27">
              <w:t>0.6</w:t>
            </w:r>
          </w:p>
        </w:tc>
        <w:tc>
          <w:tcPr>
            <w:tcW w:w="284" w:type="dxa"/>
            <w:tcBorders>
              <w:bottom w:val="single" w:sz="4" w:space="0" w:color="A6A6A6"/>
            </w:tcBorders>
            <w:shd w:val="clear" w:color="auto" w:fill="auto"/>
            <w:vAlign w:val="bottom"/>
          </w:tcPr>
          <w:p w14:paraId="6667A856" w14:textId="77777777" w:rsidR="001E3185" w:rsidRPr="00607E27" w:rsidRDefault="001E3185" w:rsidP="001E3185">
            <w:pPr>
              <w:pStyle w:val="TableFigures"/>
            </w:pPr>
          </w:p>
        </w:tc>
        <w:tc>
          <w:tcPr>
            <w:tcW w:w="850" w:type="dxa"/>
            <w:tcBorders>
              <w:bottom w:val="single" w:sz="4" w:space="0" w:color="A6A6A6"/>
            </w:tcBorders>
            <w:shd w:val="clear" w:color="auto" w:fill="auto"/>
          </w:tcPr>
          <w:p w14:paraId="31B1DEEF" w14:textId="1A16BAF8" w:rsidR="001E3185" w:rsidRPr="00607E27" w:rsidRDefault="00607E27" w:rsidP="001E3185">
            <w:pPr>
              <w:pStyle w:val="TableFigures"/>
            </w:pPr>
            <w:r w:rsidRPr="00607E27">
              <w:t>2</w:t>
            </w:r>
          </w:p>
        </w:tc>
        <w:tc>
          <w:tcPr>
            <w:tcW w:w="851" w:type="dxa"/>
            <w:tcBorders>
              <w:bottom w:val="single" w:sz="4" w:space="0" w:color="A6A6A6"/>
            </w:tcBorders>
            <w:shd w:val="clear" w:color="auto" w:fill="auto"/>
          </w:tcPr>
          <w:p w14:paraId="0FC23BB0" w14:textId="77777777" w:rsidR="001E3185" w:rsidRPr="00607E27" w:rsidRDefault="001E3185" w:rsidP="001E3185">
            <w:pPr>
              <w:pStyle w:val="TableFigures"/>
            </w:pPr>
          </w:p>
        </w:tc>
        <w:tc>
          <w:tcPr>
            <w:tcW w:w="992" w:type="dxa"/>
            <w:tcBorders>
              <w:bottom w:val="single" w:sz="4" w:space="0" w:color="A6A6A6"/>
            </w:tcBorders>
            <w:shd w:val="clear" w:color="auto" w:fill="auto"/>
          </w:tcPr>
          <w:p w14:paraId="29787FA5" w14:textId="4B60E617" w:rsidR="001E3185" w:rsidRPr="00607E27" w:rsidRDefault="00607E27" w:rsidP="001E3185">
            <w:pPr>
              <w:pStyle w:val="TableFigures"/>
            </w:pPr>
            <w:r w:rsidRPr="00607E27">
              <w:t>0.2</w:t>
            </w:r>
          </w:p>
        </w:tc>
      </w:tr>
      <w:tr w:rsidR="005F6D8A" w:rsidRPr="00607E27" w14:paraId="1503E55A" w14:textId="77777777" w:rsidTr="00CA0FDF">
        <w:tc>
          <w:tcPr>
            <w:tcW w:w="3259" w:type="dxa"/>
            <w:tcBorders>
              <w:top w:val="single" w:sz="4" w:space="0" w:color="A6A6A6"/>
              <w:bottom w:val="single" w:sz="4" w:space="0" w:color="A6A6A6"/>
            </w:tcBorders>
            <w:shd w:val="clear" w:color="auto" w:fill="auto"/>
            <w:vAlign w:val="bottom"/>
          </w:tcPr>
          <w:p w14:paraId="4CA3E625" w14:textId="47316ABC" w:rsidR="001E3185" w:rsidRPr="00607E27" w:rsidRDefault="001E3185" w:rsidP="001E3185">
            <w:pPr>
              <w:pStyle w:val="TabletextBold"/>
            </w:pPr>
            <w:r w:rsidRPr="00607E27">
              <w:t>Adjusted Basic EPS</w:t>
            </w:r>
          </w:p>
        </w:tc>
        <w:tc>
          <w:tcPr>
            <w:tcW w:w="765" w:type="dxa"/>
            <w:gridSpan w:val="2"/>
            <w:tcBorders>
              <w:top w:val="single" w:sz="4" w:space="0" w:color="A6A6A6"/>
              <w:bottom w:val="single" w:sz="4" w:space="0" w:color="A6A6A6"/>
            </w:tcBorders>
            <w:shd w:val="clear" w:color="auto" w:fill="auto"/>
            <w:vAlign w:val="bottom"/>
          </w:tcPr>
          <w:p w14:paraId="46C1002B" w14:textId="77777777" w:rsidR="001E3185" w:rsidRPr="00607E27" w:rsidDel="005E1E68" w:rsidRDefault="001E3185" w:rsidP="001E3185">
            <w:pPr>
              <w:pStyle w:val="TableFiguresBold0"/>
              <w:rPr>
                <w:szCs w:val="20"/>
              </w:rPr>
            </w:pPr>
          </w:p>
        </w:tc>
        <w:tc>
          <w:tcPr>
            <w:tcW w:w="760" w:type="dxa"/>
            <w:gridSpan w:val="2"/>
            <w:tcBorders>
              <w:top w:val="single" w:sz="4" w:space="0" w:color="A6A6A6"/>
              <w:bottom w:val="single" w:sz="4" w:space="0" w:color="A6A6A6"/>
            </w:tcBorders>
            <w:shd w:val="clear" w:color="auto" w:fill="auto"/>
            <w:vAlign w:val="bottom"/>
          </w:tcPr>
          <w:p w14:paraId="75304C95" w14:textId="77777777" w:rsidR="001E3185" w:rsidRPr="00607E27" w:rsidDel="005E1E68" w:rsidRDefault="001E3185" w:rsidP="001E3185">
            <w:pPr>
              <w:pStyle w:val="TableFiguresBold0"/>
            </w:pPr>
          </w:p>
        </w:tc>
        <w:tc>
          <w:tcPr>
            <w:tcW w:w="178" w:type="dxa"/>
            <w:tcBorders>
              <w:top w:val="single" w:sz="4" w:space="0" w:color="A6A6A6"/>
              <w:bottom w:val="single" w:sz="4" w:space="0" w:color="A6A6A6"/>
            </w:tcBorders>
            <w:shd w:val="clear" w:color="auto" w:fill="auto"/>
            <w:vAlign w:val="bottom"/>
          </w:tcPr>
          <w:p w14:paraId="58F6DD99" w14:textId="77777777" w:rsidR="001E3185" w:rsidRPr="00607E27" w:rsidRDefault="001E3185" w:rsidP="001E3185">
            <w:pPr>
              <w:pStyle w:val="TableFigures"/>
            </w:pPr>
          </w:p>
        </w:tc>
        <w:tc>
          <w:tcPr>
            <w:tcW w:w="813" w:type="dxa"/>
            <w:tcBorders>
              <w:top w:val="single" w:sz="4" w:space="0" w:color="A6A6A6"/>
              <w:bottom w:val="single" w:sz="4" w:space="0" w:color="A6A6A6"/>
            </w:tcBorders>
            <w:shd w:val="clear" w:color="auto" w:fill="auto"/>
          </w:tcPr>
          <w:p w14:paraId="11A01EF6" w14:textId="59A7321A" w:rsidR="001E3185" w:rsidRPr="00607E27" w:rsidRDefault="00FF04DA" w:rsidP="001E3185">
            <w:pPr>
              <w:pStyle w:val="TableFiguresBold0"/>
            </w:pPr>
            <w:r>
              <w:t>3</w:t>
            </w:r>
            <w:r w:rsidR="00607E27" w:rsidRPr="00607E27">
              <w:t>48</w:t>
            </w:r>
          </w:p>
        </w:tc>
        <w:tc>
          <w:tcPr>
            <w:tcW w:w="756" w:type="dxa"/>
            <w:tcBorders>
              <w:top w:val="single" w:sz="4" w:space="0" w:color="A6A6A6"/>
              <w:bottom w:val="single" w:sz="4" w:space="0" w:color="A6A6A6"/>
            </w:tcBorders>
            <w:shd w:val="clear" w:color="auto" w:fill="auto"/>
          </w:tcPr>
          <w:p w14:paraId="46D077D1" w14:textId="5F510F15" w:rsidR="001E3185" w:rsidRPr="00607E27" w:rsidRDefault="00607E27" w:rsidP="001E3185">
            <w:pPr>
              <w:pStyle w:val="TableFiguresBold0"/>
            </w:pPr>
            <w:r w:rsidRPr="00607E27">
              <w:t>1,197.7</w:t>
            </w:r>
          </w:p>
        </w:tc>
        <w:tc>
          <w:tcPr>
            <w:tcW w:w="840" w:type="dxa"/>
            <w:tcBorders>
              <w:top w:val="single" w:sz="4" w:space="0" w:color="A6A6A6"/>
              <w:bottom w:val="single" w:sz="4" w:space="0" w:color="A6A6A6"/>
            </w:tcBorders>
            <w:shd w:val="clear" w:color="auto" w:fill="auto"/>
          </w:tcPr>
          <w:p w14:paraId="46916C76" w14:textId="2B843488" w:rsidR="001E3185" w:rsidRPr="00607E27" w:rsidRDefault="00607E27" w:rsidP="001E3185">
            <w:pPr>
              <w:pStyle w:val="TableFiguresBold0"/>
            </w:pPr>
            <w:r w:rsidRPr="00607E27">
              <w:t>29.1</w:t>
            </w:r>
          </w:p>
        </w:tc>
        <w:tc>
          <w:tcPr>
            <w:tcW w:w="284" w:type="dxa"/>
            <w:tcBorders>
              <w:top w:val="single" w:sz="4" w:space="0" w:color="A6A6A6"/>
              <w:bottom w:val="single" w:sz="4" w:space="0" w:color="A6A6A6"/>
            </w:tcBorders>
            <w:shd w:val="clear" w:color="auto" w:fill="auto"/>
            <w:vAlign w:val="bottom"/>
          </w:tcPr>
          <w:p w14:paraId="53FAB50C" w14:textId="77777777" w:rsidR="001E3185" w:rsidRPr="00607E27" w:rsidRDefault="001E3185" w:rsidP="001E3185">
            <w:pPr>
              <w:pStyle w:val="TableFigures"/>
            </w:pPr>
          </w:p>
        </w:tc>
        <w:tc>
          <w:tcPr>
            <w:tcW w:w="850" w:type="dxa"/>
            <w:tcBorders>
              <w:top w:val="single" w:sz="4" w:space="0" w:color="A6A6A6"/>
              <w:bottom w:val="single" w:sz="4" w:space="0" w:color="A6A6A6"/>
            </w:tcBorders>
            <w:shd w:val="clear" w:color="auto" w:fill="auto"/>
          </w:tcPr>
          <w:p w14:paraId="54006074" w14:textId="3DCDDE90" w:rsidR="001E3185" w:rsidRPr="00607E27" w:rsidRDefault="00607E27" w:rsidP="001E3185">
            <w:pPr>
              <w:pStyle w:val="TableFigures"/>
              <w:rPr>
                <w:b/>
              </w:rPr>
            </w:pPr>
            <w:r w:rsidRPr="00607E27">
              <w:t>292</w:t>
            </w:r>
          </w:p>
        </w:tc>
        <w:tc>
          <w:tcPr>
            <w:tcW w:w="851" w:type="dxa"/>
            <w:tcBorders>
              <w:top w:val="single" w:sz="4" w:space="0" w:color="A6A6A6"/>
              <w:bottom w:val="single" w:sz="4" w:space="0" w:color="A6A6A6"/>
            </w:tcBorders>
            <w:shd w:val="clear" w:color="auto" w:fill="auto"/>
          </w:tcPr>
          <w:p w14:paraId="2D812CD7" w14:textId="07B5E6D6" w:rsidR="001E3185" w:rsidRPr="00607E27" w:rsidRDefault="00607E27" w:rsidP="001E3185">
            <w:pPr>
              <w:pStyle w:val="TableFigures"/>
              <w:rPr>
                <w:b/>
              </w:rPr>
            </w:pPr>
            <w:r w:rsidRPr="00607E27">
              <w:t>1,149.8</w:t>
            </w:r>
          </w:p>
        </w:tc>
        <w:tc>
          <w:tcPr>
            <w:tcW w:w="992" w:type="dxa"/>
            <w:tcBorders>
              <w:top w:val="single" w:sz="4" w:space="0" w:color="A6A6A6"/>
              <w:bottom w:val="single" w:sz="4" w:space="0" w:color="A6A6A6"/>
            </w:tcBorders>
            <w:shd w:val="clear" w:color="auto" w:fill="auto"/>
          </w:tcPr>
          <w:p w14:paraId="4FA200C2" w14:textId="216ECAEA" w:rsidR="001E3185" w:rsidRPr="00607E27" w:rsidRDefault="00607E27" w:rsidP="001E3185">
            <w:pPr>
              <w:pStyle w:val="TableFigures"/>
              <w:rPr>
                <w:b/>
              </w:rPr>
            </w:pPr>
            <w:r w:rsidRPr="00607E27">
              <w:t>25.4</w:t>
            </w:r>
          </w:p>
        </w:tc>
      </w:tr>
      <w:tr w:rsidR="001E3185" w:rsidRPr="00607E27" w14:paraId="11B06265" w14:textId="77777777" w:rsidTr="00CA0FDF">
        <w:tc>
          <w:tcPr>
            <w:tcW w:w="3259" w:type="dxa"/>
            <w:tcBorders>
              <w:top w:val="single" w:sz="4" w:space="0" w:color="A6A6A6"/>
              <w:bottom w:val="single" w:sz="8" w:space="0" w:color="A6A6A6"/>
            </w:tcBorders>
            <w:shd w:val="clear" w:color="auto" w:fill="auto"/>
            <w:vAlign w:val="bottom"/>
          </w:tcPr>
          <w:p w14:paraId="0CC2ED42" w14:textId="357C9D63" w:rsidR="001E3185" w:rsidRPr="00607E27" w:rsidRDefault="001E3185" w:rsidP="001E3185">
            <w:pPr>
              <w:pStyle w:val="TabletextBold"/>
            </w:pPr>
            <w:r w:rsidRPr="00607E27">
              <w:t>Adjusted Diluted EPS</w:t>
            </w:r>
          </w:p>
        </w:tc>
        <w:tc>
          <w:tcPr>
            <w:tcW w:w="765" w:type="dxa"/>
            <w:gridSpan w:val="2"/>
            <w:tcBorders>
              <w:top w:val="single" w:sz="4" w:space="0" w:color="A6A6A6"/>
              <w:bottom w:val="single" w:sz="8" w:space="0" w:color="A6A6A6"/>
            </w:tcBorders>
            <w:shd w:val="clear" w:color="auto" w:fill="auto"/>
            <w:vAlign w:val="bottom"/>
          </w:tcPr>
          <w:p w14:paraId="2D14B027" w14:textId="77777777" w:rsidR="001E3185" w:rsidRPr="00607E27" w:rsidDel="005E1E68" w:rsidRDefault="001E3185" w:rsidP="001E3185">
            <w:pPr>
              <w:pStyle w:val="TableFiguresBold0"/>
              <w:rPr>
                <w:szCs w:val="20"/>
              </w:rPr>
            </w:pPr>
          </w:p>
        </w:tc>
        <w:tc>
          <w:tcPr>
            <w:tcW w:w="760" w:type="dxa"/>
            <w:gridSpan w:val="2"/>
            <w:tcBorders>
              <w:top w:val="single" w:sz="4" w:space="0" w:color="A6A6A6"/>
              <w:bottom w:val="single" w:sz="8" w:space="0" w:color="A6A6A6"/>
            </w:tcBorders>
            <w:shd w:val="clear" w:color="auto" w:fill="auto"/>
            <w:vAlign w:val="bottom"/>
          </w:tcPr>
          <w:p w14:paraId="0DB6A455" w14:textId="77777777" w:rsidR="001E3185" w:rsidRPr="00607E27" w:rsidDel="005E1E68" w:rsidRDefault="001E3185" w:rsidP="001E3185">
            <w:pPr>
              <w:pStyle w:val="TableFiguresBold0"/>
            </w:pPr>
          </w:p>
        </w:tc>
        <w:tc>
          <w:tcPr>
            <w:tcW w:w="178" w:type="dxa"/>
            <w:tcBorders>
              <w:top w:val="single" w:sz="4" w:space="0" w:color="A6A6A6"/>
              <w:bottom w:val="single" w:sz="8" w:space="0" w:color="A6A6A6"/>
            </w:tcBorders>
            <w:shd w:val="clear" w:color="auto" w:fill="auto"/>
            <w:vAlign w:val="bottom"/>
          </w:tcPr>
          <w:p w14:paraId="32CB1464" w14:textId="77777777" w:rsidR="001E3185" w:rsidRPr="00607E27" w:rsidRDefault="001E3185" w:rsidP="001E3185">
            <w:pPr>
              <w:pStyle w:val="TableFigures"/>
            </w:pPr>
          </w:p>
        </w:tc>
        <w:tc>
          <w:tcPr>
            <w:tcW w:w="813" w:type="dxa"/>
            <w:tcBorders>
              <w:top w:val="single" w:sz="4" w:space="0" w:color="A6A6A6"/>
              <w:bottom w:val="single" w:sz="8" w:space="0" w:color="A6A6A6"/>
            </w:tcBorders>
            <w:shd w:val="clear" w:color="auto" w:fill="auto"/>
          </w:tcPr>
          <w:p w14:paraId="33DA0D0E" w14:textId="314E5655" w:rsidR="001E3185" w:rsidRPr="00607E27" w:rsidRDefault="00607E27" w:rsidP="001E3185">
            <w:pPr>
              <w:pStyle w:val="TableFiguresBold0"/>
            </w:pPr>
            <w:r w:rsidRPr="00607E27">
              <w:t>348</w:t>
            </w:r>
          </w:p>
        </w:tc>
        <w:tc>
          <w:tcPr>
            <w:tcW w:w="756" w:type="dxa"/>
            <w:tcBorders>
              <w:top w:val="single" w:sz="4" w:space="0" w:color="A6A6A6"/>
              <w:bottom w:val="single" w:sz="8" w:space="0" w:color="A6A6A6"/>
            </w:tcBorders>
            <w:shd w:val="clear" w:color="auto" w:fill="auto"/>
          </w:tcPr>
          <w:p w14:paraId="4F33ABED" w14:textId="7023FF3A" w:rsidR="001E3185" w:rsidRPr="00607E27" w:rsidRDefault="00607E27" w:rsidP="001E3185">
            <w:pPr>
              <w:pStyle w:val="TableFiguresBold0"/>
            </w:pPr>
            <w:r w:rsidRPr="00607E27">
              <w:t>1,201.0</w:t>
            </w:r>
          </w:p>
        </w:tc>
        <w:tc>
          <w:tcPr>
            <w:tcW w:w="840" w:type="dxa"/>
            <w:tcBorders>
              <w:top w:val="single" w:sz="4" w:space="0" w:color="A6A6A6"/>
              <w:bottom w:val="single" w:sz="8" w:space="0" w:color="A6A6A6"/>
            </w:tcBorders>
            <w:shd w:val="clear" w:color="auto" w:fill="auto"/>
          </w:tcPr>
          <w:p w14:paraId="0C5774C6" w14:textId="0B3D222B" w:rsidR="001E3185" w:rsidRPr="00607E27" w:rsidRDefault="00607E27" w:rsidP="001E3185">
            <w:pPr>
              <w:pStyle w:val="TableFiguresBold0"/>
            </w:pPr>
            <w:r w:rsidRPr="00607E27">
              <w:t>29.0</w:t>
            </w:r>
          </w:p>
        </w:tc>
        <w:tc>
          <w:tcPr>
            <w:tcW w:w="284" w:type="dxa"/>
            <w:tcBorders>
              <w:top w:val="single" w:sz="4" w:space="0" w:color="A6A6A6"/>
              <w:bottom w:val="single" w:sz="8" w:space="0" w:color="A6A6A6"/>
            </w:tcBorders>
            <w:shd w:val="clear" w:color="auto" w:fill="auto"/>
            <w:vAlign w:val="bottom"/>
          </w:tcPr>
          <w:p w14:paraId="122782F5" w14:textId="69318FE6" w:rsidR="001E3185" w:rsidRPr="00607E27" w:rsidRDefault="001E3185" w:rsidP="001E3185">
            <w:pPr>
              <w:pStyle w:val="TableFigures"/>
            </w:pPr>
          </w:p>
        </w:tc>
        <w:tc>
          <w:tcPr>
            <w:tcW w:w="850" w:type="dxa"/>
            <w:tcBorders>
              <w:top w:val="single" w:sz="4" w:space="0" w:color="A6A6A6"/>
              <w:bottom w:val="single" w:sz="8" w:space="0" w:color="A6A6A6"/>
            </w:tcBorders>
            <w:shd w:val="clear" w:color="auto" w:fill="auto"/>
          </w:tcPr>
          <w:p w14:paraId="10D7BF3B" w14:textId="7C73D1FE" w:rsidR="001E3185" w:rsidRPr="00607E27" w:rsidRDefault="00607E27" w:rsidP="001E3185">
            <w:pPr>
              <w:pStyle w:val="TableFigures"/>
            </w:pPr>
            <w:r w:rsidRPr="00607E27">
              <w:t>292</w:t>
            </w:r>
          </w:p>
        </w:tc>
        <w:tc>
          <w:tcPr>
            <w:tcW w:w="851" w:type="dxa"/>
            <w:tcBorders>
              <w:top w:val="single" w:sz="4" w:space="0" w:color="A6A6A6"/>
              <w:bottom w:val="single" w:sz="8" w:space="0" w:color="A6A6A6"/>
            </w:tcBorders>
            <w:shd w:val="clear" w:color="auto" w:fill="auto"/>
          </w:tcPr>
          <w:p w14:paraId="3FD00630" w14:textId="55A501EE" w:rsidR="001E3185" w:rsidRPr="00607E27" w:rsidRDefault="00607E27" w:rsidP="001E3185">
            <w:pPr>
              <w:pStyle w:val="TableFigures"/>
            </w:pPr>
            <w:r w:rsidRPr="00607E27">
              <w:t>1,154.5</w:t>
            </w:r>
          </w:p>
        </w:tc>
        <w:tc>
          <w:tcPr>
            <w:tcW w:w="992" w:type="dxa"/>
            <w:tcBorders>
              <w:top w:val="single" w:sz="4" w:space="0" w:color="A6A6A6"/>
              <w:bottom w:val="single" w:sz="8" w:space="0" w:color="A6A6A6"/>
            </w:tcBorders>
            <w:shd w:val="clear" w:color="auto" w:fill="auto"/>
          </w:tcPr>
          <w:p w14:paraId="2A8A2B6B" w14:textId="2DD686B8" w:rsidR="001E3185" w:rsidRPr="00607E27" w:rsidRDefault="00607E27" w:rsidP="001E3185">
            <w:pPr>
              <w:pStyle w:val="TableFigures"/>
            </w:pPr>
            <w:r w:rsidRPr="00607E27">
              <w:t>25.3</w:t>
            </w:r>
          </w:p>
        </w:tc>
      </w:tr>
    </w:tbl>
    <w:p w14:paraId="51825D20" w14:textId="77777777" w:rsidR="005E793C" w:rsidRPr="00607E27" w:rsidRDefault="005E793C" w:rsidP="005E793C">
      <w:pPr>
        <w:pStyle w:val="FootnotesNoSpace"/>
        <w:ind w:left="360"/>
        <w:rPr>
          <w:highlight w:val="yellow"/>
        </w:rPr>
      </w:pPr>
    </w:p>
    <w:p w14:paraId="113B6DA5" w14:textId="594EF28D" w:rsidR="005E793C" w:rsidRPr="00607E27" w:rsidRDefault="005E793C" w:rsidP="005E793C">
      <w:pPr>
        <w:pStyle w:val="FootnotesNoSpace"/>
        <w:tabs>
          <w:tab w:val="left" w:pos="142"/>
        </w:tabs>
        <w:ind w:left="142" w:hanging="142"/>
        <w:rPr>
          <w:iCs/>
        </w:rPr>
      </w:pPr>
      <w:r w:rsidRPr="00607E27">
        <w:rPr>
          <w:iCs/>
        </w:rPr>
        <w:t>1</w:t>
      </w:r>
      <w:r w:rsidRPr="00607E27">
        <w:rPr>
          <w:iCs/>
        </w:rPr>
        <w:tab/>
        <w:t xml:space="preserve">Details of adjustments are included </w:t>
      </w:r>
      <w:r w:rsidRPr="00335112">
        <w:rPr>
          <w:iCs/>
        </w:rPr>
        <w:t xml:space="preserve">in </w:t>
      </w:r>
      <w:r w:rsidRPr="007B28BE">
        <w:rPr>
          <w:iCs/>
        </w:rPr>
        <w:t>Note 2.</w:t>
      </w:r>
    </w:p>
    <w:p w14:paraId="44BBFBEA" w14:textId="7ABC2109" w:rsidR="001E3185" w:rsidRPr="005F6D8A" w:rsidRDefault="001E3185" w:rsidP="005E793C">
      <w:pPr>
        <w:pStyle w:val="FootnotesNoSpace"/>
        <w:tabs>
          <w:tab w:val="left" w:pos="142"/>
        </w:tabs>
        <w:ind w:left="142" w:hanging="142"/>
        <w:rPr>
          <w:i w:val="0"/>
          <w:color w:val="FF0000"/>
        </w:rPr>
      </w:pPr>
    </w:p>
    <w:p w14:paraId="1670E9B2" w14:textId="4069E08B" w:rsidR="005E793C" w:rsidRPr="00607E27" w:rsidRDefault="005E793C" w:rsidP="005E793C">
      <w:pPr>
        <w:pStyle w:val="Heading3"/>
      </w:pPr>
      <w:r w:rsidRPr="00607E27">
        <w:t>11(ii) Net asset value per share (NAV)</w:t>
      </w:r>
    </w:p>
    <w:p w14:paraId="62D64351" w14:textId="77777777" w:rsidR="00607E27" w:rsidRDefault="00607E27" w:rsidP="001E3185">
      <w:pPr>
        <w:pStyle w:val="Normal1"/>
      </w:pPr>
      <w:r>
        <w:t xml:space="preserve">The EPRA Net Tangible Assets (NTA) metric is considered to be most consistent with the nature of SEGRO’s business as a UK REIT providing long-term progressive and sustainable returns. EPRA NTA acts as the primary measure of net asset value and is also referred to as Adjusted Net Asset Value (or Adjusted NAV). </w:t>
      </w:r>
    </w:p>
    <w:p w14:paraId="7283E2AE" w14:textId="77777777" w:rsidR="00607E27" w:rsidRDefault="00607E27" w:rsidP="001E3185">
      <w:pPr>
        <w:pStyle w:val="Normal1"/>
      </w:pPr>
      <w:r>
        <w:t xml:space="preserve">A reconciliation from IFRS NAV to Adjusted NAV is set out in the table below along with the net asset per share metrics. </w:t>
      </w:r>
    </w:p>
    <w:p w14:paraId="28149179" w14:textId="10D98E9F" w:rsidR="00607E27" w:rsidRDefault="00607E27" w:rsidP="001E3185">
      <w:pPr>
        <w:pStyle w:val="Normal1"/>
      </w:pPr>
      <w:r>
        <w:t xml:space="preserve">Table 5 of the </w:t>
      </w:r>
      <w:r w:rsidR="00D7207E">
        <w:t>Su</w:t>
      </w:r>
      <w:r>
        <w:t xml:space="preserve">pplementary </w:t>
      </w:r>
      <w:r w:rsidR="00D7207E">
        <w:t>N</w:t>
      </w:r>
      <w:r>
        <w:t>otes provides a reconciliation</w:t>
      </w:r>
      <w:r w:rsidR="00D7207E">
        <w:t xml:space="preserve"> from IFRS NAV</w:t>
      </w:r>
      <w:r>
        <w:t xml:space="preserve"> for each of the three EPRA net asset value metrics.</w:t>
      </w:r>
    </w:p>
    <w:tbl>
      <w:tblPr>
        <w:tblW w:w="10490" w:type="dxa"/>
        <w:tblLayout w:type="fixed"/>
        <w:tblCellMar>
          <w:left w:w="0" w:type="dxa"/>
          <w:right w:w="0" w:type="dxa"/>
        </w:tblCellMar>
        <w:tblLook w:val="01E0" w:firstRow="1" w:lastRow="1" w:firstColumn="1" w:lastColumn="1" w:noHBand="0" w:noVBand="0"/>
      </w:tblPr>
      <w:tblGrid>
        <w:gridCol w:w="4535"/>
        <w:gridCol w:w="1134"/>
        <w:gridCol w:w="851"/>
        <w:gridCol w:w="710"/>
        <w:gridCol w:w="160"/>
        <w:gridCol w:w="1114"/>
        <w:gridCol w:w="993"/>
        <w:gridCol w:w="993"/>
      </w:tblGrid>
      <w:tr w:rsidR="00960216" w:rsidRPr="00607E27" w14:paraId="2BBA8804" w14:textId="77777777" w:rsidTr="007B28BE">
        <w:tc>
          <w:tcPr>
            <w:tcW w:w="4535" w:type="dxa"/>
            <w:shd w:val="clear" w:color="auto" w:fill="auto"/>
            <w:vAlign w:val="bottom"/>
          </w:tcPr>
          <w:p w14:paraId="04C21DCC" w14:textId="77777777" w:rsidR="00960216" w:rsidRPr="00607E27" w:rsidRDefault="00960216" w:rsidP="00E30618">
            <w:pPr>
              <w:pStyle w:val="Tabletext"/>
            </w:pPr>
          </w:p>
        </w:tc>
        <w:tc>
          <w:tcPr>
            <w:tcW w:w="2695" w:type="dxa"/>
            <w:gridSpan w:val="3"/>
            <w:tcBorders>
              <w:bottom w:val="single" w:sz="4" w:space="0" w:color="A6A6A6" w:themeColor="background1" w:themeShade="A6"/>
            </w:tcBorders>
            <w:shd w:val="clear" w:color="auto" w:fill="auto"/>
            <w:vAlign w:val="bottom"/>
          </w:tcPr>
          <w:p w14:paraId="25FDBD34" w14:textId="3096DF01" w:rsidR="00960216" w:rsidRPr="00607E27" w:rsidRDefault="00960216" w:rsidP="00E30618">
            <w:pPr>
              <w:pStyle w:val="TableColHeadsBold0"/>
              <w:jc w:val="center"/>
            </w:pPr>
            <w:r w:rsidRPr="00607E27">
              <w:t>2021</w:t>
            </w:r>
          </w:p>
        </w:tc>
        <w:tc>
          <w:tcPr>
            <w:tcW w:w="160" w:type="dxa"/>
            <w:shd w:val="clear" w:color="auto" w:fill="auto"/>
            <w:vAlign w:val="bottom"/>
          </w:tcPr>
          <w:p w14:paraId="475F4513" w14:textId="58CB1967" w:rsidR="00960216" w:rsidRPr="00607E27" w:rsidRDefault="00960216" w:rsidP="00E30618">
            <w:pPr>
              <w:pStyle w:val="TableColHeads"/>
              <w:jc w:val="center"/>
            </w:pPr>
          </w:p>
        </w:tc>
        <w:tc>
          <w:tcPr>
            <w:tcW w:w="3100" w:type="dxa"/>
            <w:gridSpan w:val="3"/>
            <w:tcBorders>
              <w:bottom w:val="single" w:sz="4" w:space="0" w:color="A6A6A6" w:themeColor="background1" w:themeShade="A6"/>
            </w:tcBorders>
            <w:shd w:val="clear" w:color="auto" w:fill="auto"/>
            <w:vAlign w:val="bottom"/>
          </w:tcPr>
          <w:p w14:paraId="1250402C" w14:textId="65F11983" w:rsidR="00960216" w:rsidRPr="00607E27" w:rsidRDefault="00960216" w:rsidP="00E30618">
            <w:pPr>
              <w:pStyle w:val="TableColHeads"/>
              <w:jc w:val="center"/>
            </w:pPr>
            <w:r w:rsidRPr="00607E27">
              <w:t>2020</w:t>
            </w:r>
          </w:p>
        </w:tc>
      </w:tr>
      <w:tr w:rsidR="005F6D8A" w:rsidRPr="00607E27" w14:paraId="46E2453D" w14:textId="77777777" w:rsidTr="007B28BE">
        <w:tc>
          <w:tcPr>
            <w:tcW w:w="4535" w:type="dxa"/>
            <w:tcBorders>
              <w:bottom w:val="single" w:sz="4" w:space="0" w:color="A6A6A6" w:themeColor="background1" w:themeShade="A6"/>
            </w:tcBorders>
            <w:shd w:val="clear" w:color="auto" w:fill="auto"/>
            <w:vAlign w:val="bottom"/>
          </w:tcPr>
          <w:p w14:paraId="2E00C57D" w14:textId="77777777" w:rsidR="005E793C" w:rsidRPr="00607E27" w:rsidRDefault="005E793C" w:rsidP="00E30618">
            <w:pPr>
              <w:pStyle w:val="Tabletext"/>
            </w:pPr>
          </w:p>
        </w:tc>
        <w:tc>
          <w:tcPr>
            <w:tcW w:w="1134" w:type="dxa"/>
            <w:tcBorders>
              <w:top w:val="single" w:sz="4" w:space="0" w:color="A6A6A6" w:themeColor="background1" w:themeShade="A6"/>
              <w:bottom w:val="single" w:sz="4" w:space="0" w:color="A6A6A6" w:themeColor="background1" w:themeShade="A6"/>
            </w:tcBorders>
            <w:shd w:val="clear" w:color="auto" w:fill="auto"/>
            <w:vAlign w:val="bottom"/>
          </w:tcPr>
          <w:p w14:paraId="6EA5238D" w14:textId="77777777" w:rsidR="005E793C" w:rsidRPr="00607E27" w:rsidRDefault="005E793C" w:rsidP="00E30618">
            <w:pPr>
              <w:pStyle w:val="TableColHeadsBold0"/>
              <w:rPr>
                <w:sz w:val="16"/>
              </w:rPr>
            </w:pPr>
            <w:r w:rsidRPr="00607E27">
              <w:rPr>
                <w:sz w:val="16"/>
              </w:rPr>
              <w:t>Equity attributable to ordinary shareholders</w:t>
            </w:r>
            <w:r w:rsidRPr="00607E27">
              <w:rPr>
                <w:sz w:val="16"/>
              </w:rPr>
              <w:br/>
              <w:t>£m</w:t>
            </w:r>
          </w:p>
        </w:tc>
        <w:tc>
          <w:tcPr>
            <w:tcW w:w="851" w:type="dxa"/>
            <w:tcBorders>
              <w:top w:val="single" w:sz="4" w:space="0" w:color="A6A6A6" w:themeColor="background1" w:themeShade="A6"/>
              <w:bottom w:val="single" w:sz="4" w:space="0" w:color="A6A6A6" w:themeColor="background1" w:themeShade="A6"/>
            </w:tcBorders>
            <w:shd w:val="clear" w:color="auto" w:fill="auto"/>
            <w:vAlign w:val="bottom"/>
          </w:tcPr>
          <w:p w14:paraId="5051BB94" w14:textId="77777777" w:rsidR="005E793C" w:rsidRPr="00607E27" w:rsidRDefault="005E793C" w:rsidP="00E30618">
            <w:pPr>
              <w:pStyle w:val="TableColHeadsBold0"/>
              <w:rPr>
                <w:sz w:val="16"/>
              </w:rPr>
            </w:pPr>
            <w:r w:rsidRPr="00607E27">
              <w:rPr>
                <w:sz w:val="16"/>
              </w:rPr>
              <w:t>Shares million</w:t>
            </w:r>
          </w:p>
        </w:tc>
        <w:tc>
          <w:tcPr>
            <w:tcW w:w="710" w:type="dxa"/>
            <w:tcBorders>
              <w:top w:val="single" w:sz="4" w:space="0" w:color="A6A6A6" w:themeColor="background1" w:themeShade="A6"/>
              <w:bottom w:val="single" w:sz="4" w:space="0" w:color="A6A6A6" w:themeColor="background1" w:themeShade="A6"/>
            </w:tcBorders>
            <w:shd w:val="clear" w:color="auto" w:fill="auto"/>
            <w:vAlign w:val="bottom"/>
          </w:tcPr>
          <w:p w14:paraId="6A95F135" w14:textId="77777777" w:rsidR="005E793C" w:rsidRPr="00607E27" w:rsidRDefault="005E793C" w:rsidP="00E30618">
            <w:pPr>
              <w:pStyle w:val="TableColHeadsBold0"/>
              <w:rPr>
                <w:sz w:val="16"/>
              </w:rPr>
            </w:pPr>
            <w:r w:rsidRPr="00607E27">
              <w:rPr>
                <w:sz w:val="16"/>
              </w:rPr>
              <w:t xml:space="preserve"> Pence per share</w:t>
            </w:r>
          </w:p>
        </w:tc>
        <w:tc>
          <w:tcPr>
            <w:tcW w:w="160" w:type="dxa"/>
            <w:tcBorders>
              <w:bottom w:val="single" w:sz="4" w:space="0" w:color="A6A6A6" w:themeColor="background1" w:themeShade="A6"/>
            </w:tcBorders>
            <w:shd w:val="clear" w:color="auto" w:fill="auto"/>
            <w:vAlign w:val="bottom"/>
          </w:tcPr>
          <w:p w14:paraId="1553734B" w14:textId="77777777" w:rsidR="005E793C" w:rsidRPr="00607E27" w:rsidRDefault="005E793C" w:rsidP="00E30618">
            <w:pPr>
              <w:pStyle w:val="TableColHeadsBold0"/>
              <w:rPr>
                <w:b w:val="0"/>
                <w:sz w:val="16"/>
              </w:rPr>
            </w:pPr>
          </w:p>
        </w:tc>
        <w:tc>
          <w:tcPr>
            <w:tcW w:w="1114" w:type="dxa"/>
            <w:tcBorders>
              <w:top w:val="single" w:sz="4" w:space="0" w:color="A6A6A6" w:themeColor="background1" w:themeShade="A6"/>
              <w:bottom w:val="single" w:sz="4" w:space="0" w:color="A6A6A6" w:themeColor="background1" w:themeShade="A6"/>
            </w:tcBorders>
            <w:shd w:val="clear" w:color="auto" w:fill="auto"/>
            <w:vAlign w:val="bottom"/>
          </w:tcPr>
          <w:p w14:paraId="3D7AD372" w14:textId="77777777" w:rsidR="005E793C" w:rsidRPr="00607E27" w:rsidRDefault="005E793C" w:rsidP="00E30618">
            <w:pPr>
              <w:pStyle w:val="TableColHeadsBold0"/>
              <w:rPr>
                <w:b w:val="0"/>
                <w:sz w:val="16"/>
              </w:rPr>
            </w:pPr>
            <w:r w:rsidRPr="00607E27">
              <w:rPr>
                <w:b w:val="0"/>
                <w:sz w:val="16"/>
              </w:rPr>
              <w:t>Equity attributable to ordinary shareholders</w:t>
            </w:r>
            <w:r w:rsidRPr="00607E27">
              <w:rPr>
                <w:b w:val="0"/>
                <w:sz w:val="16"/>
              </w:rPr>
              <w:br/>
              <w:t>£m</w:t>
            </w:r>
          </w:p>
        </w:tc>
        <w:tc>
          <w:tcPr>
            <w:tcW w:w="993" w:type="dxa"/>
            <w:tcBorders>
              <w:top w:val="single" w:sz="4" w:space="0" w:color="A6A6A6" w:themeColor="background1" w:themeShade="A6"/>
              <w:bottom w:val="single" w:sz="4" w:space="0" w:color="A6A6A6" w:themeColor="background1" w:themeShade="A6"/>
            </w:tcBorders>
            <w:shd w:val="clear" w:color="auto" w:fill="auto"/>
            <w:vAlign w:val="bottom"/>
          </w:tcPr>
          <w:p w14:paraId="2C0E9608" w14:textId="77777777" w:rsidR="005E793C" w:rsidRPr="00607E27" w:rsidRDefault="005E793C" w:rsidP="00E30618">
            <w:pPr>
              <w:pStyle w:val="TableColHeadsBold0"/>
              <w:rPr>
                <w:b w:val="0"/>
                <w:sz w:val="16"/>
              </w:rPr>
            </w:pPr>
            <w:r w:rsidRPr="00607E27">
              <w:rPr>
                <w:b w:val="0"/>
                <w:sz w:val="16"/>
              </w:rPr>
              <w:t>Shares million</w:t>
            </w:r>
          </w:p>
        </w:tc>
        <w:tc>
          <w:tcPr>
            <w:tcW w:w="993" w:type="dxa"/>
            <w:tcBorders>
              <w:top w:val="single" w:sz="4" w:space="0" w:color="A6A6A6" w:themeColor="background1" w:themeShade="A6"/>
              <w:bottom w:val="single" w:sz="4" w:space="0" w:color="A6A6A6" w:themeColor="background1" w:themeShade="A6"/>
            </w:tcBorders>
            <w:shd w:val="clear" w:color="auto" w:fill="auto"/>
            <w:vAlign w:val="bottom"/>
          </w:tcPr>
          <w:p w14:paraId="469E6DAC" w14:textId="77777777" w:rsidR="005E793C" w:rsidRPr="00607E27" w:rsidRDefault="005E793C" w:rsidP="00E30618">
            <w:pPr>
              <w:pStyle w:val="TableColHeadsBold0"/>
              <w:rPr>
                <w:b w:val="0"/>
                <w:sz w:val="16"/>
              </w:rPr>
            </w:pPr>
            <w:r w:rsidRPr="00607E27">
              <w:rPr>
                <w:b w:val="0"/>
                <w:sz w:val="16"/>
              </w:rPr>
              <w:t>Pence per share</w:t>
            </w:r>
          </w:p>
        </w:tc>
      </w:tr>
      <w:tr w:rsidR="005F6D8A" w:rsidRPr="00607E27" w14:paraId="51F299CB" w14:textId="77777777" w:rsidTr="007B28BE">
        <w:tc>
          <w:tcPr>
            <w:tcW w:w="4535" w:type="dxa"/>
            <w:tcBorders>
              <w:top w:val="single" w:sz="4" w:space="0" w:color="A6A6A6" w:themeColor="background1" w:themeShade="A6"/>
            </w:tcBorders>
            <w:vAlign w:val="bottom"/>
          </w:tcPr>
          <w:p w14:paraId="71870242" w14:textId="77777777" w:rsidR="001E3185" w:rsidRPr="00607E27" w:rsidRDefault="001E3185" w:rsidP="001E3185">
            <w:pPr>
              <w:pStyle w:val="Tabletext"/>
            </w:pPr>
            <w:r w:rsidRPr="00607E27">
              <w:rPr>
                <w:rFonts w:cs="Arial"/>
                <w:b/>
                <w:spacing w:val="0"/>
                <w:szCs w:val="18"/>
              </w:rPr>
              <w:t>Basic NAV</w:t>
            </w:r>
          </w:p>
        </w:tc>
        <w:tc>
          <w:tcPr>
            <w:tcW w:w="1134" w:type="dxa"/>
            <w:tcBorders>
              <w:top w:val="single" w:sz="4" w:space="0" w:color="A6A6A6" w:themeColor="background1" w:themeShade="A6"/>
            </w:tcBorders>
            <w:shd w:val="clear" w:color="auto" w:fill="auto"/>
            <w:vAlign w:val="bottom"/>
          </w:tcPr>
          <w:p w14:paraId="636E9AA8" w14:textId="2693A350" w:rsidR="001E3185" w:rsidRPr="00607E27" w:rsidRDefault="00607E27" w:rsidP="001E3185">
            <w:pPr>
              <w:pStyle w:val="TableFiguresBold0"/>
            </w:pPr>
            <w:r w:rsidRPr="00607E27">
              <w:t>13,436</w:t>
            </w:r>
          </w:p>
        </w:tc>
        <w:tc>
          <w:tcPr>
            <w:tcW w:w="851" w:type="dxa"/>
            <w:tcBorders>
              <w:top w:val="single" w:sz="4" w:space="0" w:color="A6A6A6" w:themeColor="background1" w:themeShade="A6"/>
            </w:tcBorders>
            <w:shd w:val="clear" w:color="auto" w:fill="auto"/>
            <w:vAlign w:val="bottom"/>
          </w:tcPr>
          <w:p w14:paraId="25300277" w14:textId="7936CB7E" w:rsidR="001E3185" w:rsidRPr="00607E27" w:rsidRDefault="00607E27" w:rsidP="001E3185">
            <w:pPr>
              <w:pStyle w:val="TableFiguresBold0"/>
            </w:pPr>
            <w:r w:rsidRPr="00607E27">
              <w:t>1,202.3</w:t>
            </w:r>
          </w:p>
        </w:tc>
        <w:tc>
          <w:tcPr>
            <w:tcW w:w="710" w:type="dxa"/>
            <w:tcBorders>
              <w:top w:val="single" w:sz="4" w:space="0" w:color="A6A6A6" w:themeColor="background1" w:themeShade="A6"/>
            </w:tcBorders>
            <w:shd w:val="clear" w:color="auto" w:fill="auto"/>
            <w:vAlign w:val="bottom"/>
          </w:tcPr>
          <w:p w14:paraId="3DDB4421" w14:textId="4D0F61C8" w:rsidR="001E3185" w:rsidRPr="00607E27" w:rsidRDefault="00607E27" w:rsidP="001E3185">
            <w:pPr>
              <w:pStyle w:val="TableFiguresBold0"/>
            </w:pPr>
            <w:r w:rsidRPr="00607E27">
              <w:t>1,118</w:t>
            </w:r>
          </w:p>
        </w:tc>
        <w:tc>
          <w:tcPr>
            <w:tcW w:w="160" w:type="dxa"/>
            <w:tcBorders>
              <w:top w:val="single" w:sz="4" w:space="0" w:color="A6A6A6" w:themeColor="background1" w:themeShade="A6"/>
            </w:tcBorders>
            <w:shd w:val="clear" w:color="auto" w:fill="auto"/>
            <w:vAlign w:val="bottom"/>
          </w:tcPr>
          <w:p w14:paraId="1FD188F9" w14:textId="77777777" w:rsidR="001E3185" w:rsidRPr="00607E27" w:rsidRDefault="001E3185" w:rsidP="001E3185">
            <w:pPr>
              <w:pStyle w:val="TableFigures"/>
            </w:pPr>
          </w:p>
        </w:tc>
        <w:tc>
          <w:tcPr>
            <w:tcW w:w="1114" w:type="dxa"/>
            <w:tcBorders>
              <w:top w:val="single" w:sz="4" w:space="0" w:color="A6A6A6" w:themeColor="background1" w:themeShade="A6"/>
            </w:tcBorders>
            <w:vAlign w:val="bottom"/>
          </w:tcPr>
          <w:p w14:paraId="448069E9" w14:textId="4D4110D6" w:rsidR="001E3185" w:rsidRPr="00607E27" w:rsidRDefault="00607E27" w:rsidP="001E3185">
            <w:pPr>
              <w:pStyle w:val="TableFigures"/>
            </w:pPr>
            <w:r w:rsidRPr="00607E27">
              <w:t>9,659</w:t>
            </w:r>
          </w:p>
        </w:tc>
        <w:tc>
          <w:tcPr>
            <w:tcW w:w="993" w:type="dxa"/>
            <w:tcBorders>
              <w:top w:val="single" w:sz="4" w:space="0" w:color="A6A6A6" w:themeColor="background1" w:themeShade="A6"/>
            </w:tcBorders>
            <w:vAlign w:val="bottom"/>
          </w:tcPr>
          <w:p w14:paraId="0D6BE4FE" w14:textId="55EA5EB6" w:rsidR="001E3185" w:rsidRPr="00607E27" w:rsidRDefault="00607E27" w:rsidP="001E3185">
            <w:pPr>
              <w:pStyle w:val="TableFigures"/>
            </w:pPr>
            <w:r w:rsidRPr="00607E27">
              <w:t>1,191.3</w:t>
            </w:r>
          </w:p>
        </w:tc>
        <w:tc>
          <w:tcPr>
            <w:tcW w:w="993" w:type="dxa"/>
            <w:tcBorders>
              <w:top w:val="single" w:sz="4" w:space="0" w:color="A6A6A6" w:themeColor="background1" w:themeShade="A6"/>
            </w:tcBorders>
            <w:vAlign w:val="bottom"/>
          </w:tcPr>
          <w:p w14:paraId="7F3C937A" w14:textId="1C562F90" w:rsidR="001E3185" w:rsidRPr="00607E27" w:rsidRDefault="00607E27" w:rsidP="001E3185">
            <w:pPr>
              <w:pStyle w:val="TableFigures"/>
            </w:pPr>
            <w:r w:rsidRPr="00607E27">
              <w:t>811</w:t>
            </w:r>
          </w:p>
        </w:tc>
      </w:tr>
      <w:tr w:rsidR="005F6D8A" w:rsidRPr="00607E27" w14:paraId="4464B416" w14:textId="77777777" w:rsidTr="00D7207E">
        <w:tc>
          <w:tcPr>
            <w:tcW w:w="4535" w:type="dxa"/>
            <w:vAlign w:val="bottom"/>
          </w:tcPr>
          <w:p w14:paraId="6302DEEE" w14:textId="77777777" w:rsidR="001E3185" w:rsidRPr="00607E27" w:rsidRDefault="001E3185" w:rsidP="001E3185">
            <w:pPr>
              <w:pStyle w:val="Tabletext"/>
            </w:pPr>
            <w:r w:rsidRPr="00607E27">
              <w:t>Dilution adjustments:</w:t>
            </w:r>
          </w:p>
        </w:tc>
        <w:tc>
          <w:tcPr>
            <w:tcW w:w="1134" w:type="dxa"/>
            <w:shd w:val="clear" w:color="auto" w:fill="auto"/>
            <w:vAlign w:val="bottom"/>
          </w:tcPr>
          <w:p w14:paraId="002F36AB" w14:textId="77777777" w:rsidR="001E3185" w:rsidRPr="00607E27" w:rsidRDefault="001E3185" w:rsidP="001E3185">
            <w:pPr>
              <w:pStyle w:val="TableFiguresBold0"/>
            </w:pPr>
          </w:p>
        </w:tc>
        <w:tc>
          <w:tcPr>
            <w:tcW w:w="851" w:type="dxa"/>
            <w:shd w:val="clear" w:color="auto" w:fill="auto"/>
            <w:vAlign w:val="bottom"/>
          </w:tcPr>
          <w:p w14:paraId="2E50E84F" w14:textId="77777777" w:rsidR="001E3185" w:rsidRPr="00607E27" w:rsidRDefault="001E3185" w:rsidP="001E3185">
            <w:pPr>
              <w:pStyle w:val="TableFiguresBold0"/>
            </w:pPr>
          </w:p>
        </w:tc>
        <w:tc>
          <w:tcPr>
            <w:tcW w:w="710" w:type="dxa"/>
            <w:shd w:val="clear" w:color="auto" w:fill="auto"/>
            <w:vAlign w:val="bottom"/>
          </w:tcPr>
          <w:p w14:paraId="70ECDC4A" w14:textId="77777777" w:rsidR="001E3185" w:rsidRPr="00607E27" w:rsidRDefault="001E3185" w:rsidP="001E3185">
            <w:pPr>
              <w:pStyle w:val="TableFigures"/>
            </w:pPr>
          </w:p>
        </w:tc>
        <w:tc>
          <w:tcPr>
            <w:tcW w:w="160" w:type="dxa"/>
            <w:shd w:val="clear" w:color="auto" w:fill="auto"/>
            <w:vAlign w:val="bottom"/>
          </w:tcPr>
          <w:p w14:paraId="49CBF6F2" w14:textId="77777777" w:rsidR="001E3185" w:rsidRPr="00607E27" w:rsidRDefault="001E3185" w:rsidP="001E3185">
            <w:pPr>
              <w:pStyle w:val="TableFigures"/>
            </w:pPr>
          </w:p>
        </w:tc>
        <w:tc>
          <w:tcPr>
            <w:tcW w:w="1114" w:type="dxa"/>
            <w:vAlign w:val="bottom"/>
          </w:tcPr>
          <w:p w14:paraId="30CD89B1" w14:textId="77777777" w:rsidR="001E3185" w:rsidRPr="00607E27" w:rsidRDefault="001E3185" w:rsidP="001E3185">
            <w:pPr>
              <w:pStyle w:val="TableFigures"/>
            </w:pPr>
          </w:p>
        </w:tc>
        <w:tc>
          <w:tcPr>
            <w:tcW w:w="993" w:type="dxa"/>
            <w:vAlign w:val="bottom"/>
          </w:tcPr>
          <w:p w14:paraId="582814BB" w14:textId="77777777" w:rsidR="001E3185" w:rsidRPr="00607E27" w:rsidRDefault="001E3185" w:rsidP="001E3185">
            <w:pPr>
              <w:pStyle w:val="TableFigures"/>
            </w:pPr>
          </w:p>
        </w:tc>
        <w:tc>
          <w:tcPr>
            <w:tcW w:w="993" w:type="dxa"/>
            <w:vAlign w:val="bottom"/>
          </w:tcPr>
          <w:p w14:paraId="14B02413" w14:textId="77777777" w:rsidR="001E3185" w:rsidRPr="00607E27" w:rsidRDefault="001E3185" w:rsidP="001E3185">
            <w:pPr>
              <w:pStyle w:val="TableFigures"/>
            </w:pPr>
          </w:p>
        </w:tc>
      </w:tr>
      <w:tr w:rsidR="005F6D8A" w:rsidRPr="00607E27" w14:paraId="6F344D12" w14:textId="77777777" w:rsidTr="007B28BE">
        <w:tc>
          <w:tcPr>
            <w:tcW w:w="4535" w:type="dxa"/>
            <w:tcBorders>
              <w:bottom w:val="single" w:sz="4" w:space="0" w:color="A6A6A6" w:themeColor="background1" w:themeShade="A6"/>
            </w:tcBorders>
            <w:vAlign w:val="bottom"/>
          </w:tcPr>
          <w:p w14:paraId="665D78E5" w14:textId="77777777" w:rsidR="001E3185" w:rsidRPr="00607E27" w:rsidRDefault="001E3185" w:rsidP="001E3185">
            <w:pPr>
              <w:pStyle w:val="Tabletext"/>
            </w:pPr>
            <w:r w:rsidRPr="00607E27">
              <w:t>Share and save as you earn schemes</w:t>
            </w:r>
          </w:p>
        </w:tc>
        <w:tc>
          <w:tcPr>
            <w:tcW w:w="1134" w:type="dxa"/>
            <w:tcBorders>
              <w:bottom w:val="single" w:sz="4" w:space="0" w:color="A6A6A6" w:themeColor="background1" w:themeShade="A6"/>
            </w:tcBorders>
            <w:shd w:val="clear" w:color="auto" w:fill="auto"/>
            <w:vAlign w:val="bottom"/>
          </w:tcPr>
          <w:p w14:paraId="2AF3DF48" w14:textId="77777777" w:rsidR="001E3185" w:rsidRPr="00607E27" w:rsidRDefault="001E3185" w:rsidP="001E3185">
            <w:pPr>
              <w:pStyle w:val="TableFiguresBold0"/>
            </w:pPr>
            <w:r w:rsidRPr="00607E27">
              <w:t>–</w:t>
            </w:r>
          </w:p>
        </w:tc>
        <w:tc>
          <w:tcPr>
            <w:tcW w:w="851" w:type="dxa"/>
            <w:tcBorders>
              <w:bottom w:val="single" w:sz="4" w:space="0" w:color="A6A6A6" w:themeColor="background1" w:themeShade="A6"/>
            </w:tcBorders>
            <w:shd w:val="clear" w:color="auto" w:fill="auto"/>
            <w:vAlign w:val="bottom"/>
          </w:tcPr>
          <w:p w14:paraId="68C98AD2" w14:textId="7FBF7131" w:rsidR="001E3185" w:rsidRPr="00607E27" w:rsidRDefault="00607E27" w:rsidP="001E3185">
            <w:pPr>
              <w:pStyle w:val="TableFiguresBold0"/>
            </w:pPr>
            <w:r w:rsidRPr="00607E27">
              <w:t>3.2</w:t>
            </w:r>
          </w:p>
        </w:tc>
        <w:tc>
          <w:tcPr>
            <w:tcW w:w="710" w:type="dxa"/>
            <w:tcBorders>
              <w:bottom w:val="single" w:sz="4" w:space="0" w:color="A6A6A6" w:themeColor="background1" w:themeShade="A6"/>
            </w:tcBorders>
            <w:shd w:val="clear" w:color="auto" w:fill="auto"/>
            <w:vAlign w:val="bottom"/>
          </w:tcPr>
          <w:p w14:paraId="16DF86F0" w14:textId="6B4E9150" w:rsidR="001E3185" w:rsidRPr="00607E27" w:rsidRDefault="001E3185" w:rsidP="001E3185">
            <w:pPr>
              <w:pStyle w:val="TableFiguresBracketsBold"/>
            </w:pPr>
            <w:r w:rsidRPr="00607E27">
              <w:t>(</w:t>
            </w:r>
            <w:r w:rsidR="00607E27" w:rsidRPr="00607E27">
              <w:t>3</w:t>
            </w:r>
            <w:r w:rsidRPr="00607E27">
              <w:t>)</w:t>
            </w:r>
          </w:p>
        </w:tc>
        <w:tc>
          <w:tcPr>
            <w:tcW w:w="160" w:type="dxa"/>
            <w:tcBorders>
              <w:bottom w:val="single" w:sz="4" w:space="0" w:color="A6A6A6" w:themeColor="background1" w:themeShade="A6"/>
            </w:tcBorders>
            <w:shd w:val="clear" w:color="auto" w:fill="auto"/>
            <w:vAlign w:val="bottom"/>
          </w:tcPr>
          <w:p w14:paraId="18486734" w14:textId="77777777" w:rsidR="001E3185" w:rsidRPr="00607E27" w:rsidRDefault="001E3185" w:rsidP="001E3185">
            <w:pPr>
              <w:pStyle w:val="TableFigures"/>
            </w:pPr>
          </w:p>
        </w:tc>
        <w:tc>
          <w:tcPr>
            <w:tcW w:w="1114" w:type="dxa"/>
            <w:tcBorders>
              <w:bottom w:val="single" w:sz="4" w:space="0" w:color="A6A6A6" w:themeColor="background1" w:themeShade="A6"/>
            </w:tcBorders>
            <w:vAlign w:val="bottom"/>
          </w:tcPr>
          <w:p w14:paraId="2CABEA58" w14:textId="565883AA" w:rsidR="001E3185" w:rsidRPr="00607E27" w:rsidRDefault="001E3185" w:rsidP="001E3185">
            <w:pPr>
              <w:pStyle w:val="TableFigures"/>
            </w:pPr>
            <w:r w:rsidRPr="00607E27">
              <w:t>–</w:t>
            </w:r>
          </w:p>
        </w:tc>
        <w:tc>
          <w:tcPr>
            <w:tcW w:w="993" w:type="dxa"/>
            <w:tcBorders>
              <w:bottom w:val="single" w:sz="4" w:space="0" w:color="A6A6A6" w:themeColor="background1" w:themeShade="A6"/>
            </w:tcBorders>
            <w:vAlign w:val="bottom"/>
          </w:tcPr>
          <w:p w14:paraId="5A49EB23" w14:textId="2DB5DB2E" w:rsidR="001E3185" w:rsidRPr="00607E27" w:rsidRDefault="00607E27" w:rsidP="001E3185">
            <w:pPr>
              <w:pStyle w:val="TableFigures"/>
            </w:pPr>
            <w:r w:rsidRPr="00607E27">
              <w:t>3.4</w:t>
            </w:r>
          </w:p>
        </w:tc>
        <w:tc>
          <w:tcPr>
            <w:tcW w:w="993" w:type="dxa"/>
            <w:tcBorders>
              <w:bottom w:val="single" w:sz="4" w:space="0" w:color="A6A6A6" w:themeColor="background1" w:themeShade="A6"/>
            </w:tcBorders>
            <w:vAlign w:val="bottom"/>
          </w:tcPr>
          <w:p w14:paraId="60CE8E41" w14:textId="6861E9C4" w:rsidR="001E3185" w:rsidRPr="00607E27" w:rsidRDefault="001E3185" w:rsidP="001E3185">
            <w:pPr>
              <w:pStyle w:val="TableFiguresBrackets"/>
            </w:pPr>
            <w:r w:rsidRPr="00607E27">
              <w:t>(</w:t>
            </w:r>
            <w:r w:rsidR="00607E27" w:rsidRPr="00607E27">
              <w:t>2</w:t>
            </w:r>
            <w:r w:rsidRPr="00607E27">
              <w:t>)</w:t>
            </w:r>
          </w:p>
        </w:tc>
      </w:tr>
      <w:tr w:rsidR="005F6D8A" w:rsidRPr="00607E27" w14:paraId="70E476F0" w14:textId="77777777" w:rsidTr="007B28BE">
        <w:tc>
          <w:tcPr>
            <w:tcW w:w="4535" w:type="dxa"/>
            <w:tcBorders>
              <w:top w:val="single" w:sz="4" w:space="0" w:color="A6A6A6" w:themeColor="background1" w:themeShade="A6"/>
              <w:bottom w:val="single" w:sz="4" w:space="0" w:color="A6A6A6" w:themeColor="background1" w:themeShade="A6"/>
            </w:tcBorders>
            <w:vAlign w:val="bottom"/>
          </w:tcPr>
          <w:p w14:paraId="447D963D" w14:textId="77777777" w:rsidR="001E3185" w:rsidRPr="00607E27" w:rsidRDefault="001E3185" w:rsidP="001E3185">
            <w:pPr>
              <w:pStyle w:val="TabletextBold"/>
            </w:pPr>
            <w:r w:rsidRPr="00607E27">
              <w:t>Diluted NAV</w:t>
            </w:r>
          </w:p>
        </w:tc>
        <w:tc>
          <w:tcPr>
            <w:tcW w:w="1134" w:type="dxa"/>
            <w:tcBorders>
              <w:top w:val="single" w:sz="4" w:space="0" w:color="A6A6A6" w:themeColor="background1" w:themeShade="A6"/>
              <w:bottom w:val="single" w:sz="4" w:space="0" w:color="A6A6A6" w:themeColor="background1" w:themeShade="A6"/>
            </w:tcBorders>
            <w:shd w:val="clear" w:color="auto" w:fill="auto"/>
            <w:vAlign w:val="bottom"/>
          </w:tcPr>
          <w:p w14:paraId="20F96ED0" w14:textId="6947E68A" w:rsidR="001E3185" w:rsidRPr="00607E27" w:rsidRDefault="00607E27" w:rsidP="001E3185">
            <w:pPr>
              <w:pStyle w:val="TableFiguresBold0"/>
            </w:pPr>
            <w:r w:rsidRPr="00607E27">
              <w:t>13,436</w:t>
            </w:r>
          </w:p>
        </w:tc>
        <w:tc>
          <w:tcPr>
            <w:tcW w:w="851" w:type="dxa"/>
            <w:tcBorders>
              <w:top w:val="single" w:sz="4" w:space="0" w:color="A6A6A6" w:themeColor="background1" w:themeShade="A6"/>
              <w:bottom w:val="single" w:sz="4" w:space="0" w:color="A6A6A6" w:themeColor="background1" w:themeShade="A6"/>
            </w:tcBorders>
            <w:shd w:val="clear" w:color="auto" w:fill="auto"/>
            <w:vAlign w:val="bottom"/>
          </w:tcPr>
          <w:p w14:paraId="1C1CF470" w14:textId="55E7044E" w:rsidR="001E3185" w:rsidRPr="00607E27" w:rsidRDefault="00607E27" w:rsidP="001E3185">
            <w:pPr>
              <w:pStyle w:val="TableFiguresBold0"/>
            </w:pPr>
            <w:r w:rsidRPr="00607E27">
              <w:t>1,205.5</w:t>
            </w:r>
          </w:p>
        </w:tc>
        <w:tc>
          <w:tcPr>
            <w:tcW w:w="710" w:type="dxa"/>
            <w:tcBorders>
              <w:top w:val="single" w:sz="4" w:space="0" w:color="A6A6A6" w:themeColor="background1" w:themeShade="A6"/>
              <w:bottom w:val="single" w:sz="4" w:space="0" w:color="A6A6A6" w:themeColor="background1" w:themeShade="A6"/>
            </w:tcBorders>
            <w:shd w:val="clear" w:color="auto" w:fill="auto"/>
            <w:vAlign w:val="bottom"/>
          </w:tcPr>
          <w:p w14:paraId="1DDA1C1F" w14:textId="3533D5C7" w:rsidR="001E3185" w:rsidRPr="00607E27" w:rsidRDefault="00607E27" w:rsidP="001E3185">
            <w:pPr>
              <w:pStyle w:val="TableFiguresBold0"/>
            </w:pPr>
            <w:r w:rsidRPr="00607E27">
              <w:t>1,115</w:t>
            </w:r>
          </w:p>
        </w:tc>
        <w:tc>
          <w:tcPr>
            <w:tcW w:w="160" w:type="dxa"/>
            <w:tcBorders>
              <w:top w:val="single" w:sz="4" w:space="0" w:color="A6A6A6" w:themeColor="background1" w:themeShade="A6"/>
              <w:bottom w:val="single" w:sz="4" w:space="0" w:color="A6A6A6" w:themeColor="background1" w:themeShade="A6"/>
            </w:tcBorders>
            <w:shd w:val="clear" w:color="auto" w:fill="auto"/>
            <w:vAlign w:val="bottom"/>
          </w:tcPr>
          <w:p w14:paraId="537583EA" w14:textId="77777777" w:rsidR="001E3185" w:rsidRPr="00607E27" w:rsidRDefault="001E3185" w:rsidP="001E3185">
            <w:pPr>
              <w:pStyle w:val="TableFigures"/>
            </w:pPr>
          </w:p>
        </w:tc>
        <w:tc>
          <w:tcPr>
            <w:tcW w:w="1114" w:type="dxa"/>
            <w:tcBorders>
              <w:top w:val="single" w:sz="4" w:space="0" w:color="A6A6A6" w:themeColor="background1" w:themeShade="A6"/>
              <w:bottom w:val="single" w:sz="4" w:space="0" w:color="A6A6A6" w:themeColor="background1" w:themeShade="A6"/>
            </w:tcBorders>
            <w:vAlign w:val="bottom"/>
          </w:tcPr>
          <w:p w14:paraId="5E5279C1" w14:textId="56A9153F" w:rsidR="001E3185" w:rsidRPr="00607E27" w:rsidRDefault="00607E27" w:rsidP="001E3185">
            <w:pPr>
              <w:pStyle w:val="TableFigures"/>
            </w:pPr>
            <w:r w:rsidRPr="00607E27">
              <w:t>9,659</w:t>
            </w:r>
          </w:p>
        </w:tc>
        <w:tc>
          <w:tcPr>
            <w:tcW w:w="993" w:type="dxa"/>
            <w:tcBorders>
              <w:top w:val="single" w:sz="4" w:space="0" w:color="A6A6A6" w:themeColor="background1" w:themeShade="A6"/>
              <w:bottom w:val="single" w:sz="4" w:space="0" w:color="A6A6A6" w:themeColor="background1" w:themeShade="A6"/>
            </w:tcBorders>
            <w:vAlign w:val="bottom"/>
          </w:tcPr>
          <w:p w14:paraId="1D15C179" w14:textId="7163112E" w:rsidR="001E3185" w:rsidRPr="00607E27" w:rsidRDefault="00607E27" w:rsidP="001E3185">
            <w:pPr>
              <w:pStyle w:val="TableFigures"/>
            </w:pPr>
            <w:r w:rsidRPr="00607E27">
              <w:t>1,194.7</w:t>
            </w:r>
          </w:p>
        </w:tc>
        <w:tc>
          <w:tcPr>
            <w:tcW w:w="993" w:type="dxa"/>
            <w:tcBorders>
              <w:top w:val="single" w:sz="4" w:space="0" w:color="A6A6A6" w:themeColor="background1" w:themeShade="A6"/>
              <w:bottom w:val="single" w:sz="4" w:space="0" w:color="A6A6A6" w:themeColor="background1" w:themeShade="A6"/>
            </w:tcBorders>
            <w:vAlign w:val="bottom"/>
          </w:tcPr>
          <w:p w14:paraId="66AC090F" w14:textId="1EA0322B" w:rsidR="001E3185" w:rsidRPr="00607E27" w:rsidRDefault="00607E27" w:rsidP="001E3185">
            <w:pPr>
              <w:pStyle w:val="TableFigures"/>
            </w:pPr>
            <w:r w:rsidRPr="00607E27">
              <w:t>809</w:t>
            </w:r>
          </w:p>
        </w:tc>
      </w:tr>
      <w:tr w:rsidR="005F6D8A" w:rsidRPr="00607E27" w14:paraId="04D3C425" w14:textId="77777777" w:rsidTr="007B28BE">
        <w:tc>
          <w:tcPr>
            <w:tcW w:w="4535" w:type="dxa"/>
            <w:tcBorders>
              <w:top w:val="single" w:sz="4" w:space="0" w:color="A6A6A6" w:themeColor="background1" w:themeShade="A6"/>
            </w:tcBorders>
            <w:vAlign w:val="bottom"/>
          </w:tcPr>
          <w:p w14:paraId="07B3C403" w14:textId="77777777" w:rsidR="001E3185" w:rsidRPr="00607E27" w:rsidRDefault="001E3185" w:rsidP="001E3185">
            <w:pPr>
              <w:pStyle w:val="Tabletext"/>
            </w:pPr>
            <w:r w:rsidRPr="00607E27">
              <w:t>Fair value adjustment in respect of interest rate derivatives – Group</w:t>
            </w:r>
          </w:p>
        </w:tc>
        <w:tc>
          <w:tcPr>
            <w:tcW w:w="1134" w:type="dxa"/>
            <w:tcBorders>
              <w:top w:val="single" w:sz="4" w:space="0" w:color="A6A6A6" w:themeColor="background1" w:themeShade="A6"/>
            </w:tcBorders>
            <w:shd w:val="clear" w:color="auto" w:fill="auto"/>
            <w:vAlign w:val="bottom"/>
          </w:tcPr>
          <w:p w14:paraId="16734D15" w14:textId="27F15B5A" w:rsidR="001E3185" w:rsidRPr="00607E27" w:rsidRDefault="00607E27" w:rsidP="007B28BE">
            <w:pPr>
              <w:pStyle w:val="TableFiguresBold0"/>
            </w:pPr>
            <w:r w:rsidRPr="00607E27">
              <w:t>24</w:t>
            </w:r>
          </w:p>
        </w:tc>
        <w:tc>
          <w:tcPr>
            <w:tcW w:w="851" w:type="dxa"/>
            <w:tcBorders>
              <w:top w:val="single" w:sz="4" w:space="0" w:color="A6A6A6" w:themeColor="background1" w:themeShade="A6"/>
            </w:tcBorders>
            <w:shd w:val="clear" w:color="auto" w:fill="auto"/>
            <w:vAlign w:val="bottom"/>
          </w:tcPr>
          <w:p w14:paraId="6060D5A0" w14:textId="77777777" w:rsidR="001E3185" w:rsidRPr="00607E27" w:rsidRDefault="001E3185" w:rsidP="001E3185">
            <w:pPr>
              <w:pStyle w:val="TableFiguresBracketsBold"/>
            </w:pPr>
          </w:p>
        </w:tc>
        <w:tc>
          <w:tcPr>
            <w:tcW w:w="710" w:type="dxa"/>
            <w:tcBorders>
              <w:top w:val="single" w:sz="4" w:space="0" w:color="A6A6A6" w:themeColor="background1" w:themeShade="A6"/>
            </w:tcBorders>
            <w:shd w:val="clear" w:color="auto" w:fill="auto"/>
            <w:vAlign w:val="bottom"/>
          </w:tcPr>
          <w:p w14:paraId="7DF04166" w14:textId="48A589D0" w:rsidR="001E3185" w:rsidRPr="00607E27" w:rsidRDefault="00607E27" w:rsidP="007B28BE">
            <w:pPr>
              <w:pStyle w:val="TableFiguresBold0"/>
            </w:pPr>
            <w:r w:rsidRPr="00607E27">
              <w:t>2</w:t>
            </w:r>
          </w:p>
        </w:tc>
        <w:tc>
          <w:tcPr>
            <w:tcW w:w="160" w:type="dxa"/>
            <w:tcBorders>
              <w:top w:val="single" w:sz="4" w:space="0" w:color="A6A6A6" w:themeColor="background1" w:themeShade="A6"/>
            </w:tcBorders>
            <w:shd w:val="clear" w:color="auto" w:fill="auto"/>
            <w:vAlign w:val="bottom"/>
          </w:tcPr>
          <w:p w14:paraId="0509E3F0" w14:textId="77777777" w:rsidR="001E3185" w:rsidRPr="00607E27" w:rsidRDefault="001E3185" w:rsidP="001E3185">
            <w:pPr>
              <w:pStyle w:val="TableFiguresBrackets"/>
              <w:rPr>
                <w:bCs/>
              </w:rPr>
            </w:pPr>
          </w:p>
        </w:tc>
        <w:tc>
          <w:tcPr>
            <w:tcW w:w="1114" w:type="dxa"/>
            <w:tcBorders>
              <w:top w:val="single" w:sz="4" w:space="0" w:color="A6A6A6" w:themeColor="background1" w:themeShade="A6"/>
            </w:tcBorders>
            <w:vAlign w:val="bottom"/>
          </w:tcPr>
          <w:p w14:paraId="677A27A8" w14:textId="12253638" w:rsidR="001E3185" w:rsidRPr="00607E27" w:rsidRDefault="001E3185" w:rsidP="001E3185">
            <w:pPr>
              <w:pStyle w:val="TableFiguresBrackets"/>
            </w:pPr>
            <w:r w:rsidRPr="00607E27">
              <w:t>(</w:t>
            </w:r>
            <w:r w:rsidR="00607E27" w:rsidRPr="00607E27">
              <w:t>61</w:t>
            </w:r>
            <w:r w:rsidRPr="00607E27">
              <w:t>)</w:t>
            </w:r>
          </w:p>
        </w:tc>
        <w:tc>
          <w:tcPr>
            <w:tcW w:w="993" w:type="dxa"/>
            <w:tcBorders>
              <w:top w:val="single" w:sz="4" w:space="0" w:color="A6A6A6" w:themeColor="background1" w:themeShade="A6"/>
            </w:tcBorders>
            <w:vAlign w:val="bottom"/>
          </w:tcPr>
          <w:p w14:paraId="54503E15" w14:textId="77777777" w:rsidR="001E3185" w:rsidRPr="00607E27" w:rsidRDefault="001E3185" w:rsidP="001E3185">
            <w:pPr>
              <w:pStyle w:val="TableFiguresBrackets"/>
            </w:pPr>
          </w:p>
        </w:tc>
        <w:tc>
          <w:tcPr>
            <w:tcW w:w="993" w:type="dxa"/>
            <w:tcBorders>
              <w:top w:val="single" w:sz="4" w:space="0" w:color="A6A6A6" w:themeColor="background1" w:themeShade="A6"/>
            </w:tcBorders>
            <w:vAlign w:val="bottom"/>
          </w:tcPr>
          <w:p w14:paraId="256A949B" w14:textId="694F53EF" w:rsidR="001E3185" w:rsidRPr="00607E27" w:rsidRDefault="001E3185" w:rsidP="001E3185">
            <w:pPr>
              <w:pStyle w:val="TableFiguresBrackets"/>
            </w:pPr>
            <w:r w:rsidRPr="00607E27">
              <w:t>(5)</w:t>
            </w:r>
          </w:p>
        </w:tc>
      </w:tr>
      <w:tr w:rsidR="005F6D8A" w:rsidRPr="00607E27" w14:paraId="2458E006" w14:textId="77777777" w:rsidTr="00D7207E">
        <w:tc>
          <w:tcPr>
            <w:tcW w:w="4535" w:type="dxa"/>
            <w:vAlign w:val="bottom"/>
          </w:tcPr>
          <w:p w14:paraId="4B187E02" w14:textId="77777777" w:rsidR="001E3185" w:rsidRPr="00607E27" w:rsidRDefault="001E3185" w:rsidP="001E3185">
            <w:pPr>
              <w:pStyle w:val="Tabletext"/>
            </w:pPr>
            <w:r w:rsidRPr="00607E27">
              <w:t>Fair value adjustment in respect of trading properties – Group</w:t>
            </w:r>
          </w:p>
        </w:tc>
        <w:tc>
          <w:tcPr>
            <w:tcW w:w="1134" w:type="dxa"/>
            <w:shd w:val="clear" w:color="auto" w:fill="auto"/>
            <w:vAlign w:val="bottom"/>
          </w:tcPr>
          <w:p w14:paraId="05A6DFE8" w14:textId="1449B6FE" w:rsidR="001E3185" w:rsidRPr="00607E27" w:rsidRDefault="00607E27" w:rsidP="001E3185">
            <w:pPr>
              <w:pStyle w:val="TableFiguresBold0"/>
              <w:rPr>
                <w:sz w:val="19"/>
              </w:rPr>
            </w:pPr>
            <w:r w:rsidRPr="00607E27">
              <w:rPr>
                <w:sz w:val="19"/>
              </w:rPr>
              <w:t>1</w:t>
            </w:r>
          </w:p>
        </w:tc>
        <w:tc>
          <w:tcPr>
            <w:tcW w:w="851" w:type="dxa"/>
            <w:shd w:val="clear" w:color="auto" w:fill="auto"/>
            <w:vAlign w:val="bottom"/>
          </w:tcPr>
          <w:p w14:paraId="6DE87E34" w14:textId="77777777" w:rsidR="001E3185" w:rsidRPr="00607E27" w:rsidRDefault="001E3185" w:rsidP="001E3185">
            <w:pPr>
              <w:pStyle w:val="TableFiguresBold0"/>
              <w:rPr>
                <w:sz w:val="19"/>
              </w:rPr>
            </w:pPr>
          </w:p>
        </w:tc>
        <w:tc>
          <w:tcPr>
            <w:tcW w:w="710" w:type="dxa"/>
            <w:shd w:val="clear" w:color="auto" w:fill="auto"/>
            <w:vAlign w:val="bottom"/>
          </w:tcPr>
          <w:p w14:paraId="0B3E7034" w14:textId="77777777" w:rsidR="001E3185" w:rsidRPr="00607E27" w:rsidRDefault="001E3185" w:rsidP="001E3185">
            <w:pPr>
              <w:pStyle w:val="TableFiguresBold0"/>
              <w:rPr>
                <w:sz w:val="19"/>
              </w:rPr>
            </w:pPr>
            <w:r w:rsidRPr="00607E27">
              <w:rPr>
                <w:sz w:val="19"/>
              </w:rPr>
              <w:t>–</w:t>
            </w:r>
          </w:p>
        </w:tc>
        <w:tc>
          <w:tcPr>
            <w:tcW w:w="160" w:type="dxa"/>
            <w:shd w:val="clear" w:color="auto" w:fill="auto"/>
            <w:vAlign w:val="bottom"/>
          </w:tcPr>
          <w:p w14:paraId="75633029" w14:textId="77777777" w:rsidR="001E3185" w:rsidRPr="00607E27" w:rsidRDefault="001E3185" w:rsidP="001E3185">
            <w:pPr>
              <w:pStyle w:val="TableFigures"/>
              <w:rPr>
                <w:bCs/>
              </w:rPr>
            </w:pPr>
          </w:p>
        </w:tc>
        <w:tc>
          <w:tcPr>
            <w:tcW w:w="1114" w:type="dxa"/>
            <w:vAlign w:val="bottom"/>
          </w:tcPr>
          <w:p w14:paraId="793B9AB7" w14:textId="28AAB5D9" w:rsidR="001E3185" w:rsidRPr="00607E27" w:rsidRDefault="00607E27" w:rsidP="001E3185">
            <w:pPr>
              <w:pStyle w:val="TableFigures"/>
            </w:pPr>
            <w:r w:rsidRPr="00607E27">
              <w:rPr>
                <w:sz w:val="19"/>
              </w:rPr>
              <w:t>1</w:t>
            </w:r>
          </w:p>
        </w:tc>
        <w:tc>
          <w:tcPr>
            <w:tcW w:w="993" w:type="dxa"/>
            <w:vAlign w:val="bottom"/>
          </w:tcPr>
          <w:p w14:paraId="7EAB4833" w14:textId="77777777" w:rsidR="001E3185" w:rsidRPr="00607E27" w:rsidRDefault="001E3185" w:rsidP="001E3185">
            <w:pPr>
              <w:pStyle w:val="TableFigures"/>
            </w:pPr>
          </w:p>
        </w:tc>
        <w:tc>
          <w:tcPr>
            <w:tcW w:w="993" w:type="dxa"/>
            <w:vAlign w:val="bottom"/>
          </w:tcPr>
          <w:p w14:paraId="0BFDD81F" w14:textId="0C266739" w:rsidR="001E3185" w:rsidRPr="00607E27" w:rsidRDefault="001E3185" w:rsidP="001E3185">
            <w:pPr>
              <w:pStyle w:val="TableFigures"/>
            </w:pPr>
            <w:r w:rsidRPr="00607E27">
              <w:rPr>
                <w:sz w:val="19"/>
              </w:rPr>
              <w:t>–</w:t>
            </w:r>
          </w:p>
        </w:tc>
      </w:tr>
      <w:tr w:rsidR="005F6D8A" w:rsidRPr="00607E27" w14:paraId="38AED17B" w14:textId="77777777" w:rsidTr="00D7207E">
        <w:tc>
          <w:tcPr>
            <w:tcW w:w="4535" w:type="dxa"/>
            <w:vAlign w:val="bottom"/>
          </w:tcPr>
          <w:p w14:paraId="4DEBBF8A" w14:textId="4467A085" w:rsidR="001E3185" w:rsidRPr="00607E27" w:rsidRDefault="001E3185" w:rsidP="001E3185">
            <w:pPr>
              <w:pStyle w:val="Tabletext"/>
            </w:pPr>
            <w:r w:rsidRPr="00607E27">
              <w:t>Deferred tax in respect of depreciation and valuation surpluses – Group</w:t>
            </w:r>
            <w:r w:rsidRPr="00607E27">
              <w:rPr>
                <w:vertAlign w:val="superscript"/>
              </w:rPr>
              <w:t>1</w:t>
            </w:r>
          </w:p>
        </w:tc>
        <w:tc>
          <w:tcPr>
            <w:tcW w:w="1134" w:type="dxa"/>
            <w:shd w:val="clear" w:color="auto" w:fill="auto"/>
            <w:vAlign w:val="bottom"/>
          </w:tcPr>
          <w:p w14:paraId="681FFEAD" w14:textId="739663FC" w:rsidR="001E3185" w:rsidRPr="00607E27" w:rsidRDefault="00607E27" w:rsidP="001E3185">
            <w:pPr>
              <w:pStyle w:val="TableFiguresBold0"/>
              <w:rPr>
                <w:sz w:val="19"/>
              </w:rPr>
            </w:pPr>
            <w:r w:rsidRPr="00607E27">
              <w:rPr>
                <w:sz w:val="19"/>
              </w:rPr>
              <w:t>129</w:t>
            </w:r>
          </w:p>
        </w:tc>
        <w:tc>
          <w:tcPr>
            <w:tcW w:w="851" w:type="dxa"/>
            <w:shd w:val="clear" w:color="auto" w:fill="auto"/>
            <w:vAlign w:val="bottom"/>
          </w:tcPr>
          <w:p w14:paraId="2E7A221E" w14:textId="77777777" w:rsidR="001E3185" w:rsidRPr="00607E27" w:rsidRDefault="001E3185" w:rsidP="001E3185">
            <w:pPr>
              <w:pStyle w:val="TableFiguresBold0"/>
              <w:rPr>
                <w:sz w:val="19"/>
              </w:rPr>
            </w:pPr>
          </w:p>
        </w:tc>
        <w:tc>
          <w:tcPr>
            <w:tcW w:w="710" w:type="dxa"/>
            <w:shd w:val="clear" w:color="auto" w:fill="auto"/>
            <w:vAlign w:val="bottom"/>
          </w:tcPr>
          <w:p w14:paraId="1E7BA8A0" w14:textId="19097E80" w:rsidR="001E3185" w:rsidRPr="00607E27" w:rsidRDefault="00607E27" w:rsidP="001E3185">
            <w:pPr>
              <w:pStyle w:val="TableFiguresBold0"/>
              <w:rPr>
                <w:sz w:val="19"/>
              </w:rPr>
            </w:pPr>
            <w:r w:rsidRPr="00607E27">
              <w:rPr>
                <w:sz w:val="19"/>
              </w:rPr>
              <w:t>11</w:t>
            </w:r>
          </w:p>
        </w:tc>
        <w:tc>
          <w:tcPr>
            <w:tcW w:w="160" w:type="dxa"/>
            <w:shd w:val="clear" w:color="auto" w:fill="auto"/>
            <w:vAlign w:val="bottom"/>
          </w:tcPr>
          <w:p w14:paraId="0900BFCB" w14:textId="77777777" w:rsidR="001E3185" w:rsidRPr="00607E27" w:rsidRDefault="001E3185" w:rsidP="001E3185">
            <w:pPr>
              <w:pStyle w:val="TableFigures"/>
              <w:rPr>
                <w:bCs/>
              </w:rPr>
            </w:pPr>
          </w:p>
        </w:tc>
        <w:tc>
          <w:tcPr>
            <w:tcW w:w="1114" w:type="dxa"/>
            <w:vAlign w:val="bottom"/>
          </w:tcPr>
          <w:p w14:paraId="7CCA9507" w14:textId="179569A9" w:rsidR="001E3185" w:rsidRPr="00607E27" w:rsidRDefault="00607E27" w:rsidP="001E3185">
            <w:pPr>
              <w:pStyle w:val="TableFigures"/>
            </w:pPr>
            <w:r w:rsidRPr="00607E27">
              <w:rPr>
                <w:sz w:val="19"/>
              </w:rPr>
              <w:t>42</w:t>
            </w:r>
          </w:p>
        </w:tc>
        <w:tc>
          <w:tcPr>
            <w:tcW w:w="993" w:type="dxa"/>
            <w:vAlign w:val="bottom"/>
          </w:tcPr>
          <w:p w14:paraId="02C415EC" w14:textId="77777777" w:rsidR="001E3185" w:rsidRPr="00607E27" w:rsidRDefault="001E3185" w:rsidP="001E3185">
            <w:pPr>
              <w:pStyle w:val="TableFigures"/>
            </w:pPr>
          </w:p>
        </w:tc>
        <w:tc>
          <w:tcPr>
            <w:tcW w:w="993" w:type="dxa"/>
            <w:vAlign w:val="bottom"/>
          </w:tcPr>
          <w:p w14:paraId="3789B343" w14:textId="4923BFC0" w:rsidR="001E3185" w:rsidRPr="00607E27" w:rsidRDefault="00607E27" w:rsidP="001E3185">
            <w:pPr>
              <w:pStyle w:val="TableFigures"/>
            </w:pPr>
            <w:r w:rsidRPr="00607E27">
              <w:rPr>
                <w:sz w:val="19"/>
              </w:rPr>
              <w:t>3</w:t>
            </w:r>
          </w:p>
        </w:tc>
      </w:tr>
      <w:tr w:rsidR="005F6D8A" w:rsidRPr="00607E27" w14:paraId="252DEE60" w14:textId="77777777" w:rsidTr="007B28BE">
        <w:tc>
          <w:tcPr>
            <w:tcW w:w="4535" w:type="dxa"/>
            <w:vAlign w:val="bottom"/>
          </w:tcPr>
          <w:p w14:paraId="25A738BF" w14:textId="1CF076AB" w:rsidR="001E3185" w:rsidRPr="00607E27" w:rsidRDefault="001E3185" w:rsidP="001E3185">
            <w:pPr>
              <w:pStyle w:val="Tabletext"/>
            </w:pPr>
            <w:r w:rsidRPr="00607E27">
              <w:t>Deferred tax in respect of depreciation and valuation surpluses – Joint ventures</w:t>
            </w:r>
            <w:r w:rsidRPr="00607E27">
              <w:rPr>
                <w:vertAlign w:val="superscript"/>
              </w:rPr>
              <w:t>1</w:t>
            </w:r>
          </w:p>
        </w:tc>
        <w:tc>
          <w:tcPr>
            <w:tcW w:w="1134" w:type="dxa"/>
            <w:shd w:val="clear" w:color="auto" w:fill="auto"/>
            <w:vAlign w:val="bottom"/>
          </w:tcPr>
          <w:p w14:paraId="1B38C1CB" w14:textId="0D5DCA53" w:rsidR="001E3185" w:rsidRPr="00607E27" w:rsidRDefault="00607E27" w:rsidP="001E3185">
            <w:pPr>
              <w:pStyle w:val="TableFiguresBold0"/>
              <w:rPr>
                <w:sz w:val="19"/>
              </w:rPr>
            </w:pPr>
            <w:r w:rsidRPr="00607E27">
              <w:rPr>
                <w:sz w:val="19"/>
              </w:rPr>
              <w:t>123</w:t>
            </w:r>
          </w:p>
        </w:tc>
        <w:tc>
          <w:tcPr>
            <w:tcW w:w="851" w:type="dxa"/>
            <w:shd w:val="clear" w:color="auto" w:fill="auto"/>
            <w:vAlign w:val="bottom"/>
          </w:tcPr>
          <w:p w14:paraId="6B6F4A62" w14:textId="77777777" w:rsidR="001E3185" w:rsidRPr="00607E27" w:rsidRDefault="001E3185" w:rsidP="001E3185">
            <w:pPr>
              <w:pStyle w:val="TableFiguresBold0"/>
              <w:rPr>
                <w:sz w:val="19"/>
              </w:rPr>
            </w:pPr>
          </w:p>
        </w:tc>
        <w:tc>
          <w:tcPr>
            <w:tcW w:w="710" w:type="dxa"/>
            <w:shd w:val="clear" w:color="auto" w:fill="auto"/>
            <w:vAlign w:val="bottom"/>
          </w:tcPr>
          <w:p w14:paraId="27856FF0" w14:textId="0A42B835" w:rsidR="001E3185" w:rsidRPr="00607E27" w:rsidRDefault="00607E27" w:rsidP="001E3185">
            <w:pPr>
              <w:pStyle w:val="TableFiguresBold0"/>
              <w:rPr>
                <w:sz w:val="19"/>
              </w:rPr>
            </w:pPr>
            <w:r w:rsidRPr="00607E27">
              <w:rPr>
                <w:sz w:val="19"/>
              </w:rPr>
              <w:t>10</w:t>
            </w:r>
          </w:p>
        </w:tc>
        <w:tc>
          <w:tcPr>
            <w:tcW w:w="160" w:type="dxa"/>
            <w:shd w:val="clear" w:color="auto" w:fill="auto"/>
            <w:vAlign w:val="bottom"/>
          </w:tcPr>
          <w:p w14:paraId="4524180A" w14:textId="77777777" w:rsidR="001E3185" w:rsidRPr="00607E27" w:rsidRDefault="001E3185" w:rsidP="001E3185">
            <w:pPr>
              <w:pStyle w:val="TableFigures"/>
              <w:rPr>
                <w:bCs/>
              </w:rPr>
            </w:pPr>
          </w:p>
        </w:tc>
        <w:tc>
          <w:tcPr>
            <w:tcW w:w="1114" w:type="dxa"/>
            <w:vAlign w:val="bottom"/>
          </w:tcPr>
          <w:p w14:paraId="14BB06E9" w14:textId="3C892444" w:rsidR="001E3185" w:rsidRPr="00607E27" w:rsidRDefault="00607E27" w:rsidP="001E3185">
            <w:pPr>
              <w:pStyle w:val="TableFigures"/>
            </w:pPr>
            <w:r w:rsidRPr="00607E27">
              <w:rPr>
                <w:sz w:val="19"/>
              </w:rPr>
              <w:t>86</w:t>
            </w:r>
          </w:p>
        </w:tc>
        <w:tc>
          <w:tcPr>
            <w:tcW w:w="993" w:type="dxa"/>
            <w:vAlign w:val="bottom"/>
          </w:tcPr>
          <w:p w14:paraId="6604D2DD" w14:textId="77777777" w:rsidR="001E3185" w:rsidRPr="00607E27" w:rsidRDefault="001E3185" w:rsidP="001E3185">
            <w:pPr>
              <w:pStyle w:val="TableFigures"/>
            </w:pPr>
          </w:p>
        </w:tc>
        <w:tc>
          <w:tcPr>
            <w:tcW w:w="993" w:type="dxa"/>
            <w:vAlign w:val="bottom"/>
          </w:tcPr>
          <w:p w14:paraId="621A474B" w14:textId="01296D14" w:rsidR="001E3185" w:rsidRPr="00607E27" w:rsidRDefault="00607E27" w:rsidP="001E3185">
            <w:pPr>
              <w:pStyle w:val="TableFigures"/>
            </w:pPr>
            <w:r w:rsidRPr="00607E27">
              <w:rPr>
                <w:sz w:val="19"/>
              </w:rPr>
              <w:t>7</w:t>
            </w:r>
          </w:p>
        </w:tc>
      </w:tr>
      <w:tr w:rsidR="005F6D8A" w:rsidRPr="00607E27" w14:paraId="69953A74" w14:textId="77777777" w:rsidTr="007B28BE">
        <w:tc>
          <w:tcPr>
            <w:tcW w:w="4535" w:type="dxa"/>
            <w:tcBorders>
              <w:bottom w:val="single" w:sz="4" w:space="0" w:color="A6A6A6" w:themeColor="background1" w:themeShade="A6"/>
            </w:tcBorders>
            <w:vAlign w:val="bottom"/>
          </w:tcPr>
          <w:p w14:paraId="10B95F2D" w14:textId="3039B727" w:rsidR="001E3185" w:rsidRPr="00607E27" w:rsidRDefault="001E3185" w:rsidP="001E3185">
            <w:pPr>
              <w:pStyle w:val="Tabletext"/>
            </w:pPr>
            <w:r w:rsidRPr="00607E27">
              <w:t>Intangible assets</w:t>
            </w:r>
          </w:p>
        </w:tc>
        <w:tc>
          <w:tcPr>
            <w:tcW w:w="1134" w:type="dxa"/>
            <w:tcBorders>
              <w:bottom w:val="single" w:sz="4" w:space="0" w:color="A6A6A6" w:themeColor="background1" w:themeShade="A6"/>
            </w:tcBorders>
            <w:shd w:val="clear" w:color="auto" w:fill="auto"/>
            <w:vAlign w:val="bottom"/>
          </w:tcPr>
          <w:p w14:paraId="3284FF17" w14:textId="67C707B1" w:rsidR="001E3185" w:rsidRPr="00607E27" w:rsidRDefault="001E3185" w:rsidP="007B28BE">
            <w:pPr>
              <w:pStyle w:val="TableFiguresBracketsBold"/>
            </w:pPr>
            <w:r w:rsidRPr="00607E27">
              <w:t>(</w:t>
            </w:r>
            <w:r w:rsidR="00607E27" w:rsidRPr="00607E27">
              <w:t>9</w:t>
            </w:r>
            <w:r w:rsidRPr="00607E27">
              <w:t>)</w:t>
            </w:r>
          </w:p>
        </w:tc>
        <w:tc>
          <w:tcPr>
            <w:tcW w:w="851" w:type="dxa"/>
            <w:tcBorders>
              <w:bottom w:val="single" w:sz="4" w:space="0" w:color="A6A6A6" w:themeColor="background1" w:themeShade="A6"/>
            </w:tcBorders>
            <w:shd w:val="clear" w:color="auto" w:fill="auto"/>
            <w:vAlign w:val="bottom"/>
          </w:tcPr>
          <w:p w14:paraId="333AE29C" w14:textId="77777777" w:rsidR="001E3185" w:rsidRPr="00607E27" w:rsidRDefault="001E3185" w:rsidP="001E3185">
            <w:pPr>
              <w:pStyle w:val="TableFiguresBold0"/>
              <w:rPr>
                <w:sz w:val="19"/>
              </w:rPr>
            </w:pPr>
          </w:p>
        </w:tc>
        <w:tc>
          <w:tcPr>
            <w:tcW w:w="710" w:type="dxa"/>
            <w:tcBorders>
              <w:bottom w:val="single" w:sz="4" w:space="0" w:color="A6A6A6" w:themeColor="background1" w:themeShade="A6"/>
            </w:tcBorders>
            <w:shd w:val="clear" w:color="auto" w:fill="auto"/>
            <w:vAlign w:val="bottom"/>
          </w:tcPr>
          <w:p w14:paraId="7514388F" w14:textId="7C2FB6F7" w:rsidR="001E3185" w:rsidRPr="00607E27" w:rsidRDefault="00607E27" w:rsidP="007B28BE">
            <w:pPr>
              <w:pStyle w:val="TableFiguresBracketsBold"/>
            </w:pPr>
            <w:r w:rsidRPr="00607E27">
              <w:t>(1)</w:t>
            </w:r>
          </w:p>
        </w:tc>
        <w:tc>
          <w:tcPr>
            <w:tcW w:w="160" w:type="dxa"/>
            <w:tcBorders>
              <w:bottom w:val="single" w:sz="4" w:space="0" w:color="A6A6A6" w:themeColor="background1" w:themeShade="A6"/>
            </w:tcBorders>
            <w:shd w:val="clear" w:color="auto" w:fill="auto"/>
            <w:vAlign w:val="bottom"/>
          </w:tcPr>
          <w:p w14:paraId="23CAC781" w14:textId="77777777" w:rsidR="001E3185" w:rsidRPr="00607E27" w:rsidRDefault="001E3185" w:rsidP="001E3185">
            <w:pPr>
              <w:pStyle w:val="TableFigures"/>
              <w:rPr>
                <w:bCs/>
              </w:rPr>
            </w:pPr>
          </w:p>
        </w:tc>
        <w:tc>
          <w:tcPr>
            <w:tcW w:w="1114" w:type="dxa"/>
            <w:tcBorders>
              <w:bottom w:val="single" w:sz="4" w:space="0" w:color="A6A6A6" w:themeColor="background1" w:themeShade="A6"/>
            </w:tcBorders>
            <w:vAlign w:val="bottom"/>
          </w:tcPr>
          <w:p w14:paraId="35545596" w14:textId="6A71444C" w:rsidR="001E3185" w:rsidRPr="00607E27" w:rsidRDefault="001E3185" w:rsidP="007B28BE">
            <w:pPr>
              <w:pStyle w:val="TableFiguresBrackets"/>
            </w:pPr>
            <w:r w:rsidRPr="00607E27">
              <w:t>(2)</w:t>
            </w:r>
          </w:p>
        </w:tc>
        <w:tc>
          <w:tcPr>
            <w:tcW w:w="993" w:type="dxa"/>
            <w:tcBorders>
              <w:bottom w:val="single" w:sz="4" w:space="0" w:color="A6A6A6" w:themeColor="background1" w:themeShade="A6"/>
            </w:tcBorders>
            <w:vAlign w:val="bottom"/>
          </w:tcPr>
          <w:p w14:paraId="7F643E65" w14:textId="77777777" w:rsidR="001E3185" w:rsidRPr="00607E27" w:rsidRDefault="001E3185" w:rsidP="001E3185">
            <w:pPr>
              <w:pStyle w:val="TableFigures"/>
            </w:pPr>
          </w:p>
        </w:tc>
        <w:tc>
          <w:tcPr>
            <w:tcW w:w="993" w:type="dxa"/>
            <w:tcBorders>
              <w:bottom w:val="single" w:sz="4" w:space="0" w:color="A6A6A6" w:themeColor="background1" w:themeShade="A6"/>
            </w:tcBorders>
            <w:vAlign w:val="bottom"/>
          </w:tcPr>
          <w:p w14:paraId="43BA9FE7" w14:textId="6F985BCE" w:rsidR="001E3185" w:rsidRPr="007B28BE" w:rsidRDefault="001E3185" w:rsidP="00FD1A13">
            <w:pPr>
              <w:pStyle w:val="TableFigures"/>
            </w:pPr>
            <w:r w:rsidRPr="007B28BE">
              <w:t>–</w:t>
            </w:r>
          </w:p>
        </w:tc>
      </w:tr>
      <w:tr w:rsidR="001E3185" w:rsidRPr="00607E27" w14:paraId="351B6769" w14:textId="77777777" w:rsidTr="007B28BE">
        <w:tc>
          <w:tcPr>
            <w:tcW w:w="4535" w:type="dxa"/>
            <w:tcBorders>
              <w:top w:val="single" w:sz="4" w:space="0" w:color="A6A6A6" w:themeColor="background1" w:themeShade="A6"/>
              <w:bottom w:val="single" w:sz="8" w:space="0" w:color="A6A6A6" w:themeColor="background1" w:themeShade="A6"/>
            </w:tcBorders>
            <w:vAlign w:val="bottom"/>
          </w:tcPr>
          <w:p w14:paraId="6E1EA274" w14:textId="76AE33E9" w:rsidR="001E3185" w:rsidRPr="00607E27" w:rsidRDefault="001E3185" w:rsidP="001E3185">
            <w:pPr>
              <w:pStyle w:val="TabletextBold"/>
            </w:pPr>
            <w:r w:rsidRPr="00607E27">
              <w:t>Adjusted NAV</w:t>
            </w:r>
          </w:p>
        </w:tc>
        <w:tc>
          <w:tcPr>
            <w:tcW w:w="1134" w:type="dxa"/>
            <w:tcBorders>
              <w:top w:val="single" w:sz="4" w:space="0" w:color="A6A6A6" w:themeColor="background1" w:themeShade="A6"/>
              <w:bottom w:val="single" w:sz="8" w:space="0" w:color="A6A6A6" w:themeColor="background1" w:themeShade="A6"/>
            </w:tcBorders>
            <w:shd w:val="clear" w:color="auto" w:fill="auto"/>
            <w:vAlign w:val="bottom"/>
          </w:tcPr>
          <w:p w14:paraId="284B2438" w14:textId="18448213" w:rsidR="001E3185" w:rsidRPr="00607E27" w:rsidRDefault="00607E27" w:rsidP="002313ED">
            <w:pPr>
              <w:pStyle w:val="TableFiguresBold0"/>
            </w:pPr>
            <w:r w:rsidRPr="00607E27">
              <w:t>13,704</w:t>
            </w:r>
          </w:p>
        </w:tc>
        <w:tc>
          <w:tcPr>
            <w:tcW w:w="851" w:type="dxa"/>
            <w:tcBorders>
              <w:top w:val="single" w:sz="4" w:space="0" w:color="A6A6A6" w:themeColor="background1" w:themeShade="A6"/>
              <w:bottom w:val="single" w:sz="8" w:space="0" w:color="A6A6A6" w:themeColor="background1" w:themeShade="A6"/>
            </w:tcBorders>
            <w:shd w:val="clear" w:color="auto" w:fill="auto"/>
            <w:vAlign w:val="bottom"/>
          </w:tcPr>
          <w:p w14:paraId="65B9375B" w14:textId="7D6BBB0F" w:rsidR="001E3185" w:rsidRPr="00607E27" w:rsidRDefault="00607E27" w:rsidP="002313ED">
            <w:pPr>
              <w:pStyle w:val="TableFiguresBold0"/>
            </w:pPr>
            <w:r w:rsidRPr="00607E27">
              <w:t>1,205.5</w:t>
            </w:r>
          </w:p>
        </w:tc>
        <w:tc>
          <w:tcPr>
            <w:tcW w:w="710" w:type="dxa"/>
            <w:tcBorders>
              <w:top w:val="single" w:sz="4" w:space="0" w:color="A6A6A6" w:themeColor="background1" w:themeShade="A6"/>
              <w:bottom w:val="single" w:sz="8" w:space="0" w:color="A6A6A6" w:themeColor="background1" w:themeShade="A6"/>
            </w:tcBorders>
            <w:shd w:val="clear" w:color="auto" w:fill="auto"/>
            <w:vAlign w:val="bottom"/>
          </w:tcPr>
          <w:p w14:paraId="0D8D950C" w14:textId="28E83309" w:rsidR="001E3185" w:rsidRPr="00607E27" w:rsidRDefault="00607E27" w:rsidP="002313ED">
            <w:pPr>
              <w:pStyle w:val="TableFiguresBold0"/>
            </w:pPr>
            <w:r w:rsidRPr="00607E27">
              <w:t>1,137</w:t>
            </w:r>
          </w:p>
        </w:tc>
        <w:tc>
          <w:tcPr>
            <w:tcW w:w="160" w:type="dxa"/>
            <w:tcBorders>
              <w:top w:val="single" w:sz="4" w:space="0" w:color="A6A6A6" w:themeColor="background1" w:themeShade="A6"/>
              <w:bottom w:val="single" w:sz="8" w:space="0" w:color="A6A6A6" w:themeColor="background1" w:themeShade="A6"/>
            </w:tcBorders>
            <w:shd w:val="clear" w:color="auto" w:fill="auto"/>
            <w:vAlign w:val="bottom"/>
          </w:tcPr>
          <w:p w14:paraId="0B9BB1EC" w14:textId="77777777" w:rsidR="001E3185" w:rsidRPr="00607E27" w:rsidRDefault="001E3185" w:rsidP="001E3185">
            <w:pPr>
              <w:pStyle w:val="TableFigures"/>
              <w:rPr>
                <w:bCs/>
              </w:rPr>
            </w:pPr>
          </w:p>
        </w:tc>
        <w:tc>
          <w:tcPr>
            <w:tcW w:w="1114" w:type="dxa"/>
            <w:tcBorders>
              <w:top w:val="single" w:sz="4" w:space="0" w:color="A6A6A6" w:themeColor="background1" w:themeShade="A6"/>
              <w:bottom w:val="single" w:sz="8" w:space="0" w:color="A6A6A6" w:themeColor="background1" w:themeShade="A6"/>
            </w:tcBorders>
            <w:vAlign w:val="bottom"/>
          </w:tcPr>
          <w:p w14:paraId="6F0565ED" w14:textId="36F63012" w:rsidR="001E3185" w:rsidRPr="00607E27" w:rsidRDefault="00607E27" w:rsidP="001E3185">
            <w:pPr>
              <w:pStyle w:val="TableFigures"/>
            </w:pPr>
            <w:r w:rsidRPr="00607E27">
              <w:t>9,725</w:t>
            </w:r>
          </w:p>
        </w:tc>
        <w:tc>
          <w:tcPr>
            <w:tcW w:w="993" w:type="dxa"/>
            <w:tcBorders>
              <w:top w:val="single" w:sz="4" w:space="0" w:color="A6A6A6" w:themeColor="background1" w:themeShade="A6"/>
              <w:bottom w:val="single" w:sz="8" w:space="0" w:color="A6A6A6" w:themeColor="background1" w:themeShade="A6"/>
            </w:tcBorders>
            <w:vAlign w:val="bottom"/>
          </w:tcPr>
          <w:p w14:paraId="3D2421F8" w14:textId="64C8FCBD" w:rsidR="001E3185" w:rsidRPr="00607E27" w:rsidRDefault="00607E27" w:rsidP="001E3185">
            <w:pPr>
              <w:pStyle w:val="TableFigures"/>
            </w:pPr>
            <w:r w:rsidRPr="00607E27">
              <w:t>1,194.7</w:t>
            </w:r>
          </w:p>
        </w:tc>
        <w:tc>
          <w:tcPr>
            <w:tcW w:w="993" w:type="dxa"/>
            <w:tcBorders>
              <w:top w:val="single" w:sz="4" w:space="0" w:color="A6A6A6" w:themeColor="background1" w:themeShade="A6"/>
              <w:bottom w:val="single" w:sz="8" w:space="0" w:color="A6A6A6" w:themeColor="background1" w:themeShade="A6"/>
            </w:tcBorders>
            <w:vAlign w:val="bottom"/>
          </w:tcPr>
          <w:p w14:paraId="2E37FE16" w14:textId="3E53CADB" w:rsidR="001E3185" w:rsidRPr="00607E27" w:rsidRDefault="00607E27" w:rsidP="001E3185">
            <w:pPr>
              <w:pStyle w:val="TableFigures"/>
            </w:pPr>
            <w:r w:rsidRPr="00607E27">
              <w:t>814</w:t>
            </w:r>
          </w:p>
        </w:tc>
      </w:tr>
    </w:tbl>
    <w:p w14:paraId="1F3DBA7F" w14:textId="77777777" w:rsidR="005E793C" w:rsidRPr="00607E27" w:rsidRDefault="005E793C" w:rsidP="005E793C">
      <w:pPr>
        <w:pStyle w:val="FootnotesNoSpace"/>
        <w:tabs>
          <w:tab w:val="left" w:pos="142"/>
        </w:tabs>
        <w:ind w:left="142" w:hanging="142"/>
        <w:rPr>
          <w:highlight w:val="yellow"/>
        </w:rPr>
      </w:pPr>
    </w:p>
    <w:p w14:paraId="5E3A5C98" w14:textId="5122AB06" w:rsidR="001E3185" w:rsidRPr="00607E27" w:rsidRDefault="002745AB" w:rsidP="002745AB">
      <w:pPr>
        <w:pStyle w:val="FootnotesNoSpace"/>
        <w:tabs>
          <w:tab w:val="left" w:pos="142"/>
        </w:tabs>
        <w:ind w:left="142" w:hanging="142"/>
      </w:pPr>
      <w:r w:rsidRPr="00607E27">
        <w:rPr>
          <w:iCs/>
        </w:rPr>
        <w:t>1</w:t>
      </w:r>
      <w:r w:rsidRPr="00607E27">
        <w:rPr>
          <w:iCs/>
        </w:rPr>
        <w:tab/>
      </w:r>
      <w:r w:rsidR="001E3185" w:rsidRPr="00607E27">
        <w:rPr>
          <w:iCs/>
        </w:rPr>
        <w:t>50 per cent of deferred tax in respect of depreciation and valuation surpluses has been excluded in calculating Adjusted NAV in line with option 3 of EPRA</w:t>
      </w:r>
      <w:r w:rsidR="001E3185" w:rsidRPr="00607E27">
        <w:rPr>
          <w:i w:val="0"/>
        </w:rPr>
        <w:t xml:space="preserve"> </w:t>
      </w:r>
      <w:r w:rsidRPr="00607E27">
        <w:t>Best Practices</w:t>
      </w:r>
      <w:r w:rsidR="001E3185" w:rsidRPr="00607E27">
        <w:t xml:space="preserve"> </w:t>
      </w:r>
      <w:r w:rsidRPr="00607E27">
        <w:t>Recommendations</w:t>
      </w:r>
      <w:r w:rsidR="001E3185" w:rsidRPr="00607E27">
        <w:t xml:space="preserve"> guidelines. </w:t>
      </w:r>
    </w:p>
    <w:p w14:paraId="2C797857" w14:textId="72FCED26" w:rsidR="00607E27" w:rsidRDefault="00607E27" w:rsidP="005E793C">
      <w:pPr>
        <w:pStyle w:val="Heading2"/>
        <w:rPr>
          <w:rStyle w:val="Heading1Char"/>
          <w:b/>
          <w:caps w:val="0"/>
          <w:color w:val="FF0000"/>
          <w:szCs w:val="26"/>
        </w:rPr>
      </w:pPr>
    </w:p>
    <w:p w14:paraId="6C22CB01" w14:textId="0DD2DD7A" w:rsidR="00B940B6" w:rsidRDefault="00B940B6" w:rsidP="005E793C">
      <w:pPr>
        <w:pStyle w:val="Heading2"/>
      </w:pPr>
    </w:p>
    <w:p w14:paraId="6D874B63" w14:textId="7A640C66" w:rsidR="00B940B6" w:rsidRDefault="00B940B6" w:rsidP="005E793C">
      <w:pPr>
        <w:pStyle w:val="Heading2"/>
      </w:pPr>
    </w:p>
    <w:p w14:paraId="6B3C9392" w14:textId="0DF6453F" w:rsidR="00B940B6" w:rsidRDefault="00B940B6" w:rsidP="005E793C">
      <w:pPr>
        <w:pStyle w:val="Heading2"/>
      </w:pPr>
    </w:p>
    <w:p w14:paraId="3BCB4972" w14:textId="00CD5FCD" w:rsidR="00B940B6" w:rsidRDefault="00B940B6" w:rsidP="005E793C">
      <w:pPr>
        <w:pStyle w:val="Heading2"/>
      </w:pPr>
    </w:p>
    <w:p w14:paraId="61E0F697" w14:textId="0E60E4C3" w:rsidR="00B940B6" w:rsidRDefault="00B940B6" w:rsidP="005E793C">
      <w:pPr>
        <w:pStyle w:val="Heading2"/>
      </w:pPr>
    </w:p>
    <w:p w14:paraId="3634CCFB" w14:textId="22A87F3E" w:rsidR="00B940B6" w:rsidRDefault="00B940B6" w:rsidP="005E793C">
      <w:pPr>
        <w:pStyle w:val="Heading2"/>
      </w:pPr>
    </w:p>
    <w:p w14:paraId="352640FF" w14:textId="17983774" w:rsidR="00B940B6" w:rsidRDefault="00B940B6" w:rsidP="005E793C">
      <w:pPr>
        <w:pStyle w:val="Heading2"/>
      </w:pPr>
    </w:p>
    <w:p w14:paraId="518F3771" w14:textId="4B0A735A" w:rsidR="005E793C" w:rsidRPr="00AC602F" w:rsidRDefault="005E793C" w:rsidP="005E793C">
      <w:pPr>
        <w:pStyle w:val="Heading2"/>
      </w:pPr>
      <w:r w:rsidRPr="00AC602F">
        <w:rPr>
          <w:rStyle w:val="Heading1Char"/>
          <w:b/>
          <w:caps w:val="0"/>
          <w:szCs w:val="26"/>
        </w:rPr>
        <w:lastRenderedPageBreak/>
        <w:t>12. PROPERTIES</w:t>
      </w:r>
    </w:p>
    <w:p w14:paraId="7E4ECB28" w14:textId="77777777" w:rsidR="005E793C" w:rsidRPr="00AC602F" w:rsidRDefault="005E793C" w:rsidP="005E793C">
      <w:pPr>
        <w:pStyle w:val="Heading3"/>
      </w:pPr>
      <w:r w:rsidRPr="00AC602F">
        <w:t>12(i) Investment properties</w:t>
      </w:r>
    </w:p>
    <w:tbl>
      <w:tblPr>
        <w:tblW w:w="10546" w:type="dxa"/>
        <w:tblLayout w:type="fixed"/>
        <w:tblCellMar>
          <w:left w:w="0" w:type="dxa"/>
          <w:right w:w="0" w:type="dxa"/>
        </w:tblCellMar>
        <w:tblLook w:val="01E0" w:firstRow="1" w:lastRow="1" w:firstColumn="1" w:lastColumn="1" w:noHBand="0" w:noVBand="0"/>
      </w:tblPr>
      <w:tblGrid>
        <w:gridCol w:w="7081"/>
        <w:gridCol w:w="999"/>
        <w:gridCol w:w="1311"/>
        <w:gridCol w:w="1155"/>
      </w:tblGrid>
      <w:tr w:rsidR="005F6D8A" w:rsidRPr="00641D83" w14:paraId="1F266936" w14:textId="77777777" w:rsidTr="00E30618">
        <w:tc>
          <w:tcPr>
            <w:tcW w:w="7081" w:type="dxa"/>
            <w:tcBorders>
              <w:bottom w:val="single" w:sz="8" w:space="0" w:color="A6A6A6" w:themeColor="background1" w:themeShade="A6"/>
            </w:tcBorders>
            <w:shd w:val="clear" w:color="auto" w:fill="auto"/>
            <w:vAlign w:val="bottom"/>
          </w:tcPr>
          <w:p w14:paraId="2FD4A6F5" w14:textId="77777777" w:rsidR="005E793C" w:rsidRPr="00641D83" w:rsidRDefault="005E793C" w:rsidP="00E30618">
            <w:pPr>
              <w:pStyle w:val="Tabletext"/>
              <w:spacing w:line="160" w:lineRule="atLeast"/>
            </w:pPr>
          </w:p>
        </w:tc>
        <w:tc>
          <w:tcPr>
            <w:tcW w:w="999" w:type="dxa"/>
            <w:tcBorders>
              <w:bottom w:val="single" w:sz="8" w:space="0" w:color="A6A6A6" w:themeColor="background1" w:themeShade="A6"/>
            </w:tcBorders>
            <w:shd w:val="clear" w:color="auto" w:fill="auto"/>
            <w:vAlign w:val="bottom"/>
          </w:tcPr>
          <w:p w14:paraId="0C15CE5D" w14:textId="77777777" w:rsidR="005E793C" w:rsidRPr="00641D83" w:rsidRDefault="005E793C" w:rsidP="00E30618">
            <w:pPr>
              <w:pStyle w:val="TableColHeadsBold0"/>
            </w:pPr>
            <w:r w:rsidRPr="00641D83">
              <w:t>Completed</w:t>
            </w:r>
            <w:r w:rsidRPr="00641D83">
              <w:br/>
              <w:t>£m</w:t>
            </w:r>
          </w:p>
        </w:tc>
        <w:tc>
          <w:tcPr>
            <w:tcW w:w="1311" w:type="dxa"/>
            <w:tcBorders>
              <w:bottom w:val="single" w:sz="8" w:space="0" w:color="A6A6A6" w:themeColor="background1" w:themeShade="A6"/>
            </w:tcBorders>
            <w:shd w:val="clear" w:color="auto" w:fill="auto"/>
            <w:vAlign w:val="bottom"/>
          </w:tcPr>
          <w:p w14:paraId="3B9A7298" w14:textId="77777777" w:rsidR="005E793C" w:rsidRPr="00641D83" w:rsidRDefault="005E793C" w:rsidP="00E30618">
            <w:pPr>
              <w:pStyle w:val="TableColHeadsBold0"/>
            </w:pPr>
            <w:r w:rsidRPr="00641D83">
              <w:t>Development</w:t>
            </w:r>
            <w:r w:rsidRPr="00641D83">
              <w:br/>
              <w:t>£m</w:t>
            </w:r>
          </w:p>
        </w:tc>
        <w:tc>
          <w:tcPr>
            <w:tcW w:w="1155" w:type="dxa"/>
            <w:tcBorders>
              <w:bottom w:val="single" w:sz="8" w:space="0" w:color="A6A6A6" w:themeColor="background1" w:themeShade="A6"/>
            </w:tcBorders>
            <w:shd w:val="clear" w:color="auto" w:fill="auto"/>
            <w:vAlign w:val="bottom"/>
          </w:tcPr>
          <w:p w14:paraId="2F2AFC86" w14:textId="77777777" w:rsidR="005E793C" w:rsidRPr="00641D83" w:rsidRDefault="005E793C" w:rsidP="00E30618">
            <w:pPr>
              <w:pStyle w:val="TableColHeadsBold0"/>
            </w:pPr>
            <w:r w:rsidRPr="00641D83">
              <w:t>Total</w:t>
            </w:r>
            <w:r w:rsidRPr="00641D83">
              <w:br/>
              <w:t>£m</w:t>
            </w:r>
          </w:p>
        </w:tc>
      </w:tr>
      <w:tr w:rsidR="005F6D8A" w:rsidRPr="00641D83" w14:paraId="2D14AEBF" w14:textId="77777777" w:rsidTr="00CA0FDF">
        <w:tc>
          <w:tcPr>
            <w:tcW w:w="7081" w:type="dxa"/>
            <w:tcBorders>
              <w:top w:val="single" w:sz="8" w:space="0" w:color="A6A6A6" w:themeColor="background1" w:themeShade="A6"/>
            </w:tcBorders>
            <w:shd w:val="clear" w:color="auto" w:fill="auto"/>
            <w:vAlign w:val="bottom"/>
          </w:tcPr>
          <w:p w14:paraId="1F9F0FDD" w14:textId="6723A92D" w:rsidR="00AE505F" w:rsidRPr="00641D83" w:rsidRDefault="00AE505F" w:rsidP="00AE505F">
            <w:pPr>
              <w:pStyle w:val="TabletextBold"/>
              <w:rPr>
                <w:szCs w:val="20"/>
              </w:rPr>
            </w:pPr>
            <w:r w:rsidRPr="00641D83">
              <w:rPr>
                <w:szCs w:val="20"/>
              </w:rPr>
              <w:t>At 1 January 202</w:t>
            </w:r>
            <w:r w:rsidR="00AC602F" w:rsidRPr="00641D83">
              <w:rPr>
                <w:szCs w:val="20"/>
              </w:rPr>
              <w:t>1</w:t>
            </w:r>
          </w:p>
        </w:tc>
        <w:tc>
          <w:tcPr>
            <w:tcW w:w="999" w:type="dxa"/>
            <w:tcBorders>
              <w:top w:val="single" w:sz="8" w:space="0" w:color="A6A6A6" w:themeColor="background1" w:themeShade="A6"/>
            </w:tcBorders>
            <w:shd w:val="clear" w:color="auto" w:fill="auto"/>
          </w:tcPr>
          <w:p w14:paraId="3430638F" w14:textId="01BE4712" w:rsidR="00AE505F" w:rsidRPr="00641D83" w:rsidRDefault="00AC602F" w:rsidP="00AE505F">
            <w:pPr>
              <w:pStyle w:val="TableFiguresBold0"/>
            </w:pPr>
            <w:r w:rsidRPr="00641D83">
              <w:t>9,397</w:t>
            </w:r>
          </w:p>
        </w:tc>
        <w:tc>
          <w:tcPr>
            <w:tcW w:w="1311" w:type="dxa"/>
            <w:tcBorders>
              <w:top w:val="single" w:sz="8" w:space="0" w:color="A6A6A6" w:themeColor="background1" w:themeShade="A6"/>
            </w:tcBorders>
            <w:shd w:val="clear" w:color="auto" w:fill="auto"/>
          </w:tcPr>
          <w:p w14:paraId="3F68295C" w14:textId="0A7D9141" w:rsidR="00AE505F" w:rsidRPr="00641D83" w:rsidRDefault="00AC602F" w:rsidP="00AE505F">
            <w:pPr>
              <w:pStyle w:val="TableFiguresBold0"/>
            </w:pPr>
            <w:r w:rsidRPr="00641D83">
              <w:t>1,062</w:t>
            </w:r>
          </w:p>
        </w:tc>
        <w:tc>
          <w:tcPr>
            <w:tcW w:w="1155" w:type="dxa"/>
            <w:tcBorders>
              <w:top w:val="single" w:sz="8" w:space="0" w:color="A6A6A6" w:themeColor="background1" w:themeShade="A6"/>
            </w:tcBorders>
            <w:shd w:val="clear" w:color="auto" w:fill="auto"/>
          </w:tcPr>
          <w:p w14:paraId="1A07820B" w14:textId="1FBFF132" w:rsidR="00AE505F" w:rsidRPr="00641D83" w:rsidRDefault="00AC602F" w:rsidP="00AE505F">
            <w:pPr>
              <w:pStyle w:val="TableFiguresBold0"/>
            </w:pPr>
            <w:r w:rsidRPr="00641D83">
              <w:t>10,459</w:t>
            </w:r>
          </w:p>
        </w:tc>
      </w:tr>
      <w:tr w:rsidR="005F6D8A" w:rsidRPr="00641D83" w14:paraId="1C5A79F9" w14:textId="77777777" w:rsidTr="00CA0FDF">
        <w:tc>
          <w:tcPr>
            <w:tcW w:w="7081" w:type="dxa"/>
            <w:shd w:val="clear" w:color="auto" w:fill="auto"/>
            <w:vAlign w:val="bottom"/>
          </w:tcPr>
          <w:p w14:paraId="0D80AB8F" w14:textId="77777777" w:rsidR="00AE505F" w:rsidRPr="00641D83" w:rsidRDefault="00AE505F" w:rsidP="00AE505F">
            <w:pPr>
              <w:pStyle w:val="Tabletext"/>
              <w:rPr>
                <w:szCs w:val="20"/>
              </w:rPr>
            </w:pPr>
            <w:r w:rsidRPr="00641D83">
              <w:rPr>
                <w:szCs w:val="20"/>
              </w:rPr>
              <w:t>Exchange movement</w:t>
            </w:r>
          </w:p>
        </w:tc>
        <w:tc>
          <w:tcPr>
            <w:tcW w:w="999" w:type="dxa"/>
            <w:shd w:val="clear" w:color="auto" w:fill="auto"/>
          </w:tcPr>
          <w:p w14:paraId="1C423C15" w14:textId="29449121" w:rsidR="00AE505F" w:rsidRPr="00641D83" w:rsidRDefault="00641D83" w:rsidP="007B28BE">
            <w:pPr>
              <w:pStyle w:val="TableFiguresBracketsBold"/>
            </w:pPr>
            <w:r w:rsidRPr="00641D83">
              <w:t>(145)</w:t>
            </w:r>
          </w:p>
        </w:tc>
        <w:tc>
          <w:tcPr>
            <w:tcW w:w="1311" w:type="dxa"/>
            <w:shd w:val="clear" w:color="auto" w:fill="auto"/>
          </w:tcPr>
          <w:p w14:paraId="3407AEC5" w14:textId="192CCD72" w:rsidR="00AE505F" w:rsidRPr="00641D83" w:rsidRDefault="00641D83" w:rsidP="007B28BE">
            <w:pPr>
              <w:pStyle w:val="TableFiguresBracketsBold"/>
            </w:pPr>
            <w:r w:rsidRPr="00641D83">
              <w:t>(25)</w:t>
            </w:r>
          </w:p>
        </w:tc>
        <w:tc>
          <w:tcPr>
            <w:tcW w:w="1155" w:type="dxa"/>
            <w:shd w:val="clear" w:color="auto" w:fill="auto"/>
          </w:tcPr>
          <w:p w14:paraId="25C89DCD" w14:textId="57B2BBD3" w:rsidR="00AE505F" w:rsidRPr="00641D83" w:rsidRDefault="00641D83" w:rsidP="007B28BE">
            <w:pPr>
              <w:pStyle w:val="TableFiguresBracketsBold"/>
            </w:pPr>
            <w:r w:rsidRPr="00641D83">
              <w:t>(170)</w:t>
            </w:r>
          </w:p>
        </w:tc>
      </w:tr>
      <w:tr w:rsidR="005F6D8A" w:rsidRPr="00641D83" w14:paraId="2DEA30B4" w14:textId="77777777" w:rsidTr="00CA0FDF">
        <w:tc>
          <w:tcPr>
            <w:tcW w:w="7081" w:type="dxa"/>
            <w:shd w:val="clear" w:color="auto" w:fill="auto"/>
            <w:vAlign w:val="bottom"/>
          </w:tcPr>
          <w:p w14:paraId="5605F749" w14:textId="77777777" w:rsidR="00AE505F" w:rsidRPr="00641D83" w:rsidRDefault="00AE505F" w:rsidP="00AE505F">
            <w:pPr>
              <w:pStyle w:val="Tabletext"/>
              <w:rPr>
                <w:szCs w:val="20"/>
              </w:rPr>
            </w:pPr>
            <w:r w:rsidRPr="00641D83">
              <w:rPr>
                <w:szCs w:val="20"/>
              </w:rPr>
              <w:t>Property acquisitions</w:t>
            </w:r>
          </w:p>
        </w:tc>
        <w:tc>
          <w:tcPr>
            <w:tcW w:w="999" w:type="dxa"/>
            <w:shd w:val="clear" w:color="auto" w:fill="auto"/>
          </w:tcPr>
          <w:p w14:paraId="3DEC7D57" w14:textId="2CBFBFC6" w:rsidR="00AE505F" w:rsidRPr="00641D83" w:rsidRDefault="00641D83" w:rsidP="00AE505F">
            <w:pPr>
              <w:pStyle w:val="TableFiguresBold0"/>
            </w:pPr>
            <w:r w:rsidRPr="00641D83">
              <w:t>983</w:t>
            </w:r>
          </w:p>
        </w:tc>
        <w:tc>
          <w:tcPr>
            <w:tcW w:w="1311" w:type="dxa"/>
            <w:shd w:val="clear" w:color="auto" w:fill="auto"/>
          </w:tcPr>
          <w:p w14:paraId="349159EF" w14:textId="29AAC06D" w:rsidR="00AE505F" w:rsidRPr="00641D83" w:rsidRDefault="00641D83" w:rsidP="00AE505F">
            <w:pPr>
              <w:pStyle w:val="TableFiguresBold0"/>
            </w:pPr>
            <w:r w:rsidRPr="00641D83">
              <w:t>289</w:t>
            </w:r>
          </w:p>
        </w:tc>
        <w:tc>
          <w:tcPr>
            <w:tcW w:w="1155" w:type="dxa"/>
            <w:shd w:val="clear" w:color="auto" w:fill="auto"/>
          </w:tcPr>
          <w:p w14:paraId="4733EBCF" w14:textId="781AC020" w:rsidR="00AE505F" w:rsidRPr="00641D83" w:rsidRDefault="00641D83" w:rsidP="00AE505F">
            <w:pPr>
              <w:pStyle w:val="TableFiguresBold0"/>
            </w:pPr>
            <w:r w:rsidRPr="00641D83">
              <w:t>1,272</w:t>
            </w:r>
          </w:p>
        </w:tc>
      </w:tr>
      <w:tr w:rsidR="005F6D8A" w:rsidRPr="00641D83" w14:paraId="427836EB" w14:textId="77777777" w:rsidTr="00CA0FDF">
        <w:tc>
          <w:tcPr>
            <w:tcW w:w="7081" w:type="dxa"/>
            <w:shd w:val="clear" w:color="auto" w:fill="auto"/>
            <w:vAlign w:val="bottom"/>
          </w:tcPr>
          <w:p w14:paraId="0C5B2E54" w14:textId="77777777" w:rsidR="00AE505F" w:rsidRPr="00641D83" w:rsidRDefault="00AE505F" w:rsidP="00AE505F">
            <w:pPr>
              <w:pStyle w:val="Tabletext"/>
              <w:rPr>
                <w:szCs w:val="20"/>
              </w:rPr>
            </w:pPr>
            <w:r w:rsidRPr="00641D83">
              <w:rPr>
                <w:szCs w:val="20"/>
              </w:rPr>
              <w:t>Additions to existing investment properties</w:t>
            </w:r>
          </w:p>
        </w:tc>
        <w:tc>
          <w:tcPr>
            <w:tcW w:w="999" w:type="dxa"/>
            <w:shd w:val="clear" w:color="auto" w:fill="auto"/>
          </w:tcPr>
          <w:p w14:paraId="210D0431" w14:textId="6FDBBD38" w:rsidR="00AE505F" w:rsidRPr="00641D83" w:rsidRDefault="00641D83" w:rsidP="00AE505F">
            <w:pPr>
              <w:pStyle w:val="TableFiguresBold0"/>
            </w:pPr>
            <w:r w:rsidRPr="00641D83">
              <w:t>35</w:t>
            </w:r>
          </w:p>
        </w:tc>
        <w:tc>
          <w:tcPr>
            <w:tcW w:w="1311" w:type="dxa"/>
            <w:shd w:val="clear" w:color="auto" w:fill="auto"/>
          </w:tcPr>
          <w:p w14:paraId="0B667DB5" w14:textId="17357A0B" w:rsidR="00AE505F" w:rsidRPr="00641D83" w:rsidRDefault="00641D83" w:rsidP="00AE505F">
            <w:pPr>
              <w:pStyle w:val="TableFiguresBold0"/>
            </w:pPr>
            <w:r w:rsidRPr="00641D83">
              <w:t>571</w:t>
            </w:r>
          </w:p>
        </w:tc>
        <w:tc>
          <w:tcPr>
            <w:tcW w:w="1155" w:type="dxa"/>
            <w:shd w:val="clear" w:color="auto" w:fill="auto"/>
          </w:tcPr>
          <w:p w14:paraId="75F13B2D" w14:textId="53C73E79" w:rsidR="00AE505F" w:rsidRPr="00641D83" w:rsidRDefault="00641D83" w:rsidP="00AE505F">
            <w:pPr>
              <w:pStyle w:val="TableFiguresBold0"/>
            </w:pPr>
            <w:r w:rsidRPr="00641D83">
              <w:t>606</w:t>
            </w:r>
          </w:p>
        </w:tc>
      </w:tr>
      <w:tr w:rsidR="005F6D8A" w:rsidRPr="00641D83" w14:paraId="44D657D8" w14:textId="77777777" w:rsidTr="00CA0FDF">
        <w:tc>
          <w:tcPr>
            <w:tcW w:w="7081" w:type="dxa"/>
            <w:shd w:val="clear" w:color="auto" w:fill="auto"/>
            <w:vAlign w:val="bottom"/>
          </w:tcPr>
          <w:p w14:paraId="18DF9BBB" w14:textId="77777777" w:rsidR="00AE505F" w:rsidRPr="00641D83" w:rsidRDefault="00AE505F" w:rsidP="00AE505F">
            <w:pPr>
              <w:pStyle w:val="Tabletext"/>
              <w:rPr>
                <w:szCs w:val="20"/>
              </w:rPr>
            </w:pPr>
            <w:r w:rsidRPr="00641D83">
              <w:rPr>
                <w:szCs w:val="20"/>
              </w:rPr>
              <w:t>Disposals</w:t>
            </w:r>
          </w:p>
        </w:tc>
        <w:tc>
          <w:tcPr>
            <w:tcW w:w="999" w:type="dxa"/>
            <w:shd w:val="clear" w:color="auto" w:fill="auto"/>
          </w:tcPr>
          <w:p w14:paraId="55661DEA" w14:textId="7CB335FD" w:rsidR="00AE505F" w:rsidRPr="00641D83" w:rsidRDefault="00AE505F" w:rsidP="00512ADA">
            <w:pPr>
              <w:pStyle w:val="TableFiguresBracketsBold"/>
            </w:pPr>
            <w:r w:rsidRPr="00641D83">
              <w:t>(</w:t>
            </w:r>
            <w:r w:rsidR="00641D83" w:rsidRPr="00641D83">
              <w:t>491</w:t>
            </w:r>
            <w:r w:rsidRPr="00641D83">
              <w:t>)</w:t>
            </w:r>
          </w:p>
        </w:tc>
        <w:tc>
          <w:tcPr>
            <w:tcW w:w="1311" w:type="dxa"/>
            <w:shd w:val="clear" w:color="auto" w:fill="auto"/>
          </w:tcPr>
          <w:p w14:paraId="499670B3" w14:textId="24CF1132" w:rsidR="00AE505F" w:rsidRPr="00641D83" w:rsidRDefault="00AE505F" w:rsidP="00512ADA">
            <w:pPr>
              <w:pStyle w:val="TableFiguresBracketsBold"/>
            </w:pPr>
            <w:r w:rsidRPr="00641D83">
              <w:t>(</w:t>
            </w:r>
            <w:r w:rsidR="00641D83" w:rsidRPr="00641D83">
              <w:t>7</w:t>
            </w:r>
            <w:r w:rsidRPr="00641D83">
              <w:t>)</w:t>
            </w:r>
          </w:p>
        </w:tc>
        <w:tc>
          <w:tcPr>
            <w:tcW w:w="1155" w:type="dxa"/>
            <w:shd w:val="clear" w:color="auto" w:fill="auto"/>
          </w:tcPr>
          <w:p w14:paraId="2B6E62F0" w14:textId="2265AB0B" w:rsidR="00AE505F" w:rsidRPr="00641D83" w:rsidRDefault="00AE505F" w:rsidP="00512ADA">
            <w:pPr>
              <w:pStyle w:val="TableFiguresBracketsBold"/>
            </w:pPr>
            <w:r w:rsidRPr="00641D83">
              <w:t>(</w:t>
            </w:r>
            <w:r w:rsidR="00641D83" w:rsidRPr="00641D83">
              <w:t>498</w:t>
            </w:r>
            <w:r w:rsidRPr="00641D83">
              <w:t>)</w:t>
            </w:r>
          </w:p>
        </w:tc>
      </w:tr>
      <w:tr w:rsidR="005F6D8A" w:rsidRPr="00641D83" w14:paraId="1C3BB054" w14:textId="77777777" w:rsidTr="00CA0FDF">
        <w:tc>
          <w:tcPr>
            <w:tcW w:w="7081" w:type="dxa"/>
            <w:shd w:val="clear" w:color="auto" w:fill="auto"/>
            <w:vAlign w:val="bottom"/>
          </w:tcPr>
          <w:p w14:paraId="6DF4DE52" w14:textId="77777777" w:rsidR="00AE505F" w:rsidRPr="00641D83" w:rsidRDefault="00AE505F" w:rsidP="00AE505F">
            <w:pPr>
              <w:pStyle w:val="Tabletext"/>
              <w:rPr>
                <w:szCs w:val="20"/>
              </w:rPr>
            </w:pPr>
            <w:r w:rsidRPr="00641D83">
              <w:rPr>
                <w:szCs w:val="20"/>
              </w:rPr>
              <w:t xml:space="preserve">Transfers on completion of development </w:t>
            </w:r>
          </w:p>
        </w:tc>
        <w:tc>
          <w:tcPr>
            <w:tcW w:w="999" w:type="dxa"/>
            <w:shd w:val="clear" w:color="auto" w:fill="auto"/>
          </w:tcPr>
          <w:p w14:paraId="6601DC5C" w14:textId="3D354C24" w:rsidR="00AE505F" w:rsidRPr="00641D83" w:rsidRDefault="00641D83" w:rsidP="00AE505F">
            <w:pPr>
              <w:pStyle w:val="TableFiguresBold0"/>
            </w:pPr>
            <w:r w:rsidRPr="00641D83">
              <w:t>926</w:t>
            </w:r>
          </w:p>
        </w:tc>
        <w:tc>
          <w:tcPr>
            <w:tcW w:w="1311" w:type="dxa"/>
            <w:shd w:val="clear" w:color="auto" w:fill="auto"/>
          </w:tcPr>
          <w:p w14:paraId="706F96E7" w14:textId="421838FB" w:rsidR="00AE505F" w:rsidRPr="00641D83" w:rsidRDefault="00AE505F" w:rsidP="00512ADA">
            <w:pPr>
              <w:pStyle w:val="TableFiguresBracketsBold"/>
            </w:pPr>
            <w:r w:rsidRPr="00641D83">
              <w:t>(</w:t>
            </w:r>
            <w:r w:rsidR="00641D83" w:rsidRPr="00641D83">
              <w:t>926</w:t>
            </w:r>
            <w:r w:rsidRPr="00641D83">
              <w:t>)</w:t>
            </w:r>
          </w:p>
        </w:tc>
        <w:tc>
          <w:tcPr>
            <w:tcW w:w="1155" w:type="dxa"/>
            <w:shd w:val="clear" w:color="auto" w:fill="auto"/>
          </w:tcPr>
          <w:p w14:paraId="03FD01D3" w14:textId="4873A4EB" w:rsidR="00AE505F" w:rsidRPr="00641D83" w:rsidRDefault="00AE505F" w:rsidP="00AE505F">
            <w:pPr>
              <w:pStyle w:val="TableFiguresBold0"/>
            </w:pPr>
            <w:r w:rsidRPr="00641D83">
              <w:rPr>
                <w:rFonts w:hAnsi="Delta BQ Medium"/>
              </w:rPr>
              <w:t>–</w:t>
            </w:r>
          </w:p>
        </w:tc>
      </w:tr>
      <w:tr w:rsidR="005F6D8A" w:rsidRPr="00641D83" w14:paraId="450B810F" w14:textId="77777777" w:rsidTr="00CA0FDF">
        <w:tc>
          <w:tcPr>
            <w:tcW w:w="7081" w:type="dxa"/>
            <w:shd w:val="clear" w:color="auto" w:fill="auto"/>
            <w:vAlign w:val="bottom"/>
          </w:tcPr>
          <w:p w14:paraId="38E85497" w14:textId="0541336C" w:rsidR="00AE505F" w:rsidRPr="00641D83" w:rsidRDefault="00AE505F" w:rsidP="00AE505F">
            <w:pPr>
              <w:pStyle w:val="Tabletext"/>
              <w:rPr>
                <w:szCs w:val="20"/>
              </w:rPr>
            </w:pPr>
            <w:r w:rsidRPr="00641D83">
              <w:rPr>
                <w:szCs w:val="20"/>
              </w:rPr>
              <w:t xml:space="preserve">Transfer </w:t>
            </w:r>
            <w:r w:rsidR="00D7207E">
              <w:rPr>
                <w:szCs w:val="20"/>
              </w:rPr>
              <w:t>to</w:t>
            </w:r>
            <w:r w:rsidRPr="00641D83">
              <w:rPr>
                <w:szCs w:val="20"/>
              </w:rPr>
              <w:t xml:space="preserve"> trading properties</w:t>
            </w:r>
          </w:p>
        </w:tc>
        <w:tc>
          <w:tcPr>
            <w:tcW w:w="999" w:type="dxa"/>
            <w:shd w:val="clear" w:color="auto" w:fill="auto"/>
          </w:tcPr>
          <w:p w14:paraId="44020909" w14:textId="3E976747" w:rsidR="00AE505F" w:rsidRPr="00641D83" w:rsidRDefault="00AE505F" w:rsidP="00AE505F">
            <w:pPr>
              <w:pStyle w:val="TableFiguresBold0"/>
            </w:pPr>
            <w:r w:rsidRPr="00641D83">
              <w:rPr>
                <w:rFonts w:hAnsi="Delta BQ Medium"/>
              </w:rPr>
              <w:t>–</w:t>
            </w:r>
          </w:p>
        </w:tc>
        <w:tc>
          <w:tcPr>
            <w:tcW w:w="1311" w:type="dxa"/>
            <w:shd w:val="clear" w:color="auto" w:fill="auto"/>
          </w:tcPr>
          <w:p w14:paraId="1D21727E" w14:textId="60D0B919" w:rsidR="00AE505F" w:rsidRPr="00641D83" w:rsidRDefault="00641D83" w:rsidP="007B28BE">
            <w:pPr>
              <w:pStyle w:val="TableFiguresBracketsBold"/>
            </w:pPr>
            <w:r w:rsidRPr="00641D83">
              <w:t>(11)</w:t>
            </w:r>
          </w:p>
        </w:tc>
        <w:tc>
          <w:tcPr>
            <w:tcW w:w="1155" w:type="dxa"/>
            <w:shd w:val="clear" w:color="auto" w:fill="auto"/>
          </w:tcPr>
          <w:p w14:paraId="2732058C" w14:textId="061CAF68" w:rsidR="00AE505F" w:rsidRPr="00641D83" w:rsidRDefault="00641D83" w:rsidP="007B28BE">
            <w:pPr>
              <w:pStyle w:val="TableFiguresBracketsBold"/>
            </w:pPr>
            <w:r w:rsidRPr="00641D83">
              <w:t>(11)</w:t>
            </w:r>
          </w:p>
        </w:tc>
      </w:tr>
      <w:tr w:rsidR="005F6D8A" w:rsidRPr="00641D83" w14:paraId="1E28029F" w14:textId="77777777" w:rsidTr="00CA0FDF">
        <w:tc>
          <w:tcPr>
            <w:tcW w:w="7081" w:type="dxa"/>
            <w:tcBorders>
              <w:bottom w:val="single" w:sz="4" w:space="0" w:color="A6A6A6" w:themeColor="background1" w:themeShade="A6"/>
            </w:tcBorders>
            <w:shd w:val="clear" w:color="auto" w:fill="auto"/>
            <w:vAlign w:val="bottom"/>
          </w:tcPr>
          <w:p w14:paraId="6562F4F0" w14:textId="77777777" w:rsidR="00AE505F" w:rsidRPr="00641D83" w:rsidRDefault="00AE505F" w:rsidP="00AE505F">
            <w:pPr>
              <w:pStyle w:val="Tabletext"/>
              <w:rPr>
                <w:szCs w:val="20"/>
              </w:rPr>
            </w:pPr>
            <w:r w:rsidRPr="00641D83">
              <w:rPr>
                <w:szCs w:val="20"/>
              </w:rPr>
              <w:t>Revaluation surplus during the year</w:t>
            </w:r>
          </w:p>
        </w:tc>
        <w:tc>
          <w:tcPr>
            <w:tcW w:w="999" w:type="dxa"/>
            <w:tcBorders>
              <w:bottom w:val="single" w:sz="4" w:space="0" w:color="A6A6A6" w:themeColor="background1" w:themeShade="A6"/>
            </w:tcBorders>
            <w:shd w:val="clear" w:color="auto" w:fill="auto"/>
          </w:tcPr>
          <w:p w14:paraId="205B88E3" w14:textId="191912BC" w:rsidR="00AE505F" w:rsidRPr="00641D83" w:rsidRDefault="00641D83" w:rsidP="00AE505F">
            <w:pPr>
              <w:pStyle w:val="TableFiguresBold0"/>
            </w:pPr>
            <w:r w:rsidRPr="00641D83">
              <w:t>3,110</w:t>
            </w:r>
          </w:p>
        </w:tc>
        <w:tc>
          <w:tcPr>
            <w:tcW w:w="1311" w:type="dxa"/>
            <w:tcBorders>
              <w:bottom w:val="single" w:sz="4" w:space="0" w:color="A6A6A6" w:themeColor="background1" w:themeShade="A6"/>
            </w:tcBorders>
            <w:shd w:val="clear" w:color="auto" w:fill="auto"/>
          </w:tcPr>
          <w:p w14:paraId="729F1CF1" w14:textId="26E7B7F9" w:rsidR="00AE505F" w:rsidRPr="00641D83" w:rsidRDefault="00641D83" w:rsidP="00AE505F">
            <w:pPr>
              <w:pStyle w:val="TableFiguresBold0"/>
            </w:pPr>
            <w:r w:rsidRPr="00641D83">
              <w:t>508</w:t>
            </w:r>
          </w:p>
        </w:tc>
        <w:tc>
          <w:tcPr>
            <w:tcW w:w="1155" w:type="dxa"/>
            <w:tcBorders>
              <w:bottom w:val="single" w:sz="4" w:space="0" w:color="A6A6A6" w:themeColor="background1" w:themeShade="A6"/>
            </w:tcBorders>
            <w:shd w:val="clear" w:color="auto" w:fill="auto"/>
          </w:tcPr>
          <w:p w14:paraId="5D263765" w14:textId="007ED4CA" w:rsidR="00AE505F" w:rsidRPr="00641D83" w:rsidRDefault="00641D83" w:rsidP="00AE505F">
            <w:pPr>
              <w:pStyle w:val="TableFiguresBold0"/>
            </w:pPr>
            <w:r w:rsidRPr="00641D83">
              <w:t>3,618</w:t>
            </w:r>
          </w:p>
        </w:tc>
      </w:tr>
      <w:tr w:rsidR="005F6D8A" w:rsidRPr="00641D83" w14:paraId="31F915F5" w14:textId="77777777" w:rsidTr="00CA0FDF">
        <w:tc>
          <w:tcPr>
            <w:tcW w:w="7081" w:type="dxa"/>
            <w:tcBorders>
              <w:top w:val="single" w:sz="4" w:space="0" w:color="A6A6A6" w:themeColor="background1" w:themeShade="A6"/>
            </w:tcBorders>
            <w:shd w:val="clear" w:color="auto" w:fill="auto"/>
            <w:vAlign w:val="bottom"/>
          </w:tcPr>
          <w:p w14:paraId="7FF95AEF" w14:textId="18068A6D" w:rsidR="00AE505F" w:rsidRPr="00641D83" w:rsidRDefault="00AE505F" w:rsidP="00AE505F">
            <w:pPr>
              <w:pStyle w:val="TabletextBold"/>
              <w:rPr>
                <w:szCs w:val="20"/>
              </w:rPr>
            </w:pPr>
            <w:r w:rsidRPr="00641D83">
              <w:rPr>
                <w:szCs w:val="20"/>
              </w:rPr>
              <w:t>At 31 December 202</w:t>
            </w:r>
            <w:r w:rsidR="00CB1B8E">
              <w:rPr>
                <w:szCs w:val="20"/>
              </w:rPr>
              <w:t>1</w:t>
            </w:r>
          </w:p>
        </w:tc>
        <w:tc>
          <w:tcPr>
            <w:tcW w:w="999" w:type="dxa"/>
            <w:tcBorders>
              <w:top w:val="single" w:sz="4" w:space="0" w:color="A6A6A6" w:themeColor="background1" w:themeShade="A6"/>
            </w:tcBorders>
            <w:shd w:val="clear" w:color="auto" w:fill="auto"/>
          </w:tcPr>
          <w:p w14:paraId="1C22867A" w14:textId="60E9A294" w:rsidR="00AE505F" w:rsidRPr="00641D83" w:rsidRDefault="00641D83" w:rsidP="00AE505F">
            <w:pPr>
              <w:pStyle w:val="TableFiguresBold0"/>
            </w:pPr>
            <w:r w:rsidRPr="00641D83">
              <w:t>13,815</w:t>
            </w:r>
          </w:p>
        </w:tc>
        <w:tc>
          <w:tcPr>
            <w:tcW w:w="1311" w:type="dxa"/>
            <w:tcBorders>
              <w:top w:val="single" w:sz="4" w:space="0" w:color="A6A6A6" w:themeColor="background1" w:themeShade="A6"/>
            </w:tcBorders>
            <w:shd w:val="clear" w:color="auto" w:fill="auto"/>
          </w:tcPr>
          <w:p w14:paraId="738DAF57" w14:textId="764CAC2A" w:rsidR="00AE505F" w:rsidRPr="00641D83" w:rsidRDefault="00641D83" w:rsidP="00AE505F">
            <w:pPr>
              <w:pStyle w:val="TableFiguresBold0"/>
            </w:pPr>
            <w:r w:rsidRPr="00641D83">
              <w:t>1,461</w:t>
            </w:r>
          </w:p>
        </w:tc>
        <w:tc>
          <w:tcPr>
            <w:tcW w:w="1155" w:type="dxa"/>
            <w:tcBorders>
              <w:top w:val="single" w:sz="4" w:space="0" w:color="A6A6A6" w:themeColor="background1" w:themeShade="A6"/>
            </w:tcBorders>
            <w:shd w:val="clear" w:color="auto" w:fill="auto"/>
          </w:tcPr>
          <w:p w14:paraId="1D8C7F37" w14:textId="274847A2" w:rsidR="00AE505F" w:rsidRPr="00641D83" w:rsidRDefault="00641D83" w:rsidP="00AE505F">
            <w:pPr>
              <w:pStyle w:val="TableFiguresBold0"/>
            </w:pPr>
            <w:r w:rsidRPr="00641D83">
              <w:t>15,276</w:t>
            </w:r>
          </w:p>
        </w:tc>
      </w:tr>
      <w:tr w:rsidR="005F6D8A" w:rsidRPr="00641D83" w14:paraId="1594F84F" w14:textId="77777777" w:rsidTr="00CA0FDF">
        <w:tc>
          <w:tcPr>
            <w:tcW w:w="7081" w:type="dxa"/>
            <w:tcBorders>
              <w:bottom w:val="single" w:sz="6" w:space="0" w:color="BFBFBF" w:themeColor="background1" w:themeShade="BF"/>
            </w:tcBorders>
            <w:shd w:val="clear" w:color="auto" w:fill="auto"/>
            <w:vAlign w:val="bottom"/>
          </w:tcPr>
          <w:p w14:paraId="682D31C3" w14:textId="77777777" w:rsidR="00AE505F" w:rsidRPr="00641D83" w:rsidRDefault="00AE505F" w:rsidP="00AE505F">
            <w:pPr>
              <w:pStyle w:val="Tabletext"/>
              <w:rPr>
                <w:szCs w:val="20"/>
              </w:rPr>
            </w:pPr>
            <w:r w:rsidRPr="00641D83">
              <w:rPr>
                <w:szCs w:val="20"/>
              </w:rPr>
              <w:t>Add tenant lease incentives, letting fees and rental guarantees</w:t>
            </w:r>
          </w:p>
        </w:tc>
        <w:tc>
          <w:tcPr>
            <w:tcW w:w="999" w:type="dxa"/>
            <w:tcBorders>
              <w:bottom w:val="single" w:sz="6" w:space="0" w:color="BFBFBF" w:themeColor="background1" w:themeShade="BF"/>
            </w:tcBorders>
            <w:shd w:val="clear" w:color="auto" w:fill="auto"/>
          </w:tcPr>
          <w:p w14:paraId="28DAF0C4" w14:textId="43F84199" w:rsidR="00AE505F" w:rsidRPr="00641D83" w:rsidRDefault="00641D83" w:rsidP="00AE505F">
            <w:pPr>
              <w:pStyle w:val="TableFiguresBold0"/>
            </w:pPr>
            <w:r w:rsidRPr="00641D83">
              <w:t>146</w:t>
            </w:r>
          </w:p>
        </w:tc>
        <w:tc>
          <w:tcPr>
            <w:tcW w:w="1311" w:type="dxa"/>
            <w:tcBorders>
              <w:bottom w:val="single" w:sz="6" w:space="0" w:color="BFBFBF" w:themeColor="background1" w:themeShade="BF"/>
            </w:tcBorders>
            <w:shd w:val="clear" w:color="auto" w:fill="auto"/>
          </w:tcPr>
          <w:p w14:paraId="72534A65" w14:textId="62F772BF" w:rsidR="00AE505F" w:rsidRPr="00FD1A13" w:rsidRDefault="00AE505F" w:rsidP="00FD1A13">
            <w:pPr>
              <w:pStyle w:val="TableFiguresBold0"/>
            </w:pPr>
            <w:r w:rsidRPr="007B28BE">
              <w:t>–</w:t>
            </w:r>
          </w:p>
        </w:tc>
        <w:tc>
          <w:tcPr>
            <w:tcW w:w="1155" w:type="dxa"/>
            <w:tcBorders>
              <w:bottom w:val="single" w:sz="6" w:space="0" w:color="BFBFBF" w:themeColor="background1" w:themeShade="BF"/>
            </w:tcBorders>
            <w:shd w:val="clear" w:color="auto" w:fill="auto"/>
          </w:tcPr>
          <w:p w14:paraId="0059F191" w14:textId="66031CFD" w:rsidR="00AE505F" w:rsidRPr="00641D83" w:rsidRDefault="00641D83" w:rsidP="00AE505F">
            <w:pPr>
              <w:pStyle w:val="TableFiguresBold0"/>
            </w:pPr>
            <w:r w:rsidRPr="00641D83">
              <w:t>146</w:t>
            </w:r>
          </w:p>
        </w:tc>
      </w:tr>
      <w:tr w:rsidR="005F6D8A" w:rsidRPr="00641D83" w14:paraId="48C6BEDA" w14:textId="77777777" w:rsidTr="00735AFD">
        <w:tc>
          <w:tcPr>
            <w:tcW w:w="7081" w:type="dxa"/>
            <w:shd w:val="clear" w:color="auto" w:fill="auto"/>
            <w:vAlign w:val="bottom"/>
          </w:tcPr>
          <w:p w14:paraId="543829E5" w14:textId="50894950" w:rsidR="00AE505F" w:rsidRPr="00641D83" w:rsidRDefault="00AE505F" w:rsidP="00AE505F">
            <w:pPr>
              <w:pStyle w:val="Tabletext"/>
              <w:rPr>
                <w:b/>
                <w:szCs w:val="20"/>
              </w:rPr>
            </w:pPr>
            <w:r w:rsidRPr="00641D83">
              <w:rPr>
                <w:b/>
                <w:szCs w:val="20"/>
              </w:rPr>
              <w:t>Investment properties excluding head lease ROU assets at 31 December 202</w:t>
            </w:r>
            <w:r w:rsidR="00641D83" w:rsidRPr="00641D83">
              <w:rPr>
                <w:b/>
                <w:szCs w:val="20"/>
              </w:rPr>
              <w:t>1</w:t>
            </w:r>
          </w:p>
        </w:tc>
        <w:tc>
          <w:tcPr>
            <w:tcW w:w="999" w:type="dxa"/>
            <w:shd w:val="clear" w:color="auto" w:fill="auto"/>
          </w:tcPr>
          <w:p w14:paraId="09AC22EA" w14:textId="41792C33" w:rsidR="00AE505F" w:rsidRPr="00641D83" w:rsidRDefault="00641D83" w:rsidP="00AE505F">
            <w:pPr>
              <w:pStyle w:val="TableFiguresBold0"/>
            </w:pPr>
            <w:r w:rsidRPr="00641D83">
              <w:t>13,961</w:t>
            </w:r>
          </w:p>
        </w:tc>
        <w:tc>
          <w:tcPr>
            <w:tcW w:w="1311" w:type="dxa"/>
            <w:shd w:val="clear" w:color="auto" w:fill="auto"/>
          </w:tcPr>
          <w:p w14:paraId="2BC433FD" w14:textId="3E91917B" w:rsidR="00AE505F" w:rsidRPr="00641D83" w:rsidRDefault="00641D83" w:rsidP="00AE505F">
            <w:pPr>
              <w:pStyle w:val="TableFiguresBold0"/>
            </w:pPr>
            <w:r w:rsidRPr="00641D83">
              <w:t>1,461</w:t>
            </w:r>
          </w:p>
        </w:tc>
        <w:tc>
          <w:tcPr>
            <w:tcW w:w="1155" w:type="dxa"/>
            <w:shd w:val="clear" w:color="auto" w:fill="auto"/>
          </w:tcPr>
          <w:p w14:paraId="210B479B" w14:textId="38D48890" w:rsidR="00AE505F" w:rsidRPr="00641D83" w:rsidRDefault="00641D83" w:rsidP="00AE505F">
            <w:pPr>
              <w:pStyle w:val="TableFiguresBold0"/>
            </w:pPr>
            <w:r w:rsidRPr="00641D83">
              <w:t>15,422</w:t>
            </w:r>
          </w:p>
        </w:tc>
      </w:tr>
      <w:tr w:rsidR="005F6D8A" w:rsidRPr="00641D83" w14:paraId="54FCBE2F" w14:textId="77777777" w:rsidTr="00CA0FDF">
        <w:tc>
          <w:tcPr>
            <w:tcW w:w="7081" w:type="dxa"/>
            <w:tcBorders>
              <w:bottom w:val="single" w:sz="6" w:space="0" w:color="BFBFBF" w:themeColor="background1" w:themeShade="BF"/>
            </w:tcBorders>
            <w:shd w:val="clear" w:color="auto" w:fill="auto"/>
            <w:vAlign w:val="bottom"/>
          </w:tcPr>
          <w:p w14:paraId="3157CDDD" w14:textId="085E3FBF" w:rsidR="00AE505F" w:rsidRPr="00641D83" w:rsidRDefault="00AE505F" w:rsidP="00AE505F">
            <w:pPr>
              <w:pStyle w:val="Tabletext"/>
              <w:rPr>
                <w:szCs w:val="20"/>
              </w:rPr>
            </w:pPr>
            <w:r w:rsidRPr="00641D83">
              <w:rPr>
                <w:szCs w:val="20"/>
              </w:rPr>
              <w:t>Add head lease liabilities (ROU assets)</w:t>
            </w:r>
            <w:r w:rsidRPr="00641D83">
              <w:rPr>
                <w:szCs w:val="20"/>
                <w:vertAlign w:val="superscript"/>
              </w:rPr>
              <w:t>1</w:t>
            </w:r>
          </w:p>
        </w:tc>
        <w:tc>
          <w:tcPr>
            <w:tcW w:w="999" w:type="dxa"/>
            <w:tcBorders>
              <w:bottom w:val="single" w:sz="6" w:space="0" w:color="BFBFBF" w:themeColor="background1" w:themeShade="BF"/>
            </w:tcBorders>
            <w:shd w:val="clear" w:color="auto" w:fill="auto"/>
          </w:tcPr>
          <w:p w14:paraId="10817001" w14:textId="3D8A5E38" w:rsidR="00AE505F" w:rsidRPr="00641D83" w:rsidRDefault="00641D83" w:rsidP="00AE505F">
            <w:pPr>
              <w:pStyle w:val="TableFiguresBold0"/>
            </w:pPr>
            <w:r w:rsidRPr="00641D83">
              <w:t>70</w:t>
            </w:r>
          </w:p>
        </w:tc>
        <w:tc>
          <w:tcPr>
            <w:tcW w:w="1311" w:type="dxa"/>
            <w:tcBorders>
              <w:bottom w:val="single" w:sz="6" w:space="0" w:color="BFBFBF" w:themeColor="background1" w:themeShade="BF"/>
            </w:tcBorders>
            <w:shd w:val="clear" w:color="auto" w:fill="auto"/>
          </w:tcPr>
          <w:p w14:paraId="50B28C3C" w14:textId="646C9892" w:rsidR="00AE505F" w:rsidRPr="00641D83" w:rsidRDefault="00AE505F" w:rsidP="00AE505F">
            <w:pPr>
              <w:pStyle w:val="TableFiguresBold0"/>
            </w:pPr>
            <w:r w:rsidRPr="00641D83">
              <w:rPr>
                <w:rFonts w:hAnsi="Delta BQ Medium"/>
              </w:rPr>
              <w:t>–</w:t>
            </w:r>
          </w:p>
        </w:tc>
        <w:tc>
          <w:tcPr>
            <w:tcW w:w="1155" w:type="dxa"/>
            <w:tcBorders>
              <w:bottom w:val="single" w:sz="6" w:space="0" w:color="BFBFBF" w:themeColor="background1" w:themeShade="BF"/>
            </w:tcBorders>
            <w:shd w:val="clear" w:color="auto" w:fill="auto"/>
          </w:tcPr>
          <w:p w14:paraId="6CBACAA3" w14:textId="03706C52" w:rsidR="00AE505F" w:rsidRPr="00641D83" w:rsidRDefault="00641D83" w:rsidP="00AE505F">
            <w:pPr>
              <w:pStyle w:val="TableFiguresBold0"/>
            </w:pPr>
            <w:r w:rsidRPr="00641D83">
              <w:t>70</w:t>
            </w:r>
          </w:p>
        </w:tc>
      </w:tr>
      <w:tr w:rsidR="00AE505F" w:rsidRPr="00641D83" w14:paraId="7576408B" w14:textId="77777777" w:rsidTr="00CA0FDF">
        <w:tc>
          <w:tcPr>
            <w:tcW w:w="7081" w:type="dxa"/>
            <w:tcBorders>
              <w:top w:val="single" w:sz="6" w:space="0" w:color="BFBFBF" w:themeColor="background1" w:themeShade="BF"/>
              <w:bottom w:val="single" w:sz="8" w:space="0" w:color="A6A6A6" w:themeColor="background1" w:themeShade="A6"/>
            </w:tcBorders>
            <w:shd w:val="clear" w:color="auto" w:fill="auto"/>
            <w:vAlign w:val="bottom"/>
          </w:tcPr>
          <w:p w14:paraId="0F069DC2" w14:textId="70942D8B" w:rsidR="00AE505F" w:rsidRPr="00641D83" w:rsidRDefault="00AE505F" w:rsidP="00AE505F">
            <w:pPr>
              <w:pStyle w:val="TabletextBold"/>
              <w:rPr>
                <w:szCs w:val="20"/>
              </w:rPr>
            </w:pPr>
            <w:r w:rsidRPr="00641D83">
              <w:rPr>
                <w:szCs w:val="20"/>
              </w:rPr>
              <w:t>Total investment properties at 31 December 202</w:t>
            </w:r>
            <w:r w:rsidR="00641D83" w:rsidRPr="00641D83">
              <w:rPr>
                <w:szCs w:val="20"/>
              </w:rPr>
              <w:t>1</w:t>
            </w:r>
          </w:p>
        </w:tc>
        <w:tc>
          <w:tcPr>
            <w:tcW w:w="999" w:type="dxa"/>
            <w:tcBorders>
              <w:top w:val="single" w:sz="6" w:space="0" w:color="BFBFBF" w:themeColor="background1" w:themeShade="BF"/>
              <w:bottom w:val="single" w:sz="8" w:space="0" w:color="A6A6A6" w:themeColor="background1" w:themeShade="A6"/>
            </w:tcBorders>
            <w:shd w:val="clear" w:color="auto" w:fill="auto"/>
          </w:tcPr>
          <w:p w14:paraId="0BDEE005" w14:textId="73BA5AF8" w:rsidR="00AE505F" w:rsidRPr="00641D83" w:rsidRDefault="00641D83" w:rsidP="00AE505F">
            <w:pPr>
              <w:pStyle w:val="TableFiguresBold0"/>
            </w:pPr>
            <w:r w:rsidRPr="00641D83">
              <w:t>14,031</w:t>
            </w:r>
          </w:p>
        </w:tc>
        <w:tc>
          <w:tcPr>
            <w:tcW w:w="1311" w:type="dxa"/>
            <w:tcBorders>
              <w:top w:val="single" w:sz="6" w:space="0" w:color="BFBFBF" w:themeColor="background1" w:themeShade="BF"/>
              <w:bottom w:val="single" w:sz="8" w:space="0" w:color="A6A6A6" w:themeColor="background1" w:themeShade="A6"/>
            </w:tcBorders>
            <w:shd w:val="clear" w:color="auto" w:fill="auto"/>
          </w:tcPr>
          <w:p w14:paraId="0044E2DD" w14:textId="3FF9328F" w:rsidR="00AE505F" w:rsidRPr="00641D83" w:rsidRDefault="00641D83" w:rsidP="00AE505F">
            <w:pPr>
              <w:pStyle w:val="TableFiguresBold0"/>
            </w:pPr>
            <w:r w:rsidRPr="00641D83">
              <w:t>1,461</w:t>
            </w:r>
          </w:p>
        </w:tc>
        <w:tc>
          <w:tcPr>
            <w:tcW w:w="1155" w:type="dxa"/>
            <w:tcBorders>
              <w:top w:val="single" w:sz="6" w:space="0" w:color="BFBFBF" w:themeColor="background1" w:themeShade="BF"/>
              <w:bottom w:val="single" w:sz="8" w:space="0" w:color="A6A6A6" w:themeColor="background1" w:themeShade="A6"/>
            </w:tcBorders>
            <w:shd w:val="clear" w:color="auto" w:fill="auto"/>
          </w:tcPr>
          <w:p w14:paraId="6DBFE30C" w14:textId="425F7B8E" w:rsidR="00AE505F" w:rsidRPr="00641D83" w:rsidRDefault="00641D83" w:rsidP="00AE505F">
            <w:pPr>
              <w:pStyle w:val="TableFiguresBold0"/>
            </w:pPr>
            <w:r w:rsidRPr="00641D83">
              <w:t>15,492</w:t>
            </w:r>
          </w:p>
        </w:tc>
      </w:tr>
    </w:tbl>
    <w:p w14:paraId="5CB4DB2F" w14:textId="77777777" w:rsidR="004D2298" w:rsidRPr="00641D83" w:rsidRDefault="004D2298" w:rsidP="00AE505F">
      <w:pPr>
        <w:pStyle w:val="FootnotesNoSpace"/>
      </w:pPr>
    </w:p>
    <w:p w14:paraId="54971898" w14:textId="7F97037A" w:rsidR="005E793C" w:rsidRPr="00641D83" w:rsidRDefault="00AE505F" w:rsidP="00AE505F">
      <w:pPr>
        <w:pStyle w:val="FootnotesNoSpace"/>
      </w:pPr>
      <w:r w:rsidRPr="00641D83">
        <w:t>1 At 31 December 202</w:t>
      </w:r>
      <w:r w:rsidR="00641D83" w:rsidRPr="00641D83">
        <w:t>1</w:t>
      </w:r>
      <w:r w:rsidRPr="00641D83">
        <w:t xml:space="preserve"> investment properties included £7</w:t>
      </w:r>
      <w:r w:rsidR="00641D83" w:rsidRPr="00641D83">
        <w:t>0</w:t>
      </w:r>
      <w:r w:rsidRPr="00641D83">
        <w:t xml:space="preserve"> million (20</w:t>
      </w:r>
      <w:r w:rsidR="00641D83" w:rsidRPr="00641D83">
        <w:t>20</w:t>
      </w:r>
      <w:r w:rsidRPr="00641D83">
        <w:t>: £7</w:t>
      </w:r>
      <w:r w:rsidR="00641D83" w:rsidRPr="00641D83">
        <w:t>6</w:t>
      </w:r>
      <w:r w:rsidRPr="00641D83">
        <w:t xml:space="preserve"> million) for the head lease liabilities recognised under IFRS 16.</w:t>
      </w:r>
    </w:p>
    <w:p w14:paraId="7EDCC303" w14:textId="77777777" w:rsidR="00641D83" w:rsidRDefault="00641D83" w:rsidP="00AE505F">
      <w:pPr>
        <w:pStyle w:val="Normal1"/>
      </w:pPr>
      <w:r>
        <w:t xml:space="preserve">Investment properties are stated at fair value as at 31 December 2021 based on external valuations performed by professionally qualified, independent valuers. The Group’s wholly-owned and joint venture property portfolio is valued by CBRE Ltd on a half-yearly basis. The valuations conform to International Valuation Standards and were arrived at by reference to market evidence of the transaction prices paid for similar properties. In estimating the fair value of the properties, the valuers consider the highest and best use of the properties. There has been no change to the valuation technique during the year. </w:t>
      </w:r>
    </w:p>
    <w:p w14:paraId="02982E27" w14:textId="77777777" w:rsidR="00641D83" w:rsidRDefault="00641D83" w:rsidP="00AE505F">
      <w:pPr>
        <w:pStyle w:val="Normal1"/>
      </w:pPr>
      <w:r>
        <w:t xml:space="preserve">CBRE Ltd also undertakes some professional and agency work on behalf of the Group, although this is limited relative to the activities provided by other advisors to the Group as a whole. </w:t>
      </w:r>
    </w:p>
    <w:p w14:paraId="65DC754A" w14:textId="77777777" w:rsidR="00641D83" w:rsidRDefault="00641D83" w:rsidP="00AE505F">
      <w:pPr>
        <w:pStyle w:val="Normal1"/>
      </w:pPr>
      <w:r>
        <w:t xml:space="preserve">Completed properties include buildings that are occupied or are available for occupation. Development properties include land available for development (land bank), land under development and construction in progress. </w:t>
      </w:r>
    </w:p>
    <w:p w14:paraId="4F4795C3" w14:textId="4559BDB9" w:rsidR="00641D83" w:rsidRDefault="00641D83" w:rsidP="00AE505F">
      <w:pPr>
        <w:pStyle w:val="Normal1"/>
      </w:pPr>
      <w:r>
        <w:t xml:space="preserve">The carrying value of investment properties situated on land held under leaseholds is £206 million (excluding head lease ROU assets) (2020: £179 million). </w:t>
      </w:r>
    </w:p>
    <w:p w14:paraId="287BFD3F" w14:textId="77777777" w:rsidR="005E793C" w:rsidRPr="00641D83" w:rsidRDefault="005E793C" w:rsidP="005E793C">
      <w:pPr>
        <w:pStyle w:val="Heading3"/>
      </w:pPr>
      <w:r w:rsidRPr="00641D83">
        <w:t>12(ii) Trading properties</w:t>
      </w:r>
    </w:p>
    <w:tbl>
      <w:tblPr>
        <w:tblW w:w="10544" w:type="dxa"/>
        <w:tblLayout w:type="fixed"/>
        <w:tblCellMar>
          <w:left w:w="0" w:type="dxa"/>
          <w:right w:w="0" w:type="dxa"/>
        </w:tblCellMar>
        <w:tblLook w:val="01E0" w:firstRow="1" w:lastRow="1" w:firstColumn="1" w:lastColumn="1" w:noHBand="0" w:noVBand="0"/>
      </w:tblPr>
      <w:tblGrid>
        <w:gridCol w:w="7100"/>
        <w:gridCol w:w="980"/>
        <w:gridCol w:w="1320"/>
        <w:gridCol w:w="1144"/>
      </w:tblGrid>
      <w:tr w:rsidR="005F6D8A" w:rsidRPr="00641D83" w14:paraId="78AFFD96" w14:textId="77777777" w:rsidTr="00E30618">
        <w:tc>
          <w:tcPr>
            <w:tcW w:w="7100" w:type="dxa"/>
            <w:tcBorders>
              <w:bottom w:val="single" w:sz="8" w:space="0" w:color="999999"/>
            </w:tcBorders>
            <w:shd w:val="clear" w:color="auto" w:fill="auto"/>
            <w:noWrap/>
            <w:vAlign w:val="bottom"/>
          </w:tcPr>
          <w:p w14:paraId="37AF2B69" w14:textId="77777777" w:rsidR="005E793C" w:rsidRPr="00641D83" w:rsidRDefault="005E793C" w:rsidP="00E30618">
            <w:pPr>
              <w:pStyle w:val="TableColHeads"/>
              <w:spacing w:line="160" w:lineRule="atLeast"/>
            </w:pPr>
          </w:p>
        </w:tc>
        <w:tc>
          <w:tcPr>
            <w:tcW w:w="980" w:type="dxa"/>
            <w:tcBorders>
              <w:bottom w:val="single" w:sz="8" w:space="0" w:color="999999"/>
            </w:tcBorders>
            <w:shd w:val="clear" w:color="auto" w:fill="auto"/>
            <w:vAlign w:val="bottom"/>
          </w:tcPr>
          <w:p w14:paraId="56212699" w14:textId="486D0F05" w:rsidR="005E793C" w:rsidRPr="00641D83" w:rsidRDefault="005E793C" w:rsidP="00E30618">
            <w:pPr>
              <w:pStyle w:val="TableColHeadsBold0"/>
            </w:pPr>
          </w:p>
        </w:tc>
        <w:tc>
          <w:tcPr>
            <w:tcW w:w="1320" w:type="dxa"/>
            <w:tcBorders>
              <w:bottom w:val="single" w:sz="8" w:space="0" w:color="999999"/>
            </w:tcBorders>
            <w:shd w:val="clear" w:color="auto" w:fill="auto"/>
            <w:vAlign w:val="bottom"/>
          </w:tcPr>
          <w:p w14:paraId="50D2920C" w14:textId="73F9F17F" w:rsidR="005E793C" w:rsidRPr="00641D83" w:rsidRDefault="009A6F1A" w:rsidP="00E30618">
            <w:pPr>
              <w:pStyle w:val="TableColHeadsBold0"/>
            </w:pPr>
            <w:r w:rsidRPr="00641D83">
              <w:t>20</w:t>
            </w:r>
            <w:r w:rsidR="00CA0FDF" w:rsidRPr="00641D83">
              <w:t>2</w:t>
            </w:r>
            <w:r w:rsidR="00641D83" w:rsidRPr="00641D83">
              <w:t>1</w:t>
            </w:r>
            <w:r w:rsidR="005E793C" w:rsidRPr="00641D83">
              <w:br/>
              <w:t xml:space="preserve"> £m </w:t>
            </w:r>
          </w:p>
        </w:tc>
        <w:tc>
          <w:tcPr>
            <w:tcW w:w="1144" w:type="dxa"/>
            <w:tcBorders>
              <w:bottom w:val="single" w:sz="8" w:space="0" w:color="999999"/>
            </w:tcBorders>
            <w:shd w:val="clear" w:color="auto" w:fill="auto"/>
            <w:vAlign w:val="bottom"/>
          </w:tcPr>
          <w:p w14:paraId="3939C7BA" w14:textId="64CB5755" w:rsidR="005E793C" w:rsidRPr="00641D83" w:rsidRDefault="005E793C" w:rsidP="00E30618">
            <w:pPr>
              <w:pStyle w:val="TableColHeadsBold0"/>
              <w:rPr>
                <w:b w:val="0"/>
              </w:rPr>
            </w:pPr>
            <w:r w:rsidRPr="00641D83">
              <w:rPr>
                <w:b w:val="0"/>
              </w:rPr>
              <w:t xml:space="preserve"> </w:t>
            </w:r>
            <w:r w:rsidR="009A6F1A" w:rsidRPr="00641D83">
              <w:rPr>
                <w:b w:val="0"/>
              </w:rPr>
              <w:t>20</w:t>
            </w:r>
            <w:r w:rsidR="00641D83" w:rsidRPr="00641D83">
              <w:rPr>
                <w:b w:val="0"/>
              </w:rPr>
              <w:t>20</w:t>
            </w:r>
            <w:r w:rsidRPr="00641D83">
              <w:rPr>
                <w:b w:val="0"/>
              </w:rPr>
              <w:br/>
              <w:t xml:space="preserve"> £m </w:t>
            </w:r>
          </w:p>
        </w:tc>
      </w:tr>
      <w:tr w:rsidR="005F6D8A" w:rsidRPr="00641D83" w14:paraId="4ADDADEE" w14:textId="77777777" w:rsidTr="00E30618">
        <w:tc>
          <w:tcPr>
            <w:tcW w:w="7100" w:type="dxa"/>
            <w:tcBorders>
              <w:top w:val="single" w:sz="8" w:space="0" w:color="999999"/>
            </w:tcBorders>
            <w:noWrap/>
            <w:vAlign w:val="bottom"/>
          </w:tcPr>
          <w:p w14:paraId="12A06D97" w14:textId="53200996" w:rsidR="005E793C" w:rsidRPr="00641D83" w:rsidRDefault="005E793C" w:rsidP="00E30618">
            <w:pPr>
              <w:pStyle w:val="TabletextBold"/>
            </w:pPr>
            <w:r w:rsidRPr="00641D83">
              <w:t xml:space="preserve">At 1 January </w:t>
            </w:r>
          </w:p>
        </w:tc>
        <w:tc>
          <w:tcPr>
            <w:tcW w:w="980" w:type="dxa"/>
            <w:tcBorders>
              <w:top w:val="single" w:sz="8" w:space="0" w:color="999999"/>
            </w:tcBorders>
            <w:shd w:val="clear" w:color="auto" w:fill="auto"/>
            <w:noWrap/>
            <w:vAlign w:val="bottom"/>
          </w:tcPr>
          <w:p w14:paraId="2F98E457" w14:textId="1AE5FE32" w:rsidR="005E793C" w:rsidRPr="00641D83" w:rsidRDefault="005E793C" w:rsidP="00E30618">
            <w:pPr>
              <w:pStyle w:val="TableFiguresBold0"/>
            </w:pPr>
          </w:p>
        </w:tc>
        <w:tc>
          <w:tcPr>
            <w:tcW w:w="1320" w:type="dxa"/>
            <w:tcBorders>
              <w:top w:val="single" w:sz="8" w:space="0" w:color="999999"/>
            </w:tcBorders>
            <w:shd w:val="clear" w:color="auto" w:fill="auto"/>
            <w:noWrap/>
            <w:vAlign w:val="bottom"/>
          </w:tcPr>
          <w:p w14:paraId="177CB713" w14:textId="3C4E0B5E" w:rsidR="005E793C" w:rsidRPr="00641D83" w:rsidRDefault="00641D83" w:rsidP="00E30618">
            <w:pPr>
              <w:pStyle w:val="TableFiguresBold0"/>
            </w:pPr>
            <w:r w:rsidRPr="00641D83">
              <w:t>52</w:t>
            </w:r>
          </w:p>
        </w:tc>
        <w:tc>
          <w:tcPr>
            <w:tcW w:w="1144" w:type="dxa"/>
            <w:tcBorders>
              <w:top w:val="single" w:sz="8" w:space="0" w:color="999999"/>
            </w:tcBorders>
            <w:shd w:val="clear" w:color="auto" w:fill="auto"/>
            <w:noWrap/>
            <w:vAlign w:val="bottom"/>
          </w:tcPr>
          <w:p w14:paraId="268802BC" w14:textId="77BF3255" w:rsidR="005E793C" w:rsidRPr="00641D83" w:rsidRDefault="00641D83" w:rsidP="00512ADA">
            <w:pPr>
              <w:pStyle w:val="TableFigures"/>
            </w:pPr>
            <w:r w:rsidRPr="00641D83">
              <w:t>20</w:t>
            </w:r>
          </w:p>
        </w:tc>
      </w:tr>
      <w:tr w:rsidR="005F6D8A" w:rsidRPr="00641D83" w14:paraId="47790724" w14:textId="77777777" w:rsidTr="00E30618">
        <w:tc>
          <w:tcPr>
            <w:tcW w:w="7100" w:type="dxa"/>
            <w:noWrap/>
            <w:vAlign w:val="bottom"/>
          </w:tcPr>
          <w:p w14:paraId="35664FD0" w14:textId="77777777" w:rsidR="005E793C" w:rsidRPr="00641D83" w:rsidRDefault="005E793C" w:rsidP="00E30618">
            <w:pPr>
              <w:pStyle w:val="Tabletext"/>
              <w:rPr>
                <w:szCs w:val="20"/>
              </w:rPr>
            </w:pPr>
            <w:r w:rsidRPr="00641D83">
              <w:rPr>
                <w:szCs w:val="20"/>
              </w:rPr>
              <w:t>Exchange movement</w:t>
            </w:r>
          </w:p>
        </w:tc>
        <w:tc>
          <w:tcPr>
            <w:tcW w:w="980" w:type="dxa"/>
            <w:shd w:val="clear" w:color="auto" w:fill="auto"/>
            <w:noWrap/>
            <w:vAlign w:val="bottom"/>
          </w:tcPr>
          <w:p w14:paraId="3110BBED" w14:textId="045593AB" w:rsidR="005E793C" w:rsidRPr="00641D83" w:rsidRDefault="005E793C" w:rsidP="00E30618">
            <w:pPr>
              <w:pStyle w:val="TableFiguresBold0"/>
            </w:pPr>
          </w:p>
        </w:tc>
        <w:tc>
          <w:tcPr>
            <w:tcW w:w="1320" w:type="dxa"/>
            <w:shd w:val="clear" w:color="auto" w:fill="auto"/>
            <w:noWrap/>
            <w:vAlign w:val="bottom"/>
          </w:tcPr>
          <w:p w14:paraId="6A063302" w14:textId="2EB0E5AF" w:rsidR="005E793C" w:rsidRPr="00641D83" w:rsidRDefault="00641D83" w:rsidP="007B28BE">
            <w:pPr>
              <w:pStyle w:val="TableFiguresBracketsBold"/>
            </w:pPr>
            <w:r w:rsidRPr="00641D83">
              <w:t>(2)</w:t>
            </w:r>
          </w:p>
        </w:tc>
        <w:tc>
          <w:tcPr>
            <w:tcW w:w="1144" w:type="dxa"/>
            <w:shd w:val="clear" w:color="auto" w:fill="auto"/>
            <w:noWrap/>
            <w:vAlign w:val="bottom"/>
          </w:tcPr>
          <w:p w14:paraId="0ADFD19C" w14:textId="25CBCFD4" w:rsidR="005E793C" w:rsidRPr="00641D83" w:rsidRDefault="00641D83" w:rsidP="007B28BE">
            <w:pPr>
              <w:pStyle w:val="TableFigures"/>
            </w:pPr>
            <w:r w:rsidRPr="00641D83">
              <w:t>1</w:t>
            </w:r>
          </w:p>
        </w:tc>
      </w:tr>
      <w:tr w:rsidR="005F6D8A" w:rsidRPr="00641D83" w14:paraId="257102C5" w14:textId="77777777" w:rsidTr="00E30618">
        <w:tc>
          <w:tcPr>
            <w:tcW w:w="7100" w:type="dxa"/>
            <w:noWrap/>
            <w:vAlign w:val="bottom"/>
          </w:tcPr>
          <w:p w14:paraId="11D58732" w14:textId="54CEBD97" w:rsidR="00CA0FDF" w:rsidRPr="00641D83" w:rsidRDefault="00CA0FDF" w:rsidP="00E30618">
            <w:pPr>
              <w:pStyle w:val="Tabletext"/>
              <w:rPr>
                <w:szCs w:val="20"/>
              </w:rPr>
            </w:pPr>
            <w:r w:rsidRPr="00641D83">
              <w:rPr>
                <w:szCs w:val="20"/>
              </w:rPr>
              <w:t>Property acquisitions</w:t>
            </w:r>
          </w:p>
        </w:tc>
        <w:tc>
          <w:tcPr>
            <w:tcW w:w="980" w:type="dxa"/>
            <w:shd w:val="clear" w:color="auto" w:fill="auto"/>
            <w:noWrap/>
            <w:vAlign w:val="bottom"/>
          </w:tcPr>
          <w:p w14:paraId="47B05152" w14:textId="77777777" w:rsidR="00CA0FDF" w:rsidRPr="00641D83" w:rsidRDefault="00CA0FDF" w:rsidP="00E30618">
            <w:pPr>
              <w:pStyle w:val="TableFiguresBold0"/>
            </w:pPr>
          </w:p>
        </w:tc>
        <w:tc>
          <w:tcPr>
            <w:tcW w:w="1320" w:type="dxa"/>
            <w:shd w:val="clear" w:color="auto" w:fill="auto"/>
            <w:noWrap/>
            <w:vAlign w:val="bottom"/>
          </w:tcPr>
          <w:p w14:paraId="522C8D8E" w14:textId="2E063A60" w:rsidR="00CA0FDF" w:rsidRPr="00641D83" w:rsidRDefault="00641D83" w:rsidP="00512ADA">
            <w:pPr>
              <w:pStyle w:val="TableFiguresBold0"/>
            </w:pPr>
            <w:r w:rsidRPr="00641D83">
              <w:t>8</w:t>
            </w:r>
          </w:p>
        </w:tc>
        <w:tc>
          <w:tcPr>
            <w:tcW w:w="1144" w:type="dxa"/>
            <w:shd w:val="clear" w:color="auto" w:fill="auto"/>
            <w:noWrap/>
            <w:vAlign w:val="bottom"/>
          </w:tcPr>
          <w:p w14:paraId="123F6777" w14:textId="0FC66B22" w:rsidR="00CA0FDF" w:rsidRPr="00641D83" w:rsidRDefault="00641D83" w:rsidP="00512ADA">
            <w:pPr>
              <w:pStyle w:val="TableFigures"/>
            </w:pPr>
            <w:r w:rsidRPr="00641D83">
              <w:t>34</w:t>
            </w:r>
          </w:p>
        </w:tc>
      </w:tr>
      <w:tr w:rsidR="005F6D8A" w:rsidRPr="00641D83" w14:paraId="7302D5B2" w14:textId="77777777" w:rsidTr="00E30618">
        <w:tc>
          <w:tcPr>
            <w:tcW w:w="7100" w:type="dxa"/>
            <w:noWrap/>
            <w:vAlign w:val="bottom"/>
          </w:tcPr>
          <w:p w14:paraId="0913D622" w14:textId="745E3EFD" w:rsidR="005E793C" w:rsidRPr="00641D83" w:rsidRDefault="005E793C" w:rsidP="00E30618">
            <w:pPr>
              <w:pStyle w:val="Tabletext"/>
              <w:rPr>
                <w:szCs w:val="20"/>
              </w:rPr>
            </w:pPr>
            <w:r w:rsidRPr="00641D83">
              <w:rPr>
                <w:szCs w:val="20"/>
              </w:rPr>
              <w:t>Additions</w:t>
            </w:r>
            <w:r w:rsidR="00CA0FDF" w:rsidRPr="00641D83">
              <w:rPr>
                <w:szCs w:val="20"/>
              </w:rPr>
              <w:t xml:space="preserve"> to existing trading properties</w:t>
            </w:r>
          </w:p>
        </w:tc>
        <w:tc>
          <w:tcPr>
            <w:tcW w:w="980" w:type="dxa"/>
            <w:shd w:val="clear" w:color="auto" w:fill="auto"/>
            <w:noWrap/>
            <w:vAlign w:val="bottom"/>
          </w:tcPr>
          <w:p w14:paraId="590A98F6" w14:textId="620EAFE1" w:rsidR="005E793C" w:rsidRPr="00641D83" w:rsidRDefault="005E793C" w:rsidP="00E30618">
            <w:pPr>
              <w:pStyle w:val="TableFiguresBold0"/>
            </w:pPr>
          </w:p>
        </w:tc>
        <w:tc>
          <w:tcPr>
            <w:tcW w:w="1320" w:type="dxa"/>
            <w:shd w:val="clear" w:color="auto" w:fill="auto"/>
            <w:noWrap/>
            <w:vAlign w:val="bottom"/>
          </w:tcPr>
          <w:p w14:paraId="069B0191" w14:textId="1E5343F4" w:rsidR="005E793C" w:rsidRPr="00641D83" w:rsidRDefault="00641D83" w:rsidP="00E30618">
            <w:pPr>
              <w:pStyle w:val="TableFiguresBold0"/>
            </w:pPr>
            <w:r w:rsidRPr="00641D83">
              <w:t>17</w:t>
            </w:r>
          </w:p>
        </w:tc>
        <w:tc>
          <w:tcPr>
            <w:tcW w:w="1144" w:type="dxa"/>
            <w:shd w:val="clear" w:color="auto" w:fill="auto"/>
            <w:noWrap/>
            <w:vAlign w:val="bottom"/>
          </w:tcPr>
          <w:p w14:paraId="0397D63F" w14:textId="6B578597" w:rsidR="005E793C" w:rsidRPr="00641D83" w:rsidRDefault="00641D83" w:rsidP="00512ADA">
            <w:pPr>
              <w:pStyle w:val="TableFigures"/>
            </w:pPr>
            <w:r w:rsidRPr="00641D83">
              <w:t>14</w:t>
            </w:r>
          </w:p>
        </w:tc>
      </w:tr>
      <w:tr w:rsidR="005F6D8A" w:rsidRPr="00641D83" w14:paraId="2543F61E" w14:textId="77777777" w:rsidTr="00E30618">
        <w:tc>
          <w:tcPr>
            <w:tcW w:w="7100" w:type="dxa"/>
            <w:noWrap/>
            <w:vAlign w:val="bottom"/>
          </w:tcPr>
          <w:p w14:paraId="4ECD1150" w14:textId="29D15012" w:rsidR="005E793C" w:rsidRPr="00641D83" w:rsidRDefault="005E793C" w:rsidP="00E30618">
            <w:pPr>
              <w:pStyle w:val="Tabletext"/>
              <w:rPr>
                <w:szCs w:val="20"/>
              </w:rPr>
            </w:pPr>
            <w:r w:rsidRPr="00641D83">
              <w:rPr>
                <w:szCs w:val="20"/>
              </w:rPr>
              <w:t>Disposals</w:t>
            </w:r>
            <w:r w:rsidR="009A6F1A" w:rsidRPr="00641D83">
              <w:rPr>
                <w:szCs w:val="20"/>
                <w:vertAlign w:val="superscript"/>
              </w:rPr>
              <w:t>1</w:t>
            </w:r>
          </w:p>
        </w:tc>
        <w:tc>
          <w:tcPr>
            <w:tcW w:w="980" w:type="dxa"/>
            <w:shd w:val="clear" w:color="auto" w:fill="auto"/>
            <w:noWrap/>
            <w:vAlign w:val="bottom"/>
          </w:tcPr>
          <w:p w14:paraId="2C1E0973" w14:textId="687E43BF" w:rsidR="005E793C" w:rsidRPr="00641D83" w:rsidRDefault="005E793C" w:rsidP="00E30618">
            <w:pPr>
              <w:pStyle w:val="TableFiguresBold0"/>
            </w:pPr>
          </w:p>
        </w:tc>
        <w:tc>
          <w:tcPr>
            <w:tcW w:w="1320" w:type="dxa"/>
            <w:shd w:val="clear" w:color="auto" w:fill="auto"/>
            <w:noWrap/>
            <w:vAlign w:val="bottom"/>
          </w:tcPr>
          <w:p w14:paraId="175D3D06" w14:textId="368061BC" w:rsidR="005E793C" w:rsidRPr="00641D83" w:rsidRDefault="00641D83" w:rsidP="003E2CC0">
            <w:pPr>
              <w:pStyle w:val="TableFiguresBracketsBold"/>
            </w:pPr>
            <w:r w:rsidRPr="00641D83">
              <w:t>(40)</w:t>
            </w:r>
          </w:p>
        </w:tc>
        <w:tc>
          <w:tcPr>
            <w:tcW w:w="1144" w:type="dxa"/>
            <w:shd w:val="clear" w:color="auto" w:fill="auto"/>
            <w:noWrap/>
            <w:vAlign w:val="bottom"/>
          </w:tcPr>
          <w:p w14:paraId="6EFAC427" w14:textId="37B41E5F" w:rsidR="005E793C" w:rsidRPr="00641D83" w:rsidRDefault="00641D83" w:rsidP="003E2CC0">
            <w:pPr>
              <w:pStyle w:val="TableFiguresBrackets"/>
            </w:pPr>
            <w:r w:rsidRPr="00641D83">
              <w:t>(16)</w:t>
            </w:r>
          </w:p>
        </w:tc>
      </w:tr>
      <w:tr w:rsidR="005F6D8A" w:rsidRPr="00641D83" w14:paraId="496D8C57" w14:textId="77777777" w:rsidTr="00E30618">
        <w:tc>
          <w:tcPr>
            <w:tcW w:w="7100" w:type="dxa"/>
            <w:noWrap/>
            <w:vAlign w:val="bottom"/>
          </w:tcPr>
          <w:p w14:paraId="48FCB978" w14:textId="2D533173" w:rsidR="009A6F1A" w:rsidRPr="00641D83" w:rsidRDefault="00CA0FDF" w:rsidP="00E30618">
            <w:pPr>
              <w:pStyle w:val="Tabletext"/>
              <w:rPr>
                <w:szCs w:val="20"/>
              </w:rPr>
            </w:pPr>
            <w:r w:rsidRPr="00641D83">
              <w:rPr>
                <w:szCs w:val="20"/>
              </w:rPr>
              <w:t>Increase</w:t>
            </w:r>
            <w:r w:rsidR="00641D83" w:rsidRPr="00641D83">
              <w:rPr>
                <w:szCs w:val="20"/>
              </w:rPr>
              <w:t xml:space="preserve"> </w:t>
            </w:r>
            <w:r w:rsidR="009A6F1A" w:rsidRPr="00641D83">
              <w:rPr>
                <w:szCs w:val="20"/>
              </w:rPr>
              <w:t>in provision for impairment during the year</w:t>
            </w:r>
          </w:p>
        </w:tc>
        <w:tc>
          <w:tcPr>
            <w:tcW w:w="980" w:type="dxa"/>
            <w:shd w:val="clear" w:color="auto" w:fill="auto"/>
            <w:noWrap/>
            <w:vAlign w:val="bottom"/>
          </w:tcPr>
          <w:p w14:paraId="226417EC" w14:textId="77777777" w:rsidR="009A6F1A" w:rsidRPr="00641D83" w:rsidRDefault="009A6F1A" w:rsidP="00E30618">
            <w:pPr>
              <w:pStyle w:val="TableFiguresBold0"/>
            </w:pPr>
          </w:p>
        </w:tc>
        <w:tc>
          <w:tcPr>
            <w:tcW w:w="1320" w:type="dxa"/>
            <w:shd w:val="clear" w:color="auto" w:fill="auto"/>
            <w:noWrap/>
            <w:vAlign w:val="bottom"/>
          </w:tcPr>
          <w:p w14:paraId="74F67EB7" w14:textId="78254D51" w:rsidR="009A6F1A" w:rsidRPr="00641D83" w:rsidRDefault="00CA0FDF" w:rsidP="00512ADA">
            <w:pPr>
              <w:pStyle w:val="TableFiguresBracketsBold"/>
            </w:pPr>
            <w:r w:rsidRPr="00641D83">
              <w:t>(1)</w:t>
            </w:r>
          </w:p>
        </w:tc>
        <w:tc>
          <w:tcPr>
            <w:tcW w:w="1144" w:type="dxa"/>
            <w:shd w:val="clear" w:color="auto" w:fill="auto"/>
            <w:noWrap/>
            <w:vAlign w:val="bottom"/>
          </w:tcPr>
          <w:p w14:paraId="2F682559" w14:textId="7D1A4695" w:rsidR="009A6F1A" w:rsidRPr="00641D83" w:rsidRDefault="00641D83" w:rsidP="00512ADA">
            <w:pPr>
              <w:pStyle w:val="TableFigures"/>
            </w:pPr>
            <w:r w:rsidRPr="00641D83">
              <w:t>–</w:t>
            </w:r>
          </w:p>
        </w:tc>
      </w:tr>
      <w:tr w:rsidR="005F6D8A" w:rsidRPr="00641D83" w14:paraId="6CA41C59" w14:textId="77777777" w:rsidTr="003E2CC0">
        <w:tc>
          <w:tcPr>
            <w:tcW w:w="7100" w:type="dxa"/>
            <w:tcBorders>
              <w:bottom w:val="single" w:sz="4" w:space="0" w:color="999999"/>
            </w:tcBorders>
            <w:shd w:val="clear" w:color="auto" w:fill="auto"/>
            <w:noWrap/>
            <w:vAlign w:val="bottom"/>
          </w:tcPr>
          <w:p w14:paraId="3B45B0BE" w14:textId="739E903B" w:rsidR="005E793C" w:rsidRPr="00641D83" w:rsidRDefault="005E793C" w:rsidP="00E30618">
            <w:pPr>
              <w:pStyle w:val="TableFiguresBracketsBold"/>
              <w:jc w:val="left"/>
              <w:rPr>
                <w:szCs w:val="20"/>
              </w:rPr>
            </w:pPr>
            <w:r w:rsidRPr="00641D83">
              <w:rPr>
                <w:b w:val="0"/>
                <w:szCs w:val="20"/>
              </w:rPr>
              <w:t>Transfer from</w:t>
            </w:r>
            <w:r w:rsidR="00641D83" w:rsidRPr="00641D83">
              <w:rPr>
                <w:b w:val="0"/>
                <w:szCs w:val="20"/>
              </w:rPr>
              <w:t>/(to)</w:t>
            </w:r>
            <w:r w:rsidRPr="00641D83">
              <w:rPr>
                <w:b w:val="0"/>
                <w:szCs w:val="20"/>
              </w:rPr>
              <w:t xml:space="preserve"> investment properties</w:t>
            </w:r>
          </w:p>
        </w:tc>
        <w:tc>
          <w:tcPr>
            <w:tcW w:w="980" w:type="dxa"/>
            <w:tcBorders>
              <w:bottom w:val="single" w:sz="4" w:space="0" w:color="999999"/>
            </w:tcBorders>
            <w:shd w:val="clear" w:color="auto" w:fill="auto"/>
            <w:noWrap/>
            <w:vAlign w:val="bottom"/>
          </w:tcPr>
          <w:p w14:paraId="7B9A4CAD" w14:textId="4EF9DDA3" w:rsidR="005E793C" w:rsidRPr="00641D83" w:rsidRDefault="005E793C" w:rsidP="00E30618">
            <w:pPr>
              <w:pStyle w:val="TableFiguresBracketsBold"/>
              <w:rPr>
                <w:szCs w:val="20"/>
              </w:rPr>
            </w:pPr>
          </w:p>
        </w:tc>
        <w:tc>
          <w:tcPr>
            <w:tcW w:w="1320" w:type="dxa"/>
            <w:tcBorders>
              <w:bottom w:val="single" w:sz="4" w:space="0" w:color="999999"/>
            </w:tcBorders>
            <w:shd w:val="clear" w:color="auto" w:fill="auto"/>
            <w:noWrap/>
            <w:vAlign w:val="bottom"/>
          </w:tcPr>
          <w:p w14:paraId="697C7903" w14:textId="61D9EA7C" w:rsidR="005E793C" w:rsidRPr="00641D83" w:rsidRDefault="00641D83" w:rsidP="007B28BE">
            <w:pPr>
              <w:pStyle w:val="TableFiguresBold0"/>
            </w:pPr>
            <w:r w:rsidRPr="00641D83">
              <w:t>11</w:t>
            </w:r>
          </w:p>
        </w:tc>
        <w:tc>
          <w:tcPr>
            <w:tcW w:w="1144" w:type="dxa"/>
            <w:tcBorders>
              <w:bottom w:val="single" w:sz="4" w:space="0" w:color="999999"/>
            </w:tcBorders>
            <w:shd w:val="clear" w:color="auto" w:fill="auto"/>
            <w:noWrap/>
            <w:vAlign w:val="bottom"/>
          </w:tcPr>
          <w:p w14:paraId="673B6525" w14:textId="54AB0A23" w:rsidR="005E793C" w:rsidRPr="00641D83" w:rsidRDefault="00641D83" w:rsidP="007B28BE">
            <w:pPr>
              <w:pStyle w:val="TableFiguresBrackets"/>
            </w:pPr>
            <w:r w:rsidRPr="00641D83">
              <w:t>(1)</w:t>
            </w:r>
          </w:p>
        </w:tc>
      </w:tr>
      <w:tr w:rsidR="005E793C" w:rsidRPr="00641D83" w14:paraId="387F5B54" w14:textId="77777777" w:rsidTr="003E2CC0">
        <w:tc>
          <w:tcPr>
            <w:tcW w:w="7100" w:type="dxa"/>
            <w:tcBorders>
              <w:top w:val="single" w:sz="4" w:space="0" w:color="999999"/>
              <w:bottom w:val="single" w:sz="8" w:space="0" w:color="999999"/>
            </w:tcBorders>
            <w:shd w:val="clear" w:color="auto" w:fill="auto"/>
            <w:noWrap/>
            <w:vAlign w:val="bottom"/>
          </w:tcPr>
          <w:p w14:paraId="6EE06F5A" w14:textId="5F019C22" w:rsidR="005E793C" w:rsidRPr="00641D83" w:rsidRDefault="005E793C" w:rsidP="00E30618">
            <w:pPr>
              <w:pStyle w:val="TabletextBold"/>
            </w:pPr>
            <w:r w:rsidRPr="00641D83">
              <w:t xml:space="preserve">At 31 December </w:t>
            </w:r>
          </w:p>
        </w:tc>
        <w:tc>
          <w:tcPr>
            <w:tcW w:w="980" w:type="dxa"/>
            <w:tcBorders>
              <w:top w:val="single" w:sz="4" w:space="0" w:color="999999"/>
              <w:bottom w:val="single" w:sz="8" w:space="0" w:color="999999"/>
            </w:tcBorders>
            <w:shd w:val="clear" w:color="auto" w:fill="auto"/>
            <w:noWrap/>
            <w:vAlign w:val="bottom"/>
          </w:tcPr>
          <w:p w14:paraId="331CB4A0" w14:textId="62B89B97" w:rsidR="005E793C" w:rsidRPr="00641D83" w:rsidRDefault="005E793C" w:rsidP="00E30618">
            <w:pPr>
              <w:pStyle w:val="TableFiguresBold0"/>
            </w:pPr>
          </w:p>
        </w:tc>
        <w:tc>
          <w:tcPr>
            <w:tcW w:w="1320" w:type="dxa"/>
            <w:tcBorders>
              <w:top w:val="single" w:sz="4" w:space="0" w:color="999999"/>
              <w:bottom w:val="single" w:sz="8" w:space="0" w:color="999999"/>
            </w:tcBorders>
            <w:shd w:val="clear" w:color="auto" w:fill="auto"/>
            <w:noWrap/>
            <w:vAlign w:val="bottom"/>
          </w:tcPr>
          <w:p w14:paraId="6F4A2B60" w14:textId="4B062DC7" w:rsidR="005E793C" w:rsidRPr="00641D83" w:rsidRDefault="00641D83" w:rsidP="00E30618">
            <w:pPr>
              <w:pStyle w:val="TableFiguresBold0"/>
            </w:pPr>
            <w:r w:rsidRPr="00641D83">
              <w:t>45</w:t>
            </w:r>
          </w:p>
        </w:tc>
        <w:tc>
          <w:tcPr>
            <w:tcW w:w="1144" w:type="dxa"/>
            <w:tcBorders>
              <w:top w:val="single" w:sz="4" w:space="0" w:color="999999"/>
              <w:bottom w:val="single" w:sz="8" w:space="0" w:color="999999"/>
            </w:tcBorders>
            <w:shd w:val="clear" w:color="auto" w:fill="auto"/>
            <w:noWrap/>
            <w:vAlign w:val="bottom"/>
          </w:tcPr>
          <w:p w14:paraId="0B6EE622" w14:textId="7865608F" w:rsidR="005E793C" w:rsidRPr="00641D83" w:rsidRDefault="00641D83" w:rsidP="003E2CC0">
            <w:pPr>
              <w:pStyle w:val="TableFigures"/>
            </w:pPr>
            <w:r w:rsidRPr="00641D83">
              <w:t>52</w:t>
            </w:r>
          </w:p>
        </w:tc>
      </w:tr>
    </w:tbl>
    <w:p w14:paraId="16D8C9B1" w14:textId="77777777" w:rsidR="006B1B3B" w:rsidRPr="00641D83" w:rsidRDefault="006B1B3B" w:rsidP="00641D83">
      <w:pPr>
        <w:pStyle w:val="FootnotesNoSpace"/>
      </w:pPr>
    </w:p>
    <w:p w14:paraId="4C443B1E" w14:textId="7006909F" w:rsidR="00641D83" w:rsidRPr="00641D83" w:rsidRDefault="00641D83" w:rsidP="00641D83">
      <w:pPr>
        <w:pStyle w:val="FootnotesNoSpace"/>
      </w:pPr>
      <w:r>
        <w:t xml:space="preserve">1 </w:t>
      </w:r>
      <w:r w:rsidRPr="00641D83">
        <w:t xml:space="preserve">Profit on sale of trading properties of £7 million in the year (2020: £1 million) have been generated from total proceeds of £47 million (2020: £17 million), see Note 4, less costs of £40 million (2020: £16 million), </w:t>
      </w:r>
      <w:r w:rsidRPr="00335112">
        <w:t xml:space="preserve">see </w:t>
      </w:r>
      <w:r w:rsidRPr="007B28BE">
        <w:t>Note 5.</w:t>
      </w:r>
    </w:p>
    <w:p w14:paraId="02525020" w14:textId="1ED02EC9" w:rsidR="00641D83" w:rsidRDefault="00641D83" w:rsidP="00CA0FDF">
      <w:pPr>
        <w:pStyle w:val="Normal1"/>
      </w:pPr>
      <w:r>
        <w:t>Trading properties were externally valued, as detailed in Note 1</w:t>
      </w:r>
      <w:r w:rsidR="00CB1B8E">
        <w:t>2</w:t>
      </w:r>
      <w:r>
        <w:t xml:space="preserve">(i), resulting in an increase in the provision for impairment of £1 million (2020: £nil). Based on the fair value at 31 December 2021, the portfolio has unrecognised surplus of £1 million (2020: £1 million). </w:t>
      </w:r>
    </w:p>
    <w:p w14:paraId="2BFCB0D2" w14:textId="5CFDA72E" w:rsidR="00641D83" w:rsidRDefault="00641D83" w:rsidP="00CA0FDF">
      <w:pPr>
        <w:pStyle w:val="Normal1"/>
        <w:rPr>
          <w:color w:val="FF0000"/>
        </w:rPr>
      </w:pPr>
    </w:p>
    <w:p w14:paraId="0A037A43" w14:textId="77777777" w:rsidR="00B940B6" w:rsidRDefault="00B940B6" w:rsidP="00CA0FDF">
      <w:pPr>
        <w:pStyle w:val="Normal1"/>
        <w:rPr>
          <w:color w:val="FF0000"/>
        </w:rPr>
      </w:pPr>
    </w:p>
    <w:p w14:paraId="18DCCB2A" w14:textId="77777777" w:rsidR="00CB1B8E" w:rsidRDefault="00CB1B8E" w:rsidP="00CA0FDF">
      <w:pPr>
        <w:pStyle w:val="Normal1"/>
        <w:rPr>
          <w:color w:val="FF0000"/>
        </w:rPr>
      </w:pPr>
    </w:p>
    <w:p w14:paraId="50F989FD" w14:textId="77777777" w:rsidR="00641D83" w:rsidRPr="005F6D8A" w:rsidRDefault="00641D83" w:rsidP="00CA0FDF">
      <w:pPr>
        <w:pStyle w:val="Normal1"/>
        <w:rPr>
          <w:color w:val="FF0000"/>
        </w:rPr>
      </w:pPr>
    </w:p>
    <w:p w14:paraId="3F95D5DD" w14:textId="375D7B39" w:rsidR="005E793C" w:rsidRPr="00431A19" w:rsidRDefault="005E793C" w:rsidP="005E793C">
      <w:pPr>
        <w:pStyle w:val="Heading2"/>
      </w:pPr>
      <w:r w:rsidRPr="00431A19">
        <w:lastRenderedPageBreak/>
        <w:t>13. NET BORROWINGS AND FINANCIAL INSTRUMENTS</w:t>
      </w:r>
      <w:r w:rsidR="00431A19" w:rsidRPr="00431A19">
        <w:tab/>
      </w:r>
      <w:r w:rsidR="00431A19" w:rsidRPr="00431A19">
        <w:tab/>
      </w:r>
    </w:p>
    <w:tbl>
      <w:tblPr>
        <w:tblW w:w="10065" w:type="dxa"/>
        <w:tblLayout w:type="fixed"/>
        <w:tblCellMar>
          <w:left w:w="0" w:type="dxa"/>
          <w:right w:w="0" w:type="dxa"/>
        </w:tblCellMar>
        <w:tblLook w:val="01E0" w:firstRow="1" w:lastRow="1" w:firstColumn="1" w:lastColumn="1" w:noHBand="0" w:noVBand="0"/>
      </w:tblPr>
      <w:tblGrid>
        <w:gridCol w:w="7088"/>
        <w:gridCol w:w="1417"/>
        <w:gridCol w:w="1560"/>
      </w:tblGrid>
      <w:tr w:rsidR="005F6D8A" w:rsidRPr="00431A19" w14:paraId="4B4CAC81" w14:textId="77777777" w:rsidTr="00E30618">
        <w:tc>
          <w:tcPr>
            <w:tcW w:w="7088" w:type="dxa"/>
            <w:tcBorders>
              <w:bottom w:val="single" w:sz="8" w:space="0" w:color="999999"/>
            </w:tcBorders>
            <w:shd w:val="clear" w:color="auto" w:fill="auto"/>
            <w:vAlign w:val="bottom"/>
          </w:tcPr>
          <w:p w14:paraId="723A4E8E" w14:textId="77777777" w:rsidR="005E793C" w:rsidRPr="00431A19" w:rsidRDefault="005E793C" w:rsidP="00E30618">
            <w:pPr>
              <w:pStyle w:val="Tabletext"/>
              <w:spacing w:line="160" w:lineRule="atLeast"/>
            </w:pPr>
          </w:p>
        </w:tc>
        <w:tc>
          <w:tcPr>
            <w:tcW w:w="1417" w:type="dxa"/>
            <w:tcBorders>
              <w:bottom w:val="single" w:sz="8" w:space="0" w:color="999999"/>
            </w:tcBorders>
            <w:shd w:val="clear" w:color="auto" w:fill="auto"/>
            <w:vAlign w:val="bottom"/>
          </w:tcPr>
          <w:p w14:paraId="41E4A488" w14:textId="73FC9760" w:rsidR="005E793C" w:rsidRPr="00431A19" w:rsidRDefault="005E793C" w:rsidP="00E30618">
            <w:pPr>
              <w:pStyle w:val="TableColHeadsBold0"/>
            </w:pPr>
            <w:r w:rsidRPr="00431A19">
              <w:t>20</w:t>
            </w:r>
            <w:r w:rsidR="00CA0FDF" w:rsidRPr="00431A19">
              <w:t>2</w:t>
            </w:r>
            <w:r w:rsidR="00431A19" w:rsidRPr="00431A19">
              <w:t>1</w:t>
            </w:r>
            <w:r w:rsidRPr="00431A19">
              <w:br/>
              <w:t>£m</w:t>
            </w:r>
          </w:p>
        </w:tc>
        <w:tc>
          <w:tcPr>
            <w:tcW w:w="1560" w:type="dxa"/>
            <w:tcBorders>
              <w:bottom w:val="single" w:sz="8" w:space="0" w:color="999999"/>
            </w:tcBorders>
            <w:shd w:val="clear" w:color="auto" w:fill="auto"/>
            <w:vAlign w:val="bottom"/>
          </w:tcPr>
          <w:p w14:paraId="7B88D47D" w14:textId="5633C716" w:rsidR="005E793C" w:rsidRPr="00431A19" w:rsidRDefault="005E793C" w:rsidP="00E30618">
            <w:pPr>
              <w:pStyle w:val="TableColHeads"/>
              <w:spacing w:line="160" w:lineRule="atLeast"/>
            </w:pPr>
            <w:r w:rsidRPr="00431A19">
              <w:t>20</w:t>
            </w:r>
            <w:r w:rsidR="00431A19" w:rsidRPr="00431A19">
              <w:t>20</w:t>
            </w:r>
            <w:r w:rsidRPr="00431A19">
              <w:br/>
              <w:t>£m</w:t>
            </w:r>
          </w:p>
        </w:tc>
      </w:tr>
      <w:tr w:rsidR="005F6D8A" w:rsidRPr="00431A19" w14:paraId="5AFE61C7" w14:textId="77777777" w:rsidTr="00E30618">
        <w:tc>
          <w:tcPr>
            <w:tcW w:w="7088" w:type="dxa"/>
            <w:tcBorders>
              <w:top w:val="single" w:sz="8" w:space="0" w:color="999999"/>
              <w:bottom w:val="single" w:sz="4" w:space="0" w:color="999999"/>
            </w:tcBorders>
            <w:shd w:val="clear" w:color="auto" w:fill="auto"/>
            <w:vAlign w:val="bottom"/>
          </w:tcPr>
          <w:p w14:paraId="5782BCAF" w14:textId="77777777" w:rsidR="00CA0FDF" w:rsidRPr="00431A19" w:rsidRDefault="00CA0FDF" w:rsidP="00CA0FDF">
            <w:pPr>
              <w:pStyle w:val="Tabletext"/>
            </w:pPr>
            <w:r w:rsidRPr="00431A19">
              <w:t>In one year or less</w:t>
            </w:r>
          </w:p>
        </w:tc>
        <w:tc>
          <w:tcPr>
            <w:tcW w:w="1417" w:type="dxa"/>
            <w:tcBorders>
              <w:top w:val="single" w:sz="8" w:space="0" w:color="999999"/>
              <w:bottom w:val="single" w:sz="4" w:space="0" w:color="999999"/>
            </w:tcBorders>
            <w:shd w:val="clear" w:color="auto" w:fill="auto"/>
            <w:vAlign w:val="bottom"/>
          </w:tcPr>
          <w:p w14:paraId="4D8D6E06" w14:textId="36F50EBC" w:rsidR="00CA0FDF" w:rsidRPr="00431A19" w:rsidRDefault="00431A19" w:rsidP="00CA0FDF">
            <w:pPr>
              <w:pStyle w:val="TableFiguresBold0"/>
            </w:pPr>
            <w:r w:rsidRPr="00431A19">
              <w:t>–</w:t>
            </w:r>
          </w:p>
        </w:tc>
        <w:tc>
          <w:tcPr>
            <w:tcW w:w="1560" w:type="dxa"/>
            <w:tcBorders>
              <w:top w:val="single" w:sz="8" w:space="0" w:color="999999"/>
              <w:bottom w:val="single" w:sz="4" w:space="0" w:color="999999"/>
            </w:tcBorders>
            <w:shd w:val="clear" w:color="auto" w:fill="auto"/>
            <w:vAlign w:val="bottom"/>
          </w:tcPr>
          <w:p w14:paraId="45C2BDF6" w14:textId="1011C521" w:rsidR="00CA0FDF" w:rsidRPr="00431A19" w:rsidRDefault="00431A19" w:rsidP="00CA0FDF">
            <w:pPr>
              <w:pStyle w:val="TableFigures"/>
            </w:pPr>
            <w:r w:rsidRPr="00431A19">
              <w:t>1</w:t>
            </w:r>
          </w:p>
        </w:tc>
      </w:tr>
      <w:tr w:rsidR="005F6D8A" w:rsidRPr="00431A19" w14:paraId="670D9788" w14:textId="77777777" w:rsidTr="00E30618">
        <w:tc>
          <w:tcPr>
            <w:tcW w:w="7088" w:type="dxa"/>
            <w:tcBorders>
              <w:top w:val="single" w:sz="4" w:space="0" w:color="999999"/>
              <w:left w:val="single" w:sz="4" w:space="0" w:color="999999"/>
            </w:tcBorders>
            <w:shd w:val="clear" w:color="auto" w:fill="auto"/>
            <w:vAlign w:val="bottom"/>
          </w:tcPr>
          <w:p w14:paraId="6BFA0035" w14:textId="77777777" w:rsidR="00CA0FDF" w:rsidRPr="00431A19" w:rsidRDefault="00CA0FDF" w:rsidP="00CA0FDF">
            <w:pPr>
              <w:pStyle w:val="Tabletext"/>
            </w:pPr>
            <w:r w:rsidRPr="00431A19">
              <w:t>In more than one year but less than two</w:t>
            </w:r>
          </w:p>
        </w:tc>
        <w:tc>
          <w:tcPr>
            <w:tcW w:w="1417" w:type="dxa"/>
            <w:tcBorders>
              <w:top w:val="single" w:sz="4" w:space="0" w:color="999999"/>
            </w:tcBorders>
            <w:shd w:val="clear" w:color="auto" w:fill="auto"/>
            <w:vAlign w:val="bottom"/>
          </w:tcPr>
          <w:p w14:paraId="70E6E730" w14:textId="456D5048" w:rsidR="00CA0FDF" w:rsidRPr="00431A19" w:rsidRDefault="00431A19" w:rsidP="00CA0FDF">
            <w:pPr>
              <w:pStyle w:val="TableFiguresBold0"/>
            </w:pPr>
            <w:r w:rsidRPr="00431A19">
              <w:t>–</w:t>
            </w:r>
          </w:p>
        </w:tc>
        <w:tc>
          <w:tcPr>
            <w:tcW w:w="1560" w:type="dxa"/>
            <w:tcBorders>
              <w:top w:val="single" w:sz="4" w:space="0" w:color="999999"/>
              <w:right w:val="single" w:sz="4" w:space="0" w:color="999999"/>
            </w:tcBorders>
            <w:vAlign w:val="bottom"/>
          </w:tcPr>
          <w:p w14:paraId="6540190B" w14:textId="5E68B214" w:rsidR="00CA0FDF" w:rsidRPr="00431A19" w:rsidRDefault="00431A19" w:rsidP="00CA0FDF">
            <w:pPr>
              <w:pStyle w:val="TableFigures"/>
            </w:pPr>
            <w:r w:rsidRPr="00431A19">
              <w:t>1</w:t>
            </w:r>
          </w:p>
        </w:tc>
      </w:tr>
      <w:tr w:rsidR="005F6D8A" w:rsidRPr="00431A19" w14:paraId="3DAB34B2" w14:textId="77777777" w:rsidTr="00E30618">
        <w:tc>
          <w:tcPr>
            <w:tcW w:w="7088" w:type="dxa"/>
            <w:tcBorders>
              <w:left w:val="single" w:sz="4" w:space="0" w:color="999999"/>
            </w:tcBorders>
            <w:shd w:val="clear" w:color="auto" w:fill="auto"/>
            <w:vAlign w:val="bottom"/>
          </w:tcPr>
          <w:p w14:paraId="0F7B22C3" w14:textId="77777777" w:rsidR="00CA0FDF" w:rsidRPr="00431A19" w:rsidRDefault="00CA0FDF" w:rsidP="00CA0FDF">
            <w:pPr>
              <w:pStyle w:val="Tabletext"/>
            </w:pPr>
            <w:r w:rsidRPr="00431A19">
              <w:t>In more than two years but less than five</w:t>
            </w:r>
          </w:p>
        </w:tc>
        <w:tc>
          <w:tcPr>
            <w:tcW w:w="1417" w:type="dxa"/>
            <w:shd w:val="clear" w:color="auto" w:fill="auto"/>
            <w:vAlign w:val="bottom"/>
          </w:tcPr>
          <w:p w14:paraId="01F14AF7" w14:textId="17F9ACAE" w:rsidR="00CA0FDF" w:rsidRPr="00431A19" w:rsidRDefault="00431A19" w:rsidP="00CA0FDF">
            <w:pPr>
              <w:pStyle w:val="TableFiguresBold0"/>
            </w:pPr>
            <w:r w:rsidRPr="00431A19">
              <w:t>877</w:t>
            </w:r>
          </w:p>
        </w:tc>
        <w:tc>
          <w:tcPr>
            <w:tcW w:w="1560" w:type="dxa"/>
            <w:tcBorders>
              <w:right w:val="single" w:sz="4" w:space="0" w:color="999999"/>
            </w:tcBorders>
            <w:vAlign w:val="bottom"/>
          </w:tcPr>
          <w:p w14:paraId="20D59B15" w14:textId="407349D9" w:rsidR="00CA0FDF" w:rsidRPr="00431A19" w:rsidRDefault="00431A19" w:rsidP="00CA0FDF">
            <w:pPr>
              <w:pStyle w:val="TableFigures"/>
            </w:pPr>
            <w:r w:rsidRPr="00431A19">
              <w:t>218</w:t>
            </w:r>
          </w:p>
        </w:tc>
      </w:tr>
      <w:tr w:rsidR="005F6D8A" w:rsidRPr="00431A19" w14:paraId="3D246E0F" w14:textId="77777777" w:rsidTr="00E30618">
        <w:tc>
          <w:tcPr>
            <w:tcW w:w="7088" w:type="dxa"/>
            <w:tcBorders>
              <w:left w:val="single" w:sz="4" w:space="0" w:color="999999"/>
            </w:tcBorders>
            <w:shd w:val="clear" w:color="auto" w:fill="auto"/>
            <w:vAlign w:val="bottom"/>
          </w:tcPr>
          <w:p w14:paraId="6C1166C1" w14:textId="77777777" w:rsidR="00CA0FDF" w:rsidRPr="00431A19" w:rsidRDefault="00CA0FDF" w:rsidP="00CA0FDF">
            <w:pPr>
              <w:pStyle w:val="Tabletext"/>
            </w:pPr>
            <w:r w:rsidRPr="00431A19">
              <w:t>In more than five years but less than ten</w:t>
            </w:r>
          </w:p>
        </w:tc>
        <w:tc>
          <w:tcPr>
            <w:tcW w:w="1417" w:type="dxa"/>
            <w:shd w:val="clear" w:color="auto" w:fill="auto"/>
            <w:vAlign w:val="bottom"/>
          </w:tcPr>
          <w:p w14:paraId="729FEF00" w14:textId="36B09684" w:rsidR="00CA0FDF" w:rsidRPr="00431A19" w:rsidRDefault="00431A19" w:rsidP="00CA0FDF">
            <w:pPr>
              <w:pStyle w:val="TableFiguresBold0"/>
            </w:pPr>
            <w:r w:rsidRPr="00431A19">
              <w:t>1,308</w:t>
            </w:r>
          </w:p>
        </w:tc>
        <w:tc>
          <w:tcPr>
            <w:tcW w:w="1560" w:type="dxa"/>
            <w:tcBorders>
              <w:right w:val="single" w:sz="4" w:space="0" w:color="999999"/>
            </w:tcBorders>
            <w:vAlign w:val="bottom"/>
          </w:tcPr>
          <w:p w14:paraId="7CA0BA9F" w14:textId="04384052" w:rsidR="00CA0FDF" w:rsidRPr="00431A19" w:rsidRDefault="00431A19" w:rsidP="00CA0FDF">
            <w:pPr>
              <w:pStyle w:val="TableFigures"/>
            </w:pPr>
            <w:r w:rsidRPr="00431A19">
              <w:t>934</w:t>
            </w:r>
          </w:p>
        </w:tc>
      </w:tr>
      <w:tr w:rsidR="005F6D8A" w:rsidRPr="00431A19" w14:paraId="61991A67" w14:textId="77777777" w:rsidTr="00E30618">
        <w:tc>
          <w:tcPr>
            <w:tcW w:w="7088" w:type="dxa"/>
            <w:tcBorders>
              <w:left w:val="single" w:sz="4" w:space="0" w:color="999999"/>
              <w:bottom w:val="single" w:sz="4" w:space="0" w:color="999999"/>
            </w:tcBorders>
            <w:shd w:val="clear" w:color="auto" w:fill="auto"/>
            <w:vAlign w:val="bottom"/>
          </w:tcPr>
          <w:p w14:paraId="399EF883" w14:textId="77777777" w:rsidR="00CA0FDF" w:rsidRPr="00431A19" w:rsidRDefault="00CA0FDF" w:rsidP="00CA0FDF">
            <w:pPr>
              <w:pStyle w:val="Tabletext"/>
            </w:pPr>
            <w:r w:rsidRPr="00431A19">
              <w:t>In more than ten years</w:t>
            </w:r>
          </w:p>
        </w:tc>
        <w:tc>
          <w:tcPr>
            <w:tcW w:w="1417" w:type="dxa"/>
            <w:tcBorders>
              <w:bottom w:val="single" w:sz="4" w:space="0" w:color="999999"/>
            </w:tcBorders>
            <w:shd w:val="clear" w:color="auto" w:fill="auto"/>
            <w:vAlign w:val="bottom"/>
          </w:tcPr>
          <w:p w14:paraId="22B082DF" w14:textId="4DA08002" w:rsidR="00CA0FDF" w:rsidRPr="00431A19" w:rsidRDefault="00431A19" w:rsidP="00CA0FDF">
            <w:pPr>
              <w:pStyle w:val="TableFiguresBold0"/>
            </w:pPr>
            <w:r w:rsidRPr="00431A19">
              <w:t>1,221</w:t>
            </w:r>
          </w:p>
        </w:tc>
        <w:tc>
          <w:tcPr>
            <w:tcW w:w="1560" w:type="dxa"/>
            <w:tcBorders>
              <w:bottom w:val="single" w:sz="4" w:space="0" w:color="999999"/>
              <w:right w:val="single" w:sz="4" w:space="0" w:color="999999"/>
            </w:tcBorders>
            <w:vAlign w:val="bottom"/>
          </w:tcPr>
          <w:p w14:paraId="68997136" w14:textId="44EED30C" w:rsidR="00CA0FDF" w:rsidRPr="00431A19" w:rsidRDefault="00431A19" w:rsidP="00CA0FDF">
            <w:pPr>
              <w:pStyle w:val="TableFigures"/>
            </w:pPr>
            <w:r w:rsidRPr="00431A19">
              <w:t>1,260</w:t>
            </w:r>
          </w:p>
        </w:tc>
      </w:tr>
      <w:tr w:rsidR="005F6D8A" w:rsidRPr="00431A19" w14:paraId="0616EBDB" w14:textId="77777777" w:rsidTr="00E30618">
        <w:tc>
          <w:tcPr>
            <w:tcW w:w="7088" w:type="dxa"/>
            <w:tcBorders>
              <w:top w:val="single" w:sz="4" w:space="0" w:color="999999"/>
              <w:bottom w:val="single" w:sz="4" w:space="0" w:color="999999"/>
            </w:tcBorders>
            <w:shd w:val="clear" w:color="auto" w:fill="auto"/>
            <w:vAlign w:val="bottom"/>
          </w:tcPr>
          <w:p w14:paraId="4996CFF0" w14:textId="77777777" w:rsidR="00CA0FDF" w:rsidRPr="00431A19" w:rsidRDefault="00CA0FDF" w:rsidP="00CA0FDF">
            <w:pPr>
              <w:pStyle w:val="Tabletext"/>
            </w:pPr>
            <w:r w:rsidRPr="00431A19">
              <w:t>In more than one year</w:t>
            </w:r>
          </w:p>
        </w:tc>
        <w:tc>
          <w:tcPr>
            <w:tcW w:w="1417" w:type="dxa"/>
            <w:tcBorders>
              <w:top w:val="single" w:sz="4" w:space="0" w:color="999999"/>
              <w:bottom w:val="single" w:sz="4" w:space="0" w:color="999999"/>
            </w:tcBorders>
            <w:shd w:val="clear" w:color="auto" w:fill="auto"/>
            <w:vAlign w:val="bottom"/>
          </w:tcPr>
          <w:p w14:paraId="39B400F5" w14:textId="7C1CF42E" w:rsidR="00CA0FDF" w:rsidRPr="00431A19" w:rsidRDefault="00431A19" w:rsidP="00CA0FDF">
            <w:pPr>
              <w:pStyle w:val="TableFiguresBold0"/>
            </w:pPr>
            <w:r w:rsidRPr="00431A19">
              <w:t>3,406</w:t>
            </w:r>
          </w:p>
        </w:tc>
        <w:tc>
          <w:tcPr>
            <w:tcW w:w="1560" w:type="dxa"/>
            <w:tcBorders>
              <w:top w:val="single" w:sz="4" w:space="0" w:color="999999"/>
              <w:bottom w:val="single" w:sz="4" w:space="0" w:color="999999"/>
            </w:tcBorders>
            <w:shd w:val="clear" w:color="auto" w:fill="auto"/>
            <w:vAlign w:val="bottom"/>
          </w:tcPr>
          <w:p w14:paraId="49957784" w14:textId="13C063D5" w:rsidR="00CA0FDF" w:rsidRPr="00431A19" w:rsidRDefault="00431A19" w:rsidP="00CA0FDF">
            <w:pPr>
              <w:pStyle w:val="TableFigures"/>
            </w:pPr>
            <w:r w:rsidRPr="00431A19">
              <w:t>2,413</w:t>
            </w:r>
          </w:p>
        </w:tc>
      </w:tr>
      <w:tr w:rsidR="005F6D8A" w:rsidRPr="00431A19" w14:paraId="06FD569A" w14:textId="77777777" w:rsidTr="00E30618">
        <w:tc>
          <w:tcPr>
            <w:tcW w:w="7088" w:type="dxa"/>
            <w:tcBorders>
              <w:top w:val="single" w:sz="4" w:space="0" w:color="999999"/>
              <w:bottom w:val="single" w:sz="4" w:space="0" w:color="999999"/>
            </w:tcBorders>
            <w:shd w:val="clear" w:color="auto" w:fill="auto"/>
            <w:vAlign w:val="bottom"/>
          </w:tcPr>
          <w:p w14:paraId="3862EF6D" w14:textId="77777777" w:rsidR="00CA0FDF" w:rsidRPr="00431A19" w:rsidRDefault="00CA0FDF" w:rsidP="00CA0FDF">
            <w:pPr>
              <w:pStyle w:val="TabletextBold"/>
              <w:rPr>
                <w:szCs w:val="20"/>
              </w:rPr>
            </w:pPr>
            <w:r w:rsidRPr="00431A19">
              <w:rPr>
                <w:szCs w:val="20"/>
              </w:rPr>
              <w:t xml:space="preserve">Total borrowings </w:t>
            </w:r>
          </w:p>
        </w:tc>
        <w:tc>
          <w:tcPr>
            <w:tcW w:w="1417" w:type="dxa"/>
            <w:tcBorders>
              <w:top w:val="single" w:sz="4" w:space="0" w:color="999999"/>
              <w:bottom w:val="single" w:sz="4" w:space="0" w:color="999999"/>
            </w:tcBorders>
            <w:shd w:val="clear" w:color="auto" w:fill="auto"/>
            <w:vAlign w:val="bottom"/>
          </w:tcPr>
          <w:p w14:paraId="4687EB49" w14:textId="3532B818" w:rsidR="00CA0FDF" w:rsidRPr="00431A19" w:rsidRDefault="00431A19" w:rsidP="00CA0FDF">
            <w:pPr>
              <w:pStyle w:val="TableFiguresBold0"/>
            </w:pPr>
            <w:r w:rsidRPr="00431A19">
              <w:t>3,406</w:t>
            </w:r>
          </w:p>
        </w:tc>
        <w:tc>
          <w:tcPr>
            <w:tcW w:w="1560" w:type="dxa"/>
            <w:tcBorders>
              <w:top w:val="single" w:sz="4" w:space="0" w:color="999999"/>
              <w:bottom w:val="single" w:sz="4" w:space="0" w:color="999999"/>
            </w:tcBorders>
            <w:shd w:val="clear" w:color="auto" w:fill="auto"/>
            <w:vAlign w:val="bottom"/>
          </w:tcPr>
          <w:p w14:paraId="675A1C52" w14:textId="1D514F1E" w:rsidR="00CA0FDF" w:rsidRPr="00431A19" w:rsidRDefault="00431A19" w:rsidP="00CA0FDF">
            <w:pPr>
              <w:pStyle w:val="TableFigures"/>
            </w:pPr>
            <w:r w:rsidRPr="00431A19">
              <w:t>2,414</w:t>
            </w:r>
          </w:p>
        </w:tc>
      </w:tr>
      <w:tr w:rsidR="005F6D8A" w:rsidRPr="00431A19" w14:paraId="053A5589" w14:textId="77777777" w:rsidTr="00E30618">
        <w:tc>
          <w:tcPr>
            <w:tcW w:w="7088" w:type="dxa"/>
            <w:tcBorders>
              <w:top w:val="single" w:sz="4" w:space="0" w:color="999999"/>
              <w:bottom w:val="single" w:sz="4" w:space="0" w:color="999999"/>
            </w:tcBorders>
            <w:shd w:val="clear" w:color="auto" w:fill="auto"/>
            <w:vAlign w:val="bottom"/>
          </w:tcPr>
          <w:p w14:paraId="3FEFF922" w14:textId="77777777" w:rsidR="00CA0FDF" w:rsidRPr="00431A19" w:rsidRDefault="00CA0FDF" w:rsidP="00CA0FDF">
            <w:pPr>
              <w:pStyle w:val="Tabletext"/>
            </w:pPr>
            <w:r w:rsidRPr="00431A19">
              <w:t>Cash and cash equivalents</w:t>
            </w:r>
          </w:p>
        </w:tc>
        <w:tc>
          <w:tcPr>
            <w:tcW w:w="1417" w:type="dxa"/>
            <w:tcBorders>
              <w:top w:val="single" w:sz="4" w:space="0" w:color="999999"/>
              <w:bottom w:val="single" w:sz="4" w:space="0" w:color="999999"/>
            </w:tcBorders>
            <w:shd w:val="clear" w:color="auto" w:fill="auto"/>
            <w:vAlign w:val="bottom"/>
          </w:tcPr>
          <w:p w14:paraId="7435671D" w14:textId="08B88939" w:rsidR="00CA0FDF" w:rsidRPr="00431A19" w:rsidRDefault="00CA0FDF" w:rsidP="00CA0FDF">
            <w:pPr>
              <w:pStyle w:val="TableFiguresBracketsBold"/>
            </w:pPr>
            <w:r w:rsidRPr="00431A19">
              <w:t>(</w:t>
            </w:r>
            <w:r w:rsidR="00431A19" w:rsidRPr="00431A19">
              <w:t>45</w:t>
            </w:r>
            <w:r w:rsidRPr="00431A19">
              <w:t>)</w:t>
            </w:r>
          </w:p>
        </w:tc>
        <w:tc>
          <w:tcPr>
            <w:tcW w:w="1560" w:type="dxa"/>
            <w:tcBorders>
              <w:top w:val="single" w:sz="4" w:space="0" w:color="999999"/>
              <w:bottom w:val="single" w:sz="4" w:space="0" w:color="999999"/>
            </w:tcBorders>
            <w:shd w:val="clear" w:color="auto" w:fill="auto"/>
            <w:vAlign w:val="bottom"/>
          </w:tcPr>
          <w:p w14:paraId="3FC1B49A" w14:textId="79CCB3FB" w:rsidR="00CA0FDF" w:rsidRPr="00431A19" w:rsidRDefault="00CA0FDF" w:rsidP="00CA0FDF">
            <w:pPr>
              <w:pStyle w:val="TableFiguresBrackets"/>
            </w:pPr>
            <w:r w:rsidRPr="00431A19">
              <w:t>(</w:t>
            </w:r>
            <w:r w:rsidR="00431A19" w:rsidRPr="00431A19">
              <w:t>89</w:t>
            </w:r>
            <w:r w:rsidRPr="00431A19">
              <w:t>)</w:t>
            </w:r>
          </w:p>
        </w:tc>
      </w:tr>
      <w:tr w:rsidR="005F6D8A" w:rsidRPr="00431A19" w14:paraId="1CE30366" w14:textId="77777777" w:rsidTr="00E30618">
        <w:tc>
          <w:tcPr>
            <w:tcW w:w="7088" w:type="dxa"/>
            <w:tcBorders>
              <w:top w:val="single" w:sz="4" w:space="0" w:color="999999"/>
              <w:bottom w:val="single" w:sz="4" w:space="0" w:color="999999"/>
            </w:tcBorders>
            <w:shd w:val="clear" w:color="auto" w:fill="auto"/>
            <w:vAlign w:val="bottom"/>
          </w:tcPr>
          <w:p w14:paraId="29F0173A" w14:textId="77777777" w:rsidR="00CA0FDF" w:rsidRPr="00431A19" w:rsidRDefault="00CA0FDF" w:rsidP="00CA0FDF">
            <w:pPr>
              <w:pStyle w:val="Tabletext"/>
              <w:rPr>
                <w:b/>
                <w:bCs/>
                <w:szCs w:val="20"/>
              </w:rPr>
            </w:pPr>
            <w:r w:rsidRPr="00431A19">
              <w:rPr>
                <w:b/>
                <w:bCs/>
                <w:szCs w:val="20"/>
              </w:rPr>
              <w:t>Net borrowings</w:t>
            </w:r>
          </w:p>
        </w:tc>
        <w:tc>
          <w:tcPr>
            <w:tcW w:w="1417" w:type="dxa"/>
            <w:tcBorders>
              <w:top w:val="single" w:sz="4" w:space="0" w:color="999999"/>
              <w:bottom w:val="single" w:sz="4" w:space="0" w:color="999999"/>
            </w:tcBorders>
            <w:shd w:val="clear" w:color="auto" w:fill="auto"/>
            <w:vAlign w:val="bottom"/>
          </w:tcPr>
          <w:p w14:paraId="7AB7D738" w14:textId="040B8F98" w:rsidR="00CA0FDF" w:rsidRPr="00431A19" w:rsidRDefault="00431A19" w:rsidP="00CA0FDF">
            <w:pPr>
              <w:pStyle w:val="TableFiguresBold0"/>
            </w:pPr>
            <w:r w:rsidRPr="00431A19">
              <w:t>3,361</w:t>
            </w:r>
          </w:p>
        </w:tc>
        <w:tc>
          <w:tcPr>
            <w:tcW w:w="1560" w:type="dxa"/>
            <w:tcBorders>
              <w:top w:val="single" w:sz="4" w:space="0" w:color="999999"/>
              <w:bottom w:val="single" w:sz="4" w:space="0" w:color="999999"/>
            </w:tcBorders>
            <w:shd w:val="clear" w:color="auto" w:fill="auto"/>
            <w:vAlign w:val="bottom"/>
          </w:tcPr>
          <w:p w14:paraId="79C886A9" w14:textId="0D273B92" w:rsidR="00CA0FDF" w:rsidRPr="00431A19" w:rsidRDefault="00431A19" w:rsidP="00CA0FDF">
            <w:pPr>
              <w:pStyle w:val="TableFigures"/>
            </w:pPr>
            <w:r w:rsidRPr="00431A19">
              <w:t>2,325</w:t>
            </w:r>
          </w:p>
        </w:tc>
      </w:tr>
      <w:tr w:rsidR="005F6D8A" w:rsidRPr="00431A19" w14:paraId="054DACAC" w14:textId="77777777" w:rsidTr="00E30618">
        <w:tc>
          <w:tcPr>
            <w:tcW w:w="7088" w:type="dxa"/>
            <w:tcBorders>
              <w:top w:val="single" w:sz="4" w:space="0" w:color="999999"/>
            </w:tcBorders>
            <w:shd w:val="clear" w:color="auto" w:fill="auto"/>
            <w:vAlign w:val="bottom"/>
          </w:tcPr>
          <w:p w14:paraId="4C061939" w14:textId="77777777" w:rsidR="00CA0FDF" w:rsidRPr="00431A19" w:rsidRDefault="00CA0FDF" w:rsidP="00CA0FDF">
            <w:pPr>
              <w:pStyle w:val="Tabletext"/>
              <w:rPr>
                <w:szCs w:val="20"/>
              </w:rPr>
            </w:pPr>
          </w:p>
        </w:tc>
        <w:tc>
          <w:tcPr>
            <w:tcW w:w="1417" w:type="dxa"/>
            <w:tcBorders>
              <w:top w:val="single" w:sz="4" w:space="0" w:color="999999"/>
            </w:tcBorders>
            <w:shd w:val="clear" w:color="auto" w:fill="auto"/>
            <w:vAlign w:val="bottom"/>
          </w:tcPr>
          <w:p w14:paraId="21029040" w14:textId="77777777" w:rsidR="00CA0FDF" w:rsidRPr="00431A19" w:rsidRDefault="00CA0FDF" w:rsidP="00CA0FDF">
            <w:pPr>
              <w:pStyle w:val="TableFiguresBold0"/>
            </w:pPr>
          </w:p>
        </w:tc>
        <w:tc>
          <w:tcPr>
            <w:tcW w:w="1560" w:type="dxa"/>
            <w:tcBorders>
              <w:top w:val="single" w:sz="4" w:space="0" w:color="999999"/>
            </w:tcBorders>
            <w:shd w:val="clear" w:color="auto" w:fill="auto"/>
            <w:vAlign w:val="bottom"/>
          </w:tcPr>
          <w:p w14:paraId="7A64BA58" w14:textId="77777777" w:rsidR="00CA0FDF" w:rsidRPr="00431A19" w:rsidRDefault="00CA0FDF" w:rsidP="00CA0FDF">
            <w:pPr>
              <w:pStyle w:val="TableFigures"/>
            </w:pPr>
          </w:p>
        </w:tc>
      </w:tr>
      <w:tr w:rsidR="005F6D8A" w:rsidRPr="00431A19" w14:paraId="4B1E15B8" w14:textId="77777777" w:rsidTr="00DF2EB2">
        <w:tc>
          <w:tcPr>
            <w:tcW w:w="7088" w:type="dxa"/>
            <w:shd w:val="clear" w:color="auto" w:fill="auto"/>
            <w:vAlign w:val="bottom"/>
          </w:tcPr>
          <w:p w14:paraId="0FE5E8C7" w14:textId="77777777" w:rsidR="00CA0FDF" w:rsidRPr="00431A19" w:rsidRDefault="00CA0FDF" w:rsidP="00CA0FDF">
            <w:pPr>
              <w:pStyle w:val="TabletextBold"/>
            </w:pPr>
            <w:r w:rsidRPr="00431A19">
              <w:t>Total borrowings is split between secured and unsecured as follows:</w:t>
            </w:r>
          </w:p>
        </w:tc>
        <w:tc>
          <w:tcPr>
            <w:tcW w:w="1417" w:type="dxa"/>
            <w:shd w:val="clear" w:color="auto" w:fill="auto"/>
            <w:vAlign w:val="bottom"/>
          </w:tcPr>
          <w:p w14:paraId="021FC6CE" w14:textId="77777777" w:rsidR="00CA0FDF" w:rsidRPr="00431A19" w:rsidRDefault="00CA0FDF" w:rsidP="00CA0FDF">
            <w:pPr>
              <w:pStyle w:val="TableFiguresBold0"/>
            </w:pPr>
          </w:p>
        </w:tc>
        <w:tc>
          <w:tcPr>
            <w:tcW w:w="1560" w:type="dxa"/>
            <w:shd w:val="clear" w:color="auto" w:fill="auto"/>
            <w:vAlign w:val="bottom"/>
          </w:tcPr>
          <w:p w14:paraId="181A7C45" w14:textId="77777777" w:rsidR="00CA0FDF" w:rsidRPr="00431A19" w:rsidRDefault="00CA0FDF" w:rsidP="00CA0FDF">
            <w:pPr>
              <w:pStyle w:val="TableFigures"/>
            </w:pPr>
          </w:p>
        </w:tc>
      </w:tr>
      <w:tr w:rsidR="005F6D8A" w:rsidRPr="00431A19" w14:paraId="5971905E" w14:textId="77777777" w:rsidTr="00DF2EB2">
        <w:tc>
          <w:tcPr>
            <w:tcW w:w="7088" w:type="dxa"/>
            <w:shd w:val="clear" w:color="auto" w:fill="auto"/>
            <w:vAlign w:val="bottom"/>
          </w:tcPr>
          <w:p w14:paraId="5C341C98" w14:textId="1C6C65FC" w:rsidR="00CA0FDF" w:rsidRPr="00431A19" w:rsidRDefault="00CA0FDF" w:rsidP="00CA0FDF">
            <w:pPr>
              <w:pStyle w:val="Tabletext"/>
            </w:pPr>
            <w:r w:rsidRPr="00431A19">
              <w:t>Secured (on land</w:t>
            </w:r>
            <w:r w:rsidR="009144D7" w:rsidRPr="00431A19">
              <w:t xml:space="preserve">, </w:t>
            </w:r>
            <w:r w:rsidRPr="00431A19">
              <w:t>buildings</w:t>
            </w:r>
            <w:r w:rsidR="009144D7" w:rsidRPr="00431A19">
              <w:t xml:space="preserve"> and other assets</w:t>
            </w:r>
            <w:r w:rsidRPr="00431A19">
              <w:t>)</w:t>
            </w:r>
          </w:p>
        </w:tc>
        <w:tc>
          <w:tcPr>
            <w:tcW w:w="1417" w:type="dxa"/>
            <w:shd w:val="clear" w:color="auto" w:fill="auto"/>
            <w:vAlign w:val="bottom"/>
          </w:tcPr>
          <w:p w14:paraId="5639CA82" w14:textId="6ABF3132" w:rsidR="00CA0FDF" w:rsidRPr="00431A19" w:rsidRDefault="00431A19" w:rsidP="00CA0FDF">
            <w:pPr>
              <w:pStyle w:val="TableFiguresBold0"/>
            </w:pPr>
            <w:r w:rsidRPr="00431A19">
              <w:t>2</w:t>
            </w:r>
          </w:p>
        </w:tc>
        <w:tc>
          <w:tcPr>
            <w:tcW w:w="1560" w:type="dxa"/>
            <w:shd w:val="clear" w:color="auto" w:fill="auto"/>
            <w:vAlign w:val="bottom"/>
          </w:tcPr>
          <w:p w14:paraId="021ACE86" w14:textId="4522B821" w:rsidR="00CA0FDF" w:rsidRPr="00431A19" w:rsidRDefault="00431A19" w:rsidP="00CA0FDF">
            <w:pPr>
              <w:pStyle w:val="TableFigures"/>
            </w:pPr>
            <w:r w:rsidRPr="00431A19">
              <w:t>14</w:t>
            </w:r>
          </w:p>
        </w:tc>
      </w:tr>
      <w:tr w:rsidR="005F6D8A" w:rsidRPr="00431A19" w14:paraId="708EB5F7" w14:textId="77777777" w:rsidTr="00DF2EB2">
        <w:tc>
          <w:tcPr>
            <w:tcW w:w="7088" w:type="dxa"/>
            <w:tcBorders>
              <w:bottom w:val="single" w:sz="4" w:space="0" w:color="999999"/>
            </w:tcBorders>
            <w:shd w:val="clear" w:color="auto" w:fill="auto"/>
            <w:vAlign w:val="bottom"/>
          </w:tcPr>
          <w:p w14:paraId="74BC4E00" w14:textId="77777777" w:rsidR="00CA0FDF" w:rsidRPr="00431A19" w:rsidRDefault="00CA0FDF" w:rsidP="00CA0FDF">
            <w:pPr>
              <w:pStyle w:val="Tabletext"/>
            </w:pPr>
            <w:r w:rsidRPr="00431A19">
              <w:t>Unsecured</w:t>
            </w:r>
          </w:p>
        </w:tc>
        <w:tc>
          <w:tcPr>
            <w:tcW w:w="1417" w:type="dxa"/>
            <w:tcBorders>
              <w:bottom w:val="single" w:sz="4" w:space="0" w:color="999999"/>
            </w:tcBorders>
            <w:shd w:val="clear" w:color="auto" w:fill="auto"/>
            <w:vAlign w:val="bottom"/>
          </w:tcPr>
          <w:p w14:paraId="77093D66" w14:textId="6627CAC0" w:rsidR="00CA0FDF" w:rsidRPr="00431A19" w:rsidRDefault="00431A19" w:rsidP="00CA0FDF">
            <w:pPr>
              <w:pStyle w:val="TableFiguresBold0"/>
            </w:pPr>
            <w:r w:rsidRPr="00431A19">
              <w:t>3,404</w:t>
            </w:r>
          </w:p>
        </w:tc>
        <w:tc>
          <w:tcPr>
            <w:tcW w:w="1560" w:type="dxa"/>
            <w:tcBorders>
              <w:bottom w:val="single" w:sz="4" w:space="0" w:color="999999"/>
            </w:tcBorders>
            <w:shd w:val="clear" w:color="auto" w:fill="auto"/>
            <w:vAlign w:val="bottom"/>
          </w:tcPr>
          <w:p w14:paraId="3885655F" w14:textId="3CD8EB8C" w:rsidR="00CA0FDF" w:rsidRPr="00431A19" w:rsidRDefault="00431A19" w:rsidP="00CA0FDF">
            <w:pPr>
              <w:pStyle w:val="TableFigures"/>
            </w:pPr>
            <w:r w:rsidRPr="00431A19">
              <w:t>2,400</w:t>
            </w:r>
          </w:p>
        </w:tc>
      </w:tr>
      <w:tr w:rsidR="005F6D8A" w:rsidRPr="00431A19" w14:paraId="5A23EB59" w14:textId="77777777" w:rsidTr="00DF2EB2">
        <w:tc>
          <w:tcPr>
            <w:tcW w:w="7088" w:type="dxa"/>
            <w:tcBorders>
              <w:top w:val="single" w:sz="4" w:space="0" w:color="999999"/>
              <w:bottom w:val="single" w:sz="4" w:space="0" w:color="999999"/>
            </w:tcBorders>
            <w:shd w:val="clear" w:color="auto" w:fill="auto"/>
            <w:vAlign w:val="bottom"/>
          </w:tcPr>
          <w:p w14:paraId="2DE7B75F" w14:textId="77777777" w:rsidR="00CA0FDF" w:rsidRPr="00431A19" w:rsidRDefault="00CA0FDF" w:rsidP="00CA0FDF">
            <w:pPr>
              <w:pStyle w:val="TabletextBold"/>
              <w:rPr>
                <w:szCs w:val="20"/>
              </w:rPr>
            </w:pPr>
            <w:r w:rsidRPr="00431A19">
              <w:rPr>
                <w:szCs w:val="20"/>
              </w:rPr>
              <w:t>Total borrowings</w:t>
            </w:r>
          </w:p>
        </w:tc>
        <w:tc>
          <w:tcPr>
            <w:tcW w:w="1417" w:type="dxa"/>
            <w:tcBorders>
              <w:top w:val="single" w:sz="4" w:space="0" w:color="999999"/>
              <w:bottom w:val="single" w:sz="4" w:space="0" w:color="999999"/>
            </w:tcBorders>
            <w:shd w:val="clear" w:color="auto" w:fill="auto"/>
            <w:vAlign w:val="bottom"/>
          </w:tcPr>
          <w:p w14:paraId="2D728E0E" w14:textId="44D359E4" w:rsidR="00CA0FDF" w:rsidRPr="00431A19" w:rsidRDefault="00431A19" w:rsidP="00CA0FDF">
            <w:pPr>
              <w:pStyle w:val="TableFiguresBold0"/>
            </w:pPr>
            <w:r w:rsidRPr="00431A19">
              <w:t>3,406</w:t>
            </w:r>
          </w:p>
        </w:tc>
        <w:tc>
          <w:tcPr>
            <w:tcW w:w="1560" w:type="dxa"/>
            <w:tcBorders>
              <w:top w:val="single" w:sz="4" w:space="0" w:color="999999"/>
              <w:bottom w:val="single" w:sz="4" w:space="0" w:color="999999"/>
            </w:tcBorders>
            <w:shd w:val="clear" w:color="auto" w:fill="auto"/>
            <w:vAlign w:val="bottom"/>
          </w:tcPr>
          <w:p w14:paraId="1EC0810F" w14:textId="4A8C6F59" w:rsidR="00CA0FDF" w:rsidRPr="00431A19" w:rsidRDefault="00431A19" w:rsidP="00CA0FDF">
            <w:pPr>
              <w:pStyle w:val="TableFigures"/>
            </w:pPr>
            <w:r w:rsidRPr="00431A19">
              <w:t>2,414</w:t>
            </w:r>
          </w:p>
        </w:tc>
      </w:tr>
      <w:tr w:rsidR="005F6D8A" w:rsidRPr="00431A19" w14:paraId="464D5363" w14:textId="77777777" w:rsidTr="00E30618">
        <w:tc>
          <w:tcPr>
            <w:tcW w:w="7088" w:type="dxa"/>
            <w:tcBorders>
              <w:top w:val="single" w:sz="4" w:space="0" w:color="999999"/>
            </w:tcBorders>
            <w:shd w:val="clear" w:color="auto" w:fill="auto"/>
            <w:vAlign w:val="bottom"/>
          </w:tcPr>
          <w:p w14:paraId="2F089970" w14:textId="77777777" w:rsidR="00CA0FDF" w:rsidRPr="00431A19" w:rsidRDefault="00CA0FDF" w:rsidP="00CA0FDF">
            <w:pPr>
              <w:pStyle w:val="Tabletext"/>
              <w:rPr>
                <w:szCs w:val="20"/>
              </w:rPr>
            </w:pPr>
          </w:p>
        </w:tc>
        <w:tc>
          <w:tcPr>
            <w:tcW w:w="1417" w:type="dxa"/>
            <w:tcBorders>
              <w:top w:val="single" w:sz="4" w:space="0" w:color="999999"/>
            </w:tcBorders>
            <w:shd w:val="clear" w:color="auto" w:fill="auto"/>
            <w:vAlign w:val="bottom"/>
          </w:tcPr>
          <w:p w14:paraId="77F32AEF" w14:textId="77777777" w:rsidR="00CA0FDF" w:rsidRPr="00431A19" w:rsidRDefault="00CA0FDF" w:rsidP="00CA0FDF">
            <w:pPr>
              <w:pStyle w:val="TableFigures"/>
            </w:pPr>
          </w:p>
        </w:tc>
        <w:tc>
          <w:tcPr>
            <w:tcW w:w="1560" w:type="dxa"/>
            <w:tcBorders>
              <w:top w:val="single" w:sz="4" w:space="0" w:color="999999"/>
            </w:tcBorders>
            <w:shd w:val="clear" w:color="auto" w:fill="auto"/>
            <w:vAlign w:val="bottom"/>
          </w:tcPr>
          <w:p w14:paraId="46C31D71" w14:textId="77777777" w:rsidR="00CA0FDF" w:rsidRPr="00431A19" w:rsidRDefault="00CA0FDF" w:rsidP="00CA0FDF">
            <w:pPr>
              <w:pStyle w:val="TableFigures"/>
            </w:pPr>
          </w:p>
        </w:tc>
      </w:tr>
      <w:tr w:rsidR="005F6D8A" w:rsidRPr="00431A19" w14:paraId="3477B938" w14:textId="77777777" w:rsidTr="00E30618">
        <w:tc>
          <w:tcPr>
            <w:tcW w:w="7088" w:type="dxa"/>
            <w:shd w:val="clear" w:color="auto" w:fill="auto"/>
            <w:vAlign w:val="bottom"/>
          </w:tcPr>
          <w:p w14:paraId="1F84E6EA" w14:textId="77777777" w:rsidR="00CA0FDF" w:rsidRPr="00431A19" w:rsidRDefault="00CA0FDF" w:rsidP="00CA0FDF">
            <w:pPr>
              <w:pStyle w:val="TabletextBold"/>
              <w:rPr>
                <w:szCs w:val="20"/>
              </w:rPr>
            </w:pPr>
            <w:r w:rsidRPr="00431A19">
              <w:rPr>
                <w:szCs w:val="20"/>
              </w:rPr>
              <w:t>Currency profile of total borrowings after derivative instruments</w:t>
            </w:r>
          </w:p>
        </w:tc>
        <w:tc>
          <w:tcPr>
            <w:tcW w:w="1417" w:type="dxa"/>
            <w:shd w:val="clear" w:color="auto" w:fill="auto"/>
            <w:vAlign w:val="bottom"/>
          </w:tcPr>
          <w:p w14:paraId="489B72B4" w14:textId="77777777" w:rsidR="00CA0FDF" w:rsidRPr="00431A19" w:rsidRDefault="00CA0FDF" w:rsidP="00CA0FDF">
            <w:pPr>
              <w:pStyle w:val="TableFigures"/>
            </w:pPr>
          </w:p>
        </w:tc>
        <w:tc>
          <w:tcPr>
            <w:tcW w:w="1560" w:type="dxa"/>
            <w:shd w:val="clear" w:color="auto" w:fill="auto"/>
            <w:vAlign w:val="bottom"/>
          </w:tcPr>
          <w:p w14:paraId="0E8C391D" w14:textId="77777777" w:rsidR="00CA0FDF" w:rsidRPr="00431A19" w:rsidRDefault="00CA0FDF" w:rsidP="00CA0FDF">
            <w:pPr>
              <w:pStyle w:val="TableFigures"/>
            </w:pPr>
          </w:p>
        </w:tc>
      </w:tr>
      <w:tr w:rsidR="005F6D8A" w:rsidRPr="00CB1B8E" w14:paraId="5D4C78A4" w14:textId="77777777" w:rsidTr="00E30618">
        <w:tc>
          <w:tcPr>
            <w:tcW w:w="7088" w:type="dxa"/>
            <w:shd w:val="clear" w:color="auto" w:fill="auto"/>
            <w:vAlign w:val="bottom"/>
          </w:tcPr>
          <w:p w14:paraId="70096F35" w14:textId="77777777" w:rsidR="00CA0FDF" w:rsidRPr="007B28BE" w:rsidRDefault="00CA0FDF" w:rsidP="00CA0FDF">
            <w:pPr>
              <w:pStyle w:val="Tabletext"/>
            </w:pPr>
            <w:r w:rsidRPr="007B28BE">
              <w:t>Sterling</w:t>
            </w:r>
          </w:p>
        </w:tc>
        <w:tc>
          <w:tcPr>
            <w:tcW w:w="1417" w:type="dxa"/>
            <w:shd w:val="clear" w:color="auto" w:fill="auto"/>
            <w:vAlign w:val="bottom"/>
          </w:tcPr>
          <w:p w14:paraId="34FC4A9A" w14:textId="339FA0EC" w:rsidR="00CA0FDF" w:rsidRPr="007B28BE" w:rsidRDefault="00CB1B8E" w:rsidP="00CA0FDF">
            <w:pPr>
              <w:pStyle w:val="TableFiguresBold0"/>
            </w:pPr>
            <w:r w:rsidRPr="007B28BE">
              <w:t>617</w:t>
            </w:r>
          </w:p>
        </w:tc>
        <w:tc>
          <w:tcPr>
            <w:tcW w:w="1560" w:type="dxa"/>
            <w:shd w:val="clear" w:color="auto" w:fill="auto"/>
            <w:vAlign w:val="bottom"/>
          </w:tcPr>
          <w:p w14:paraId="4DC6C3A5" w14:textId="0DED57A7" w:rsidR="00CA0FDF" w:rsidRPr="007B28BE" w:rsidRDefault="00CB1B8E" w:rsidP="00CA0FDF">
            <w:pPr>
              <w:pStyle w:val="TableFigures"/>
            </w:pPr>
            <w:r w:rsidRPr="007B28BE">
              <w:t>180</w:t>
            </w:r>
          </w:p>
        </w:tc>
      </w:tr>
      <w:tr w:rsidR="005F6D8A" w:rsidRPr="00CB1B8E" w14:paraId="51E9973E" w14:textId="77777777" w:rsidTr="00E30618">
        <w:tc>
          <w:tcPr>
            <w:tcW w:w="7088" w:type="dxa"/>
            <w:shd w:val="clear" w:color="auto" w:fill="auto"/>
            <w:vAlign w:val="bottom"/>
          </w:tcPr>
          <w:p w14:paraId="59BD1467" w14:textId="77777777" w:rsidR="00CA0FDF" w:rsidRPr="007B28BE" w:rsidRDefault="00CA0FDF" w:rsidP="00CA0FDF">
            <w:pPr>
              <w:pStyle w:val="Tabletext"/>
            </w:pPr>
            <w:r w:rsidRPr="007B28BE">
              <w:t>Euros</w:t>
            </w:r>
          </w:p>
        </w:tc>
        <w:tc>
          <w:tcPr>
            <w:tcW w:w="1417" w:type="dxa"/>
            <w:shd w:val="clear" w:color="auto" w:fill="auto"/>
            <w:vAlign w:val="bottom"/>
          </w:tcPr>
          <w:p w14:paraId="45C491AD" w14:textId="654853F1" w:rsidR="00CA0FDF" w:rsidRPr="007B28BE" w:rsidRDefault="00CB1B8E" w:rsidP="00CA0FDF">
            <w:pPr>
              <w:pStyle w:val="TableFiguresBold0"/>
            </w:pPr>
            <w:r w:rsidRPr="007B28BE">
              <w:t>2,789</w:t>
            </w:r>
          </w:p>
        </w:tc>
        <w:tc>
          <w:tcPr>
            <w:tcW w:w="1560" w:type="dxa"/>
            <w:shd w:val="clear" w:color="auto" w:fill="auto"/>
            <w:vAlign w:val="bottom"/>
          </w:tcPr>
          <w:p w14:paraId="21158705" w14:textId="22C9402F" w:rsidR="00CA0FDF" w:rsidRPr="007B28BE" w:rsidRDefault="00CB1B8E" w:rsidP="00CA0FDF">
            <w:pPr>
              <w:pStyle w:val="TableFigures"/>
            </w:pPr>
            <w:r w:rsidRPr="007B28BE">
              <w:t>2,234</w:t>
            </w:r>
          </w:p>
        </w:tc>
      </w:tr>
      <w:tr w:rsidR="005F6D8A" w:rsidRPr="00CB1B8E" w14:paraId="225C6445" w14:textId="77777777" w:rsidTr="00E30618">
        <w:tc>
          <w:tcPr>
            <w:tcW w:w="7088" w:type="dxa"/>
            <w:tcBorders>
              <w:top w:val="single" w:sz="4" w:space="0" w:color="999999"/>
              <w:bottom w:val="single" w:sz="4" w:space="0" w:color="999999"/>
            </w:tcBorders>
            <w:shd w:val="clear" w:color="auto" w:fill="auto"/>
            <w:vAlign w:val="bottom"/>
          </w:tcPr>
          <w:p w14:paraId="3A43FC49" w14:textId="77777777" w:rsidR="00CA0FDF" w:rsidRPr="007B28BE" w:rsidRDefault="00CA0FDF" w:rsidP="00CA0FDF">
            <w:pPr>
              <w:pStyle w:val="TabletextBold"/>
              <w:rPr>
                <w:szCs w:val="20"/>
              </w:rPr>
            </w:pPr>
            <w:r w:rsidRPr="007B28BE">
              <w:rPr>
                <w:szCs w:val="20"/>
              </w:rPr>
              <w:t>Total borrowings</w:t>
            </w:r>
          </w:p>
        </w:tc>
        <w:tc>
          <w:tcPr>
            <w:tcW w:w="1417" w:type="dxa"/>
            <w:tcBorders>
              <w:top w:val="single" w:sz="4" w:space="0" w:color="999999"/>
              <w:bottom w:val="single" w:sz="4" w:space="0" w:color="999999"/>
            </w:tcBorders>
            <w:shd w:val="clear" w:color="auto" w:fill="auto"/>
            <w:vAlign w:val="bottom"/>
          </w:tcPr>
          <w:p w14:paraId="5D324101" w14:textId="1DB019AD" w:rsidR="00CA0FDF" w:rsidRPr="007B28BE" w:rsidRDefault="00CB1B8E" w:rsidP="00CA0FDF">
            <w:pPr>
              <w:pStyle w:val="TableFiguresBold0"/>
            </w:pPr>
            <w:r w:rsidRPr="007B28BE">
              <w:t>3,406</w:t>
            </w:r>
          </w:p>
        </w:tc>
        <w:tc>
          <w:tcPr>
            <w:tcW w:w="1560" w:type="dxa"/>
            <w:tcBorders>
              <w:top w:val="single" w:sz="4" w:space="0" w:color="999999"/>
              <w:bottom w:val="single" w:sz="4" w:space="0" w:color="999999"/>
            </w:tcBorders>
            <w:shd w:val="clear" w:color="auto" w:fill="auto"/>
            <w:vAlign w:val="bottom"/>
          </w:tcPr>
          <w:p w14:paraId="6BF49DF3" w14:textId="07D5CA15" w:rsidR="00CA0FDF" w:rsidRPr="007B28BE" w:rsidRDefault="00CB1B8E" w:rsidP="00CA0FDF">
            <w:pPr>
              <w:pStyle w:val="TableFigures"/>
            </w:pPr>
            <w:r w:rsidRPr="007B28BE">
              <w:t>2,414</w:t>
            </w:r>
          </w:p>
        </w:tc>
      </w:tr>
      <w:tr w:rsidR="005F6D8A" w:rsidRPr="005F6D8A" w14:paraId="539A4B35" w14:textId="77777777" w:rsidTr="00E30618">
        <w:tc>
          <w:tcPr>
            <w:tcW w:w="7088" w:type="dxa"/>
            <w:tcBorders>
              <w:top w:val="single" w:sz="4" w:space="0" w:color="999999"/>
            </w:tcBorders>
            <w:shd w:val="clear" w:color="auto" w:fill="auto"/>
            <w:vAlign w:val="bottom"/>
          </w:tcPr>
          <w:p w14:paraId="4D7F819C" w14:textId="77777777" w:rsidR="00CA0FDF" w:rsidRPr="005F6D8A" w:rsidRDefault="00CA0FDF" w:rsidP="00CA0FDF">
            <w:pPr>
              <w:pStyle w:val="Tabletext"/>
              <w:rPr>
                <w:color w:val="FF0000"/>
                <w:szCs w:val="20"/>
              </w:rPr>
            </w:pPr>
          </w:p>
        </w:tc>
        <w:tc>
          <w:tcPr>
            <w:tcW w:w="1417" w:type="dxa"/>
            <w:tcBorders>
              <w:top w:val="single" w:sz="4" w:space="0" w:color="999999"/>
            </w:tcBorders>
            <w:shd w:val="clear" w:color="auto" w:fill="auto"/>
            <w:vAlign w:val="bottom"/>
          </w:tcPr>
          <w:p w14:paraId="2F9C0FA5" w14:textId="77777777" w:rsidR="00CA0FDF" w:rsidRPr="005F6D8A" w:rsidRDefault="00CA0FDF" w:rsidP="00CA0FDF">
            <w:pPr>
              <w:pStyle w:val="TableFigures"/>
              <w:rPr>
                <w:b/>
                <w:color w:val="FF0000"/>
              </w:rPr>
            </w:pPr>
          </w:p>
        </w:tc>
        <w:tc>
          <w:tcPr>
            <w:tcW w:w="1560" w:type="dxa"/>
            <w:tcBorders>
              <w:top w:val="single" w:sz="4" w:space="0" w:color="999999"/>
            </w:tcBorders>
            <w:shd w:val="clear" w:color="auto" w:fill="auto"/>
            <w:vAlign w:val="bottom"/>
          </w:tcPr>
          <w:p w14:paraId="1110FBD8" w14:textId="77777777" w:rsidR="00CA0FDF" w:rsidRPr="005F6D8A" w:rsidRDefault="00CA0FDF" w:rsidP="00CA0FDF">
            <w:pPr>
              <w:pStyle w:val="TableFigures"/>
              <w:rPr>
                <w:color w:val="FF0000"/>
              </w:rPr>
            </w:pPr>
          </w:p>
        </w:tc>
      </w:tr>
      <w:tr w:rsidR="005F6D8A" w:rsidRPr="005F1392" w14:paraId="44B7F3D2" w14:textId="77777777" w:rsidTr="00E30618">
        <w:tc>
          <w:tcPr>
            <w:tcW w:w="7088" w:type="dxa"/>
            <w:shd w:val="clear" w:color="auto" w:fill="auto"/>
            <w:vAlign w:val="bottom"/>
          </w:tcPr>
          <w:p w14:paraId="614423DE" w14:textId="77777777" w:rsidR="00CA0FDF" w:rsidRPr="005F1392" w:rsidRDefault="00CA0FDF" w:rsidP="00CA0FDF">
            <w:pPr>
              <w:pStyle w:val="TabletextBold"/>
              <w:rPr>
                <w:szCs w:val="20"/>
              </w:rPr>
            </w:pPr>
            <w:r w:rsidRPr="005F1392">
              <w:rPr>
                <w:szCs w:val="20"/>
              </w:rPr>
              <w:t>Maturity profile of undrawn borrowing facilities</w:t>
            </w:r>
          </w:p>
        </w:tc>
        <w:tc>
          <w:tcPr>
            <w:tcW w:w="1417" w:type="dxa"/>
            <w:shd w:val="clear" w:color="auto" w:fill="auto"/>
            <w:vAlign w:val="bottom"/>
          </w:tcPr>
          <w:p w14:paraId="0E20DFE8" w14:textId="77777777" w:rsidR="00CA0FDF" w:rsidRPr="005F1392" w:rsidRDefault="00CA0FDF" w:rsidP="00CA0FDF">
            <w:pPr>
              <w:pStyle w:val="TableFigures"/>
              <w:rPr>
                <w:b/>
              </w:rPr>
            </w:pPr>
          </w:p>
        </w:tc>
        <w:tc>
          <w:tcPr>
            <w:tcW w:w="1560" w:type="dxa"/>
            <w:shd w:val="clear" w:color="auto" w:fill="auto"/>
            <w:vAlign w:val="bottom"/>
          </w:tcPr>
          <w:p w14:paraId="1E3A7C1C" w14:textId="77777777" w:rsidR="00CA0FDF" w:rsidRPr="005F1392" w:rsidRDefault="00CA0FDF" w:rsidP="00CA0FDF">
            <w:pPr>
              <w:pStyle w:val="TableFigures"/>
            </w:pPr>
          </w:p>
        </w:tc>
      </w:tr>
      <w:tr w:rsidR="005F6D8A" w:rsidRPr="005F1392" w14:paraId="14B2C6ED" w14:textId="77777777" w:rsidTr="00E30618">
        <w:tc>
          <w:tcPr>
            <w:tcW w:w="7088" w:type="dxa"/>
            <w:shd w:val="clear" w:color="auto" w:fill="auto"/>
            <w:vAlign w:val="bottom"/>
          </w:tcPr>
          <w:p w14:paraId="60119B39" w14:textId="77777777" w:rsidR="00CA0FDF" w:rsidRPr="005F1392" w:rsidRDefault="00CA0FDF" w:rsidP="00CA0FDF">
            <w:pPr>
              <w:pStyle w:val="Tabletext"/>
              <w:rPr>
                <w:szCs w:val="20"/>
              </w:rPr>
            </w:pPr>
            <w:r w:rsidRPr="005F1392">
              <w:rPr>
                <w:szCs w:val="20"/>
              </w:rPr>
              <w:t>In one year or less</w:t>
            </w:r>
          </w:p>
        </w:tc>
        <w:tc>
          <w:tcPr>
            <w:tcW w:w="1417" w:type="dxa"/>
            <w:shd w:val="clear" w:color="auto" w:fill="auto"/>
            <w:vAlign w:val="bottom"/>
          </w:tcPr>
          <w:p w14:paraId="1E7CD50B" w14:textId="0A6DD94C" w:rsidR="00CA0FDF" w:rsidRPr="005F1392" w:rsidRDefault="005F1392" w:rsidP="002A206B">
            <w:pPr>
              <w:pStyle w:val="TableFiguresBold0"/>
            </w:pPr>
            <w:r w:rsidRPr="005F1392">
              <w:t>8</w:t>
            </w:r>
          </w:p>
        </w:tc>
        <w:tc>
          <w:tcPr>
            <w:tcW w:w="1560" w:type="dxa"/>
            <w:shd w:val="clear" w:color="auto" w:fill="auto"/>
            <w:vAlign w:val="bottom"/>
          </w:tcPr>
          <w:p w14:paraId="3605B9B9" w14:textId="243308C1" w:rsidR="00CA0FDF" w:rsidRPr="005F1392" w:rsidRDefault="005F1392" w:rsidP="00CA0FDF">
            <w:pPr>
              <w:pStyle w:val="TableFigures"/>
            </w:pPr>
            <w:r w:rsidRPr="005F1392">
              <w:t>19</w:t>
            </w:r>
          </w:p>
        </w:tc>
      </w:tr>
      <w:tr w:rsidR="005F6D8A" w:rsidRPr="005F1392" w14:paraId="38D9D5F6" w14:textId="77777777" w:rsidTr="00E30618">
        <w:tc>
          <w:tcPr>
            <w:tcW w:w="7088" w:type="dxa"/>
            <w:shd w:val="clear" w:color="auto" w:fill="auto"/>
            <w:vAlign w:val="bottom"/>
          </w:tcPr>
          <w:p w14:paraId="298627F9" w14:textId="77777777" w:rsidR="00CA0FDF" w:rsidRPr="005F1392" w:rsidRDefault="00CA0FDF" w:rsidP="00CA0FDF">
            <w:pPr>
              <w:pStyle w:val="Tabletext"/>
              <w:rPr>
                <w:szCs w:val="20"/>
              </w:rPr>
            </w:pPr>
            <w:r w:rsidRPr="005F1392">
              <w:rPr>
                <w:szCs w:val="20"/>
              </w:rPr>
              <w:t>In more than one year but less than two</w:t>
            </w:r>
          </w:p>
        </w:tc>
        <w:tc>
          <w:tcPr>
            <w:tcW w:w="1417" w:type="dxa"/>
            <w:shd w:val="clear" w:color="auto" w:fill="auto"/>
            <w:vAlign w:val="bottom"/>
          </w:tcPr>
          <w:p w14:paraId="1AB845F0" w14:textId="087A276A" w:rsidR="00CA0FDF" w:rsidRPr="005F1392" w:rsidRDefault="005F1392" w:rsidP="002A206B">
            <w:pPr>
              <w:pStyle w:val="TableFiguresBold0"/>
            </w:pPr>
            <w:r w:rsidRPr="005F1392">
              <w:t>630</w:t>
            </w:r>
          </w:p>
        </w:tc>
        <w:tc>
          <w:tcPr>
            <w:tcW w:w="1560" w:type="dxa"/>
            <w:shd w:val="clear" w:color="auto" w:fill="auto"/>
            <w:vAlign w:val="bottom"/>
          </w:tcPr>
          <w:p w14:paraId="2A5FD0CB" w14:textId="2499BBDF" w:rsidR="00CA0FDF" w:rsidRPr="005F1392" w:rsidRDefault="005F1392" w:rsidP="00CA0FDF">
            <w:pPr>
              <w:pStyle w:val="TableFigures"/>
            </w:pPr>
            <w:r w:rsidRPr="005F1392">
              <w:t>–</w:t>
            </w:r>
          </w:p>
        </w:tc>
      </w:tr>
      <w:tr w:rsidR="005F6D8A" w:rsidRPr="005F1392" w14:paraId="5DFF3D01" w14:textId="77777777" w:rsidTr="00E30618">
        <w:tc>
          <w:tcPr>
            <w:tcW w:w="7088" w:type="dxa"/>
            <w:tcBorders>
              <w:bottom w:val="single" w:sz="4" w:space="0" w:color="999999"/>
            </w:tcBorders>
            <w:shd w:val="clear" w:color="auto" w:fill="auto"/>
            <w:vAlign w:val="bottom"/>
          </w:tcPr>
          <w:p w14:paraId="17F20C85" w14:textId="77777777" w:rsidR="00CA0FDF" w:rsidRPr="005F1392" w:rsidRDefault="00CA0FDF" w:rsidP="00CA0FDF">
            <w:pPr>
              <w:pStyle w:val="Tabletext"/>
              <w:rPr>
                <w:szCs w:val="20"/>
              </w:rPr>
            </w:pPr>
            <w:r w:rsidRPr="005F1392">
              <w:rPr>
                <w:szCs w:val="20"/>
              </w:rPr>
              <w:t>In more than two years</w:t>
            </w:r>
          </w:p>
        </w:tc>
        <w:tc>
          <w:tcPr>
            <w:tcW w:w="1417" w:type="dxa"/>
            <w:tcBorders>
              <w:bottom w:val="single" w:sz="4" w:space="0" w:color="999999"/>
            </w:tcBorders>
            <w:shd w:val="clear" w:color="auto" w:fill="auto"/>
            <w:vAlign w:val="bottom"/>
          </w:tcPr>
          <w:p w14:paraId="3BD70F1A" w14:textId="2728E7F7" w:rsidR="00CA0FDF" w:rsidRPr="005F1392" w:rsidRDefault="005F1392" w:rsidP="002A206B">
            <w:pPr>
              <w:pStyle w:val="TableFiguresBold0"/>
            </w:pPr>
            <w:r w:rsidRPr="005F1392">
              <w:t>210</w:t>
            </w:r>
          </w:p>
        </w:tc>
        <w:tc>
          <w:tcPr>
            <w:tcW w:w="1560" w:type="dxa"/>
            <w:tcBorders>
              <w:bottom w:val="single" w:sz="4" w:space="0" w:color="999999"/>
            </w:tcBorders>
            <w:shd w:val="clear" w:color="auto" w:fill="auto"/>
            <w:vAlign w:val="bottom"/>
          </w:tcPr>
          <w:p w14:paraId="446B288B" w14:textId="785CBCE6" w:rsidR="00CA0FDF" w:rsidRPr="005F1392" w:rsidRDefault="005F1392" w:rsidP="00CA0FDF">
            <w:pPr>
              <w:pStyle w:val="TableFigures"/>
            </w:pPr>
            <w:r w:rsidRPr="005F1392">
              <w:t>953</w:t>
            </w:r>
          </w:p>
        </w:tc>
      </w:tr>
      <w:tr w:rsidR="00CA0FDF" w:rsidRPr="005F1392" w14:paraId="603724BF" w14:textId="77777777" w:rsidTr="00E30618">
        <w:tc>
          <w:tcPr>
            <w:tcW w:w="7088" w:type="dxa"/>
            <w:tcBorders>
              <w:top w:val="single" w:sz="4" w:space="0" w:color="999999"/>
              <w:bottom w:val="single" w:sz="8" w:space="0" w:color="999999"/>
            </w:tcBorders>
            <w:shd w:val="clear" w:color="auto" w:fill="auto"/>
            <w:vAlign w:val="bottom"/>
          </w:tcPr>
          <w:p w14:paraId="23D42768" w14:textId="77777777" w:rsidR="00CA0FDF" w:rsidRPr="005F1392" w:rsidRDefault="00CA0FDF" w:rsidP="00CA0FDF">
            <w:pPr>
              <w:pStyle w:val="TabletextBold"/>
              <w:rPr>
                <w:szCs w:val="20"/>
              </w:rPr>
            </w:pPr>
            <w:r w:rsidRPr="005F1392">
              <w:rPr>
                <w:szCs w:val="20"/>
              </w:rPr>
              <w:t>Total available undrawn facilities</w:t>
            </w:r>
          </w:p>
        </w:tc>
        <w:tc>
          <w:tcPr>
            <w:tcW w:w="1417" w:type="dxa"/>
            <w:tcBorders>
              <w:top w:val="single" w:sz="4" w:space="0" w:color="999999"/>
              <w:bottom w:val="single" w:sz="8" w:space="0" w:color="999999"/>
            </w:tcBorders>
            <w:shd w:val="clear" w:color="auto" w:fill="auto"/>
            <w:vAlign w:val="bottom"/>
          </w:tcPr>
          <w:p w14:paraId="1CF884AB" w14:textId="68F3B01F" w:rsidR="00CA0FDF" w:rsidRPr="005F1392" w:rsidRDefault="005F1392" w:rsidP="002A206B">
            <w:pPr>
              <w:pStyle w:val="TableFiguresBold0"/>
            </w:pPr>
            <w:r w:rsidRPr="005F1392">
              <w:t>848</w:t>
            </w:r>
          </w:p>
        </w:tc>
        <w:tc>
          <w:tcPr>
            <w:tcW w:w="1560" w:type="dxa"/>
            <w:tcBorders>
              <w:top w:val="single" w:sz="4" w:space="0" w:color="999999"/>
              <w:bottom w:val="single" w:sz="8" w:space="0" w:color="999999"/>
            </w:tcBorders>
            <w:shd w:val="clear" w:color="auto" w:fill="auto"/>
            <w:vAlign w:val="bottom"/>
          </w:tcPr>
          <w:p w14:paraId="05065D54" w14:textId="688B586A" w:rsidR="00CA0FDF" w:rsidRPr="005F1392" w:rsidRDefault="005F1392" w:rsidP="00CA0FDF">
            <w:pPr>
              <w:pStyle w:val="TableFigures"/>
            </w:pPr>
            <w:r w:rsidRPr="005F1392">
              <w:t>972</w:t>
            </w:r>
          </w:p>
        </w:tc>
      </w:tr>
    </w:tbl>
    <w:p w14:paraId="18B12E90" w14:textId="77777777" w:rsidR="005E793C" w:rsidRPr="005F6D8A" w:rsidRDefault="005E793C" w:rsidP="005E793C">
      <w:pPr>
        <w:pStyle w:val="Footnotes"/>
        <w:spacing w:before="0" w:after="0"/>
        <w:rPr>
          <w:color w:val="FF0000"/>
          <w:highlight w:val="yellow"/>
        </w:rPr>
      </w:pPr>
    </w:p>
    <w:p w14:paraId="07B98CBF" w14:textId="76250593" w:rsidR="005E793C" w:rsidRPr="00945B16" w:rsidRDefault="005E793C" w:rsidP="005E793C">
      <w:pPr>
        <w:pStyle w:val="Heading3"/>
        <w:rPr>
          <w:rStyle w:val="Heading3Char"/>
          <w:b/>
          <w:sz w:val="22"/>
          <w:szCs w:val="20"/>
        </w:rPr>
      </w:pPr>
      <w:r w:rsidRPr="00945B16">
        <w:rPr>
          <w:rStyle w:val="Heading3Char"/>
          <w:b/>
          <w:sz w:val="22"/>
          <w:szCs w:val="20"/>
        </w:rPr>
        <w:t>1</w:t>
      </w:r>
      <w:r w:rsidR="00945B16" w:rsidRPr="00945B16">
        <w:rPr>
          <w:rStyle w:val="Heading3Char"/>
          <w:b/>
          <w:sz w:val="22"/>
          <w:szCs w:val="20"/>
        </w:rPr>
        <w:t>4</w:t>
      </w:r>
      <w:r w:rsidRPr="00945B16">
        <w:rPr>
          <w:rStyle w:val="Heading3Char"/>
          <w:b/>
          <w:sz w:val="22"/>
          <w:szCs w:val="20"/>
        </w:rPr>
        <w:t>. NOTES TO THE CONDENSED GROUP CASH FLOW STATEMENT</w:t>
      </w:r>
    </w:p>
    <w:p w14:paraId="74593B73" w14:textId="7BD4CD9F" w:rsidR="005E793C" w:rsidRPr="00945B16" w:rsidRDefault="005E793C" w:rsidP="005E793C">
      <w:pPr>
        <w:pStyle w:val="Heading3"/>
        <w:rPr>
          <w:rStyle w:val="Heading3Char"/>
          <w:b/>
          <w:sz w:val="20"/>
          <w:szCs w:val="20"/>
        </w:rPr>
      </w:pPr>
      <w:r w:rsidRPr="00945B16">
        <w:rPr>
          <w:rFonts w:cs="Times New Roman"/>
        </w:rPr>
        <w:t>1</w:t>
      </w:r>
      <w:r w:rsidR="00945B16" w:rsidRPr="00945B16">
        <w:rPr>
          <w:rFonts w:cs="Times New Roman"/>
        </w:rPr>
        <w:t>4</w:t>
      </w:r>
      <w:r w:rsidRPr="00945B16">
        <w:rPr>
          <w:rStyle w:val="Heading3Char"/>
          <w:b/>
          <w:sz w:val="20"/>
          <w:szCs w:val="20"/>
        </w:rPr>
        <w:t>(i) Reconciliation of cash generated from operations</w:t>
      </w:r>
    </w:p>
    <w:tbl>
      <w:tblPr>
        <w:tblW w:w="10206" w:type="dxa"/>
        <w:tblCellMar>
          <w:left w:w="0" w:type="dxa"/>
          <w:right w:w="0" w:type="dxa"/>
        </w:tblCellMar>
        <w:tblLook w:val="01E0" w:firstRow="1" w:lastRow="1" w:firstColumn="1" w:lastColumn="1" w:noHBand="0" w:noVBand="0"/>
      </w:tblPr>
      <w:tblGrid>
        <w:gridCol w:w="7655"/>
        <w:gridCol w:w="1417"/>
        <w:gridCol w:w="1134"/>
      </w:tblGrid>
      <w:tr w:rsidR="005F6D8A" w:rsidRPr="00945B16" w14:paraId="3738A5E6" w14:textId="77777777" w:rsidTr="00E30618">
        <w:tc>
          <w:tcPr>
            <w:tcW w:w="7655" w:type="dxa"/>
            <w:tcBorders>
              <w:bottom w:val="single" w:sz="8" w:space="0" w:color="999999"/>
            </w:tcBorders>
            <w:shd w:val="clear" w:color="auto" w:fill="auto"/>
            <w:vAlign w:val="bottom"/>
          </w:tcPr>
          <w:p w14:paraId="1E4A903C" w14:textId="77777777" w:rsidR="005E793C" w:rsidRPr="00945B16" w:rsidRDefault="005E793C" w:rsidP="00E30618">
            <w:pPr>
              <w:pStyle w:val="Tabletext"/>
              <w:spacing w:line="160" w:lineRule="atLeast"/>
            </w:pPr>
          </w:p>
        </w:tc>
        <w:tc>
          <w:tcPr>
            <w:tcW w:w="1417" w:type="dxa"/>
            <w:tcBorders>
              <w:bottom w:val="single" w:sz="8" w:space="0" w:color="999999"/>
            </w:tcBorders>
            <w:shd w:val="clear" w:color="auto" w:fill="auto"/>
            <w:vAlign w:val="bottom"/>
          </w:tcPr>
          <w:p w14:paraId="2D8BFF2D" w14:textId="208F494B" w:rsidR="005E793C" w:rsidRPr="00945B16" w:rsidRDefault="005E793C" w:rsidP="00E30618">
            <w:pPr>
              <w:pStyle w:val="TableColHeadsBold0"/>
            </w:pPr>
            <w:r w:rsidRPr="00945B16">
              <w:t>20</w:t>
            </w:r>
            <w:r w:rsidR="00945B16" w:rsidRPr="00945B16">
              <w:t>21</w:t>
            </w:r>
            <w:r w:rsidRPr="00945B16">
              <w:br/>
              <w:t xml:space="preserve"> £m</w:t>
            </w:r>
          </w:p>
        </w:tc>
        <w:tc>
          <w:tcPr>
            <w:tcW w:w="1134" w:type="dxa"/>
            <w:tcBorders>
              <w:bottom w:val="single" w:sz="8" w:space="0" w:color="999999"/>
            </w:tcBorders>
            <w:shd w:val="clear" w:color="auto" w:fill="auto"/>
            <w:vAlign w:val="bottom"/>
          </w:tcPr>
          <w:p w14:paraId="6EC92FB8" w14:textId="4A62BB41" w:rsidR="005E793C" w:rsidRPr="00945B16" w:rsidRDefault="005E793C" w:rsidP="00E30618">
            <w:pPr>
              <w:pStyle w:val="TableColHeads"/>
              <w:spacing w:line="160" w:lineRule="atLeast"/>
            </w:pPr>
            <w:r w:rsidRPr="00945B16">
              <w:t>20</w:t>
            </w:r>
            <w:r w:rsidR="00945B16" w:rsidRPr="00945B16">
              <w:t>20</w:t>
            </w:r>
            <w:r w:rsidRPr="00945B16">
              <w:t xml:space="preserve"> </w:t>
            </w:r>
            <w:r w:rsidRPr="00945B16">
              <w:br/>
              <w:t>£m</w:t>
            </w:r>
          </w:p>
        </w:tc>
      </w:tr>
      <w:tr w:rsidR="005F6D8A" w:rsidRPr="00945B16" w14:paraId="5DED53F5" w14:textId="77777777" w:rsidTr="00E83694">
        <w:tc>
          <w:tcPr>
            <w:tcW w:w="7655" w:type="dxa"/>
            <w:tcBorders>
              <w:top w:val="single" w:sz="8" w:space="0" w:color="999999"/>
            </w:tcBorders>
            <w:shd w:val="clear" w:color="auto" w:fill="auto"/>
            <w:vAlign w:val="bottom"/>
          </w:tcPr>
          <w:p w14:paraId="13412C5E" w14:textId="77777777" w:rsidR="00343979" w:rsidRPr="00945B16" w:rsidRDefault="00343979" w:rsidP="00343979">
            <w:pPr>
              <w:pStyle w:val="TabletextBold"/>
              <w:rPr>
                <w:szCs w:val="20"/>
              </w:rPr>
            </w:pPr>
            <w:r w:rsidRPr="00945B16">
              <w:rPr>
                <w:szCs w:val="20"/>
              </w:rPr>
              <w:t>Operating profit</w:t>
            </w:r>
          </w:p>
        </w:tc>
        <w:tc>
          <w:tcPr>
            <w:tcW w:w="1417" w:type="dxa"/>
            <w:tcBorders>
              <w:top w:val="single" w:sz="8" w:space="0" w:color="999999"/>
            </w:tcBorders>
            <w:shd w:val="clear" w:color="auto" w:fill="auto"/>
          </w:tcPr>
          <w:p w14:paraId="464FD463" w14:textId="4D014977" w:rsidR="00343979" w:rsidRPr="00945B16" w:rsidRDefault="00945B16" w:rsidP="00343979">
            <w:pPr>
              <w:pStyle w:val="TableFiguresBold0"/>
            </w:pPr>
            <w:r w:rsidRPr="00945B16">
              <w:t>4,477</w:t>
            </w:r>
          </w:p>
        </w:tc>
        <w:tc>
          <w:tcPr>
            <w:tcW w:w="1134" w:type="dxa"/>
            <w:tcBorders>
              <w:top w:val="single" w:sz="8" w:space="0" w:color="999999"/>
            </w:tcBorders>
            <w:shd w:val="clear" w:color="auto" w:fill="auto"/>
            <w:vAlign w:val="bottom"/>
          </w:tcPr>
          <w:p w14:paraId="7F93A351" w14:textId="1E7186B2" w:rsidR="00343979" w:rsidRPr="00945B16" w:rsidRDefault="00945B16" w:rsidP="00343979">
            <w:pPr>
              <w:pStyle w:val="TableFigures"/>
              <w:rPr>
                <w:b/>
              </w:rPr>
            </w:pPr>
            <w:r w:rsidRPr="00945B16">
              <w:t>1,501</w:t>
            </w:r>
          </w:p>
        </w:tc>
      </w:tr>
      <w:tr w:rsidR="005F6D8A" w:rsidRPr="00945B16" w14:paraId="43E59372" w14:textId="77777777" w:rsidTr="00E83694">
        <w:tc>
          <w:tcPr>
            <w:tcW w:w="7655" w:type="dxa"/>
            <w:shd w:val="clear" w:color="auto" w:fill="auto"/>
            <w:vAlign w:val="bottom"/>
          </w:tcPr>
          <w:p w14:paraId="74BACFD1" w14:textId="77777777" w:rsidR="00343979" w:rsidRPr="00945B16" w:rsidRDefault="00343979" w:rsidP="00343979">
            <w:pPr>
              <w:pStyle w:val="Tabletext"/>
              <w:rPr>
                <w:szCs w:val="20"/>
              </w:rPr>
            </w:pPr>
            <w:r w:rsidRPr="00945B16">
              <w:rPr>
                <w:szCs w:val="20"/>
              </w:rPr>
              <w:t>Adjustments for:</w:t>
            </w:r>
          </w:p>
        </w:tc>
        <w:tc>
          <w:tcPr>
            <w:tcW w:w="1417" w:type="dxa"/>
            <w:shd w:val="clear" w:color="auto" w:fill="auto"/>
          </w:tcPr>
          <w:p w14:paraId="3DC381C2" w14:textId="77777777" w:rsidR="00343979" w:rsidRPr="00945B16" w:rsidRDefault="00343979" w:rsidP="00343979">
            <w:pPr>
              <w:pStyle w:val="TableFiguresBold0"/>
            </w:pPr>
          </w:p>
        </w:tc>
        <w:tc>
          <w:tcPr>
            <w:tcW w:w="1134" w:type="dxa"/>
            <w:shd w:val="clear" w:color="auto" w:fill="auto"/>
            <w:vAlign w:val="bottom"/>
          </w:tcPr>
          <w:p w14:paraId="1055BAA2" w14:textId="77777777" w:rsidR="00343979" w:rsidRPr="00945B16" w:rsidRDefault="00343979" w:rsidP="00343979">
            <w:pPr>
              <w:pStyle w:val="TableFigures"/>
              <w:rPr>
                <w:b/>
              </w:rPr>
            </w:pPr>
          </w:p>
        </w:tc>
      </w:tr>
      <w:tr w:rsidR="005F6D8A" w:rsidRPr="00945B16" w14:paraId="74619754" w14:textId="77777777" w:rsidTr="00E83694">
        <w:tc>
          <w:tcPr>
            <w:tcW w:w="7655" w:type="dxa"/>
            <w:shd w:val="clear" w:color="auto" w:fill="auto"/>
            <w:vAlign w:val="bottom"/>
          </w:tcPr>
          <w:p w14:paraId="595657E6" w14:textId="674299E3" w:rsidR="00343979" w:rsidRPr="00945B16" w:rsidRDefault="00343979" w:rsidP="00343979">
            <w:pPr>
              <w:pStyle w:val="Tabletext"/>
            </w:pPr>
            <w:r w:rsidRPr="00945B16">
              <w:t xml:space="preserve">   Depreciation of property, plant and equipment</w:t>
            </w:r>
            <w:r w:rsidR="00D7207E">
              <w:t xml:space="preserve"> and amortisation of intangibles</w:t>
            </w:r>
          </w:p>
        </w:tc>
        <w:tc>
          <w:tcPr>
            <w:tcW w:w="1417" w:type="dxa"/>
            <w:shd w:val="clear" w:color="auto" w:fill="auto"/>
          </w:tcPr>
          <w:p w14:paraId="60770A70" w14:textId="0630F8E5" w:rsidR="00343979" w:rsidRPr="00945B16" w:rsidRDefault="00945B16" w:rsidP="00343979">
            <w:pPr>
              <w:pStyle w:val="TableFiguresBold0"/>
            </w:pPr>
            <w:r w:rsidRPr="00945B16">
              <w:t>5</w:t>
            </w:r>
          </w:p>
        </w:tc>
        <w:tc>
          <w:tcPr>
            <w:tcW w:w="1134" w:type="dxa"/>
            <w:vAlign w:val="bottom"/>
          </w:tcPr>
          <w:p w14:paraId="51D85C81" w14:textId="00DC439E" w:rsidR="00343979" w:rsidRPr="00945B16" w:rsidRDefault="00945B16" w:rsidP="00343979">
            <w:pPr>
              <w:pStyle w:val="TableFigures"/>
              <w:rPr>
                <w:b/>
              </w:rPr>
            </w:pPr>
            <w:r w:rsidRPr="00945B16">
              <w:t>4</w:t>
            </w:r>
          </w:p>
        </w:tc>
      </w:tr>
      <w:tr w:rsidR="005F6D8A" w:rsidRPr="00945B16" w14:paraId="3DC295F0" w14:textId="77777777" w:rsidTr="00E83694">
        <w:tc>
          <w:tcPr>
            <w:tcW w:w="7655" w:type="dxa"/>
            <w:shd w:val="clear" w:color="auto" w:fill="auto"/>
            <w:vAlign w:val="bottom"/>
          </w:tcPr>
          <w:p w14:paraId="5EF762E1" w14:textId="77777777" w:rsidR="00343979" w:rsidRPr="00945B16" w:rsidRDefault="00343979" w:rsidP="00343979">
            <w:pPr>
              <w:pStyle w:val="Tabletext"/>
            </w:pPr>
            <w:r w:rsidRPr="00945B16">
              <w:t xml:space="preserve">   Share of profit from joint ventures after tax</w:t>
            </w:r>
          </w:p>
        </w:tc>
        <w:tc>
          <w:tcPr>
            <w:tcW w:w="1417" w:type="dxa"/>
            <w:shd w:val="clear" w:color="auto" w:fill="auto"/>
          </w:tcPr>
          <w:p w14:paraId="53994B32" w14:textId="464A6DF4" w:rsidR="00343979" w:rsidRPr="00945B16" w:rsidRDefault="00945B16" w:rsidP="00730CF0">
            <w:pPr>
              <w:pStyle w:val="TableFiguresBracketsBold"/>
            </w:pPr>
            <w:r w:rsidRPr="00945B16">
              <w:t>(461)</w:t>
            </w:r>
          </w:p>
        </w:tc>
        <w:tc>
          <w:tcPr>
            <w:tcW w:w="1134" w:type="dxa"/>
            <w:vAlign w:val="bottom"/>
          </w:tcPr>
          <w:p w14:paraId="3AE6A7DD" w14:textId="4152302A" w:rsidR="00343979" w:rsidRPr="00945B16" w:rsidRDefault="00945B16" w:rsidP="00343979">
            <w:pPr>
              <w:pStyle w:val="TableFiguresBrackets"/>
            </w:pPr>
            <w:r w:rsidRPr="00945B16">
              <w:t>(236)</w:t>
            </w:r>
          </w:p>
        </w:tc>
      </w:tr>
      <w:tr w:rsidR="005F6D8A" w:rsidRPr="00945B16" w14:paraId="414C2AC0" w14:textId="77777777" w:rsidTr="00E83694">
        <w:tc>
          <w:tcPr>
            <w:tcW w:w="7655" w:type="dxa"/>
            <w:shd w:val="clear" w:color="auto" w:fill="auto"/>
            <w:vAlign w:val="bottom"/>
          </w:tcPr>
          <w:p w14:paraId="6CFEEB0E" w14:textId="77777777" w:rsidR="00343979" w:rsidRPr="00945B16" w:rsidRDefault="00343979" w:rsidP="00343979">
            <w:pPr>
              <w:pStyle w:val="Tabletext"/>
            </w:pPr>
            <w:r w:rsidRPr="00945B16">
              <w:t xml:space="preserve">   Profit on sale of investment properties</w:t>
            </w:r>
          </w:p>
        </w:tc>
        <w:tc>
          <w:tcPr>
            <w:tcW w:w="1417" w:type="dxa"/>
            <w:shd w:val="clear" w:color="auto" w:fill="auto"/>
          </w:tcPr>
          <w:p w14:paraId="0A8C743F" w14:textId="5FF442BD" w:rsidR="00343979" w:rsidRPr="00945B16" w:rsidRDefault="00945B16" w:rsidP="00730CF0">
            <w:pPr>
              <w:pStyle w:val="TableFiguresBracketsBold"/>
            </w:pPr>
            <w:r w:rsidRPr="00945B16">
              <w:t>(53)</w:t>
            </w:r>
          </w:p>
        </w:tc>
        <w:tc>
          <w:tcPr>
            <w:tcW w:w="1134" w:type="dxa"/>
            <w:vAlign w:val="bottom"/>
          </w:tcPr>
          <w:p w14:paraId="4954479D" w14:textId="6B4CC857" w:rsidR="00343979" w:rsidRPr="00945B16" w:rsidRDefault="00945B16" w:rsidP="00343979">
            <w:pPr>
              <w:pStyle w:val="TableFiguresBrackets"/>
            </w:pPr>
            <w:r w:rsidRPr="00945B16">
              <w:t>(5)</w:t>
            </w:r>
          </w:p>
        </w:tc>
      </w:tr>
      <w:tr w:rsidR="005F6D8A" w:rsidRPr="00945B16" w14:paraId="3E06BCDA" w14:textId="77777777" w:rsidTr="00E83694">
        <w:tc>
          <w:tcPr>
            <w:tcW w:w="7655" w:type="dxa"/>
            <w:shd w:val="clear" w:color="auto" w:fill="auto"/>
            <w:vAlign w:val="bottom"/>
          </w:tcPr>
          <w:p w14:paraId="355E07A8" w14:textId="77777777" w:rsidR="00343979" w:rsidRPr="00945B16" w:rsidRDefault="00343979" w:rsidP="00343979">
            <w:pPr>
              <w:pStyle w:val="Tabletext"/>
            </w:pPr>
            <w:r w:rsidRPr="00945B16">
              <w:t xml:space="preserve">   Revaluation surplus on investment properties</w:t>
            </w:r>
          </w:p>
        </w:tc>
        <w:tc>
          <w:tcPr>
            <w:tcW w:w="1417" w:type="dxa"/>
            <w:shd w:val="clear" w:color="auto" w:fill="auto"/>
          </w:tcPr>
          <w:p w14:paraId="735878B1" w14:textId="3C5E7DC7" w:rsidR="00343979" w:rsidRPr="00945B16" w:rsidRDefault="00945B16" w:rsidP="00730CF0">
            <w:pPr>
              <w:pStyle w:val="TableFiguresBracketsBold"/>
            </w:pPr>
            <w:r w:rsidRPr="00945B16">
              <w:t>(3,617)</w:t>
            </w:r>
          </w:p>
        </w:tc>
        <w:tc>
          <w:tcPr>
            <w:tcW w:w="1134" w:type="dxa"/>
            <w:vAlign w:val="bottom"/>
          </w:tcPr>
          <w:p w14:paraId="241B1524" w14:textId="2FB63F01" w:rsidR="00343979" w:rsidRPr="00945B16" w:rsidRDefault="00945B16" w:rsidP="00343979">
            <w:pPr>
              <w:pStyle w:val="TableFiguresBrackets"/>
            </w:pPr>
            <w:r w:rsidRPr="00945B16">
              <w:t>(97</w:t>
            </w:r>
            <w:r w:rsidR="00FF04DA">
              <w:t>1</w:t>
            </w:r>
            <w:r w:rsidRPr="00945B16">
              <w:t>)</w:t>
            </w:r>
          </w:p>
        </w:tc>
      </w:tr>
      <w:tr w:rsidR="005F6D8A" w:rsidRPr="00945B16" w14:paraId="64DEF1DD" w14:textId="77777777" w:rsidTr="00E83694">
        <w:tc>
          <w:tcPr>
            <w:tcW w:w="7655" w:type="dxa"/>
            <w:shd w:val="clear" w:color="auto" w:fill="auto"/>
            <w:vAlign w:val="bottom"/>
          </w:tcPr>
          <w:p w14:paraId="2387C892" w14:textId="77777777" w:rsidR="00343979" w:rsidRPr="00945B16" w:rsidRDefault="00343979" w:rsidP="00343979">
            <w:pPr>
              <w:pStyle w:val="Tabletext"/>
            </w:pPr>
            <w:r w:rsidRPr="00945B16">
              <w:t xml:space="preserve">   Valuation gain on other investments</w:t>
            </w:r>
          </w:p>
        </w:tc>
        <w:tc>
          <w:tcPr>
            <w:tcW w:w="1417" w:type="dxa"/>
            <w:shd w:val="clear" w:color="auto" w:fill="auto"/>
          </w:tcPr>
          <w:p w14:paraId="2B26468F" w14:textId="2FA22245" w:rsidR="00343979" w:rsidRPr="00945B16" w:rsidRDefault="00945B16" w:rsidP="007B28BE">
            <w:pPr>
              <w:pStyle w:val="TableFiguresBold0"/>
            </w:pPr>
            <w:r w:rsidRPr="00945B16">
              <w:t>–</w:t>
            </w:r>
          </w:p>
        </w:tc>
        <w:tc>
          <w:tcPr>
            <w:tcW w:w="1134" w:type="dxa"/>
            <w:vAlign w:val="bottom"/>
          </w:tcPr>
          <w:p w14:paraId="766D944B" w14:textId="58E6A016" w:rsidR="00343979" w:rsidRPr="00945B16" w:rsidRDefault="00945B16" w:rsidP="00343979">
            <w:pPr>
              <w:pStyle w:val="TableFiguresBrackets"/>
            </w:pPr>
            <w:r w:rsidRPr="00945B16">
              <w:t>(14)</w:t>
            </w:r>
          </w:p>
        </w:tc>
      </w:tr>
      <w:tr w:rsidR="005F6D8A" w:rsidRPr="00945B16" w14:paraId="7513ACB8" w14:textId="77777777" w:rsidTr="00E83694">
        <w:tc>
          <w:tcPr>
            <w:tcW w:w="7655" w:type="dxa"/>
            <w:shd w:val="clear" w:color="auto" w:fill="auto"/>
            <w:vAlign w:val="bottom"/>
          </w:tcPr>
          <w:p w14:paraId="67953B4C" w14:textId="77777777" w:rsidR="00343979" w:rsidRPr="00945B16" w:rsidRDefault="00343979" w:rsidP="00343979">
            <w:pPr>
              <w:pStyle w:val="Tabletext"/>
            </w:pPr>
            <w:r w:rsidRPr="00945B16">
              <w:t xml:space="preserve">   Other provisions</w:t>
            </w:r>
          </w:p>
        </w:tc>
        <w:tc>
          <w:tcPr>
            <w:tcW w:w="1417" w:type="dxa"/>
            <w:shd w:val="clear" w:color="auto" w:fill="auto"/>
          </w:tcPr>
          <w:p w14:paraId="6310BF41" w14:textId="1974B7F1" w:rsidR="00343979" w:rsidRPr="00945B16" w:rsidRDefault="00945B16" w:rsidP="00343979">
            <w:pPr>
              <w:pStyle w:val="TableFiguresBold0"/>
            </w:pPr>
            <w:r w:rsidRPr="00945B16">
              <w:t>9</w:t>
            </w:r>
          </w:p>
        </w:tc>
        <w:tc>
          <w:tcPr>
            <w:tcW w:w="1134" w:type="dxa"/>
            <w:vAlign w:val="bottom"/>
          </w:tcPr>
          <w:p w14:paraId="148608FE" w14:textId="6B8B9A58" w:rsidR="00343979" w:rsidRPr="00945B16" w:rsidRDefault="00945B16" w:rsidP="00343979">
            <w:pPr>
              <w:pStyle w:val="TableFigures"/>
            </w:pPr>
            <w:r w:rsidRPr="00945B16">
              <w:t>4</w:t>
            </w:r>
          </w:p>
        </w:tc>
      </w:tr>
      <w:tr w:rsidR="005F6D8A" w:rsidRPr="00945B16" w14:paraId="3BEF2023" w14:textId="77777777" w:rsidTr="00E30618">
        <w:tc>
          <w:tcPr>
            <w:tcW w:w="7655" w:type="dxa"/>
            <w:tcBorders>
              <w:top w:val="single" w:sz="4" w:space="0" w:color="999999"/>
            </w:tcBorders>
            <w:shd w:val="clear" w:color="auto" w:fill="auto"/>
            <w:vAlign w:val="bottom"/>
          </w:tcPr>
          <w:p w14:paraId="0ED614BE" w14:textId="77777777" w:rsidR="00343979" w:rsidRPr="00945B16" w:rsidRDefault="00343979" w:rsidP="00343979">
            <w:pPr>
              <w:pStyle w:val="Tabletext"/>
              <w:rPr>
                <w:szCs w:val="20"/>
              </w:rPr>
            </w:pPr>
          </w:p>
        </w:tc>
        <w:tc>
          <w:tcPr>
            <w:tcW w:w="1417" w:type="dxa"/>
            <w:tcBorders>
              <w:top w:val="single" w:sz="4" w:space="0" w:color="999999"/>
            </w:tcBorders>
            <w:shd w:val="clear" w:color="auto" w:fill="auto"/>
            <w:vAlign w:val="bottom"/>
          </w:tcPr>
          <w:p w14:paraId="45E68747" w14:textId="2A5233FE" w:rsidR="00343979" w:rsidRPr="00945B16" w:rsidRDefault="00945B16" w:rsidP="00343979">
            <w:pPr>
              <w:pStyle w:val="TableFiguresBold0"/>
            </w:pPr>
            <w:r w:rsidRPr="00945B16">
              <w:t>360</w:t>
            </w:r>
          </w:p>
        </w:tc>
        <w:tc>
          <w:tcPr>
            <w:tcW w:w="1134" w:type="dxa"/>
            <w:tcBorders>
              <w:top w:val="single" w:sz="4" w:space="0" w:color="999999"/>
            </w:tcBorders>
            <w:shd w:val="clear" w:color="auto" w:fill="auto"/>
            <w:vAlign w:val="bottom"/>
          </w:tcPr>
          <w:p w14:paraId="37E088DC" w14:textId="00AA4272" w:rsidR="00343979" w:rsidRPr="00945B16" w:rsidRDefault="00945B16" w:rsidP="00343979">
            <w:pPr>
              <w:pStyle w:val="TableFigures"/>
              <w:rPr>
                <w:b/>
              </w:rPr>
            </w:pPr>
            <w:r w:rsidRPr="00945B16">
              <w:t>283</w:t>
            </w:r>
          </w:p>
        </w:tc>
      </w:tr>
      <w:tr w:rsidR="005F6D8A" w:rsidRPr="00945B16" w14:paraId="55E033B3" w14:textId="77777777" w:rsidTr="00E30618">
        <w:tc>
          <w:tcPr>
            <w:tcW w:w="7655" w:type="dxa"/>
            <w:shd w:val="clear" w:color="auto" w:fill="auto"/>
            <w:vAlign w:val="bottom"/>
          </w:tcPr>
          <w:p w14:paraId="5FB0ABBD" w14:textId="77777777" w:rsidR="00343979" w:rsidRPr="00945B16" w:rsidRDefault="00343979" w:rsidP="00343979">
            <w:pPr>
              <w:pStyle w:val="TabletextBold"/>
              <w:rPr>
                <w:szCs w:val="20"/>
              </w:rPr>
            </w:pPr>
            <w:r w:rsidRPr="00945B16">
              <w:rPr>
                <w:szCs w:val="20"/>
              </w:rPr>
              <w:t>Changes in working capital:</w:t>
            </w:r>
          </w:p>
        </w:tc>
        <w:tc>
          <w:tcPr>
            <w:tcW w:w="1417" w:type="dxa"/>
            <w:shd w:val="clear" w:color="auto" w:fill="auto"/>
            <w:vAlign w:val="bottom"/>
          </w:tcPr>
          <w:p w14:paraId="17B96760" w14:textId="77777777" w:rsidR="00343979" w:rsidRPr="00945B16" w:rsidRDefault="00343979" w:rsidP="00343979">
            <w:pPr>
              <w:pStyle w:val="TableFiguresBold0"/>
            </w:pPr>
          </w:p>
        </w:tc>
        <w:tc>
          <w:tcPr>
            <w:tcW w:w="1134" w:type="dxa"/>
            <w:shd w:val="clear" w:color="auto" w:fill="auto"/>
            <w:vAlign w:val="bottom"/>
          </w:tcPr>
          <w:p w14:paraId="3EBF8F10" w14:textId="77777777" w:rsidR="00343979" w:rsidRPr="00945B16" w:rsidRDefault="00343979" w:rsidP="00343979">
            <w:pPr>
              <w:pStyle w:val="TableFigures"/>
              <w:rPr>
                <w:b/>
              </w:rPr>
            </w:pPr>
          </w:p>
        </w:tc>
      </w:tr>
      <w:tr w:rsidR="005F6D8A" w:rsidRPr="00945B16" w14:paraId="1DEAA135" w14:textId="77777777" w:rsidTr="00E30618">
        <w:tc>
          <w:tcPr>
            <w:tcW w:w="7655" w:type="dxa"/>
            <w:shd w:val="clear" w:color="auto" w:fill="auto"/>
            <w:vAlign w:val="bottom"/>
          </w:tcPr>
          <w:p w14:paraId="152C4088" w14:textId="5BFE6663" w:rsidR="00343979" w:rsidRPr="00945B16" w:rsidRDefault="00945B16" w:rsidP="00343979">
            <w:pPr>
              <w:pStyle w:val="Tabletext"/>
              <w:rPr>
                <w:szCs w:val="20"/>
              </w:rPr>
            </w:pPr>
            <w:r w:rsidRPr="00945B16">
              <w:rPr>
                <w:szCs w:val="20"/>
              </w:rPr>
              <w:t>D</w:t>
            </w:r>
            <w:r w:rsidR="00343979" w:rsidRPr="00945B16">
              <w:rPr>
                <w:szCs w:val="20"/>
              </w:rPr>
              <w:t>ecrease</w:t>
            </w:r>
            <w:r w:rsidRPr="00945B16">
              <w:rPr>
                <w:szCs w:val="20"/>
              </w:rPr>
              <w:t>/</w:t>
            </w:r>
            <w:r w:rsidR="00D7207E">
              <w:rPr>
                <w:szCs w:val="20"/>
              </w:rPr>
              <w:t>(</w:t>
            </w:r>
            <w:r w:rsidRPr="00945B16">
              <w:rPr>
                <w:szCs w:val="20"/>
              </w:rPr>
              <w:t>increase</w:t>
            </w:r>
            <w:r w:rsidR="00D7207E">
              <w:rPr>
                <w:szCs w:val="20"/>
              </w:rPr>
              <w:t>)</w:t>
            </w:r>
            <w:r w:rsidR="00343979" w:rsidRPr="00945B16">
              <w:rPr>
                <w:szCs w:val="20"/>
              </w:rPr>
              <w:t xml:space="preserve"> in trading properties</w:t>
            </w:r>
          </w:p>
        </w:tc>
        <w:tc>
          <w:tcPr>
            <w:tcW w:w="1417" w:type="dxa"/>
            <w:shd w:val="clear" w:color="auto" w:fill="auto"/>
            <w:vAlign w:val="bottom"/>
          </w:tcPr>
          <w:p w14:paraId="5DB46776" w14:textId="4F212641" w:rsidR="00343979" w:rsidRPr="00945B16" w:rsidRDefault="00945B16" w:rsidP="007B28BE">
            <w:pPr>
              <w:pStyle w:val="TableFiguresBold0"/>
            </w:pPr>
            <w:r w:rsidRPr="00945B16">
              <w:t>12</w:t>
            </w:r>
          </w:p>
        </w:tc>
        <w:tc>
          <w:tcPr>
            <w:tcW w:w="1134" w:type="dxa"/>
            <w:vAlign w:val="bottom"/>
          </w:tcPr>
          <w:p w14:paraId="6CF213B3" w14:textId="0A07605B" w:rsidR="00343979" w:rsidRPr="00945B16" w:rsidRDefault="00945B16" w:rsidP="00343979">
            <w:pPr>
              <w:pStyle w:val="TableFiguresBrackets"/>
              <w:rPr>
                <w:b/>
              </w:rPr>
            </w:pPr>
            <w:r w:rsidRPr="00945B16">
              <w:t>(20)</w:t>
            </w:r>
          </w:p>
        </w:tc>
      </w:tr>
      <w:tr w:rsidR="005F6D8A" w:rsidRPr="00945B16" w14:paraId="483768D3" w14:textId="77777777" w:rsidTr="00E30618">
        <w:tc>
          <w:tcPr>
            <w:tcW w:w="7655" w:type="dxa"/>
            <w:shd w:val="clear" w:color="auto" w:fill="auto"/>
            <w:vAlign w:val="bottom"/>
          </w:tcPr>
          <w:p w14:paraId="4D372660" w14:textId="0AA9E807" w:rsidR="00343979" w:rsidRPr="00945B16" w:rsidRDefault="00343979" w:rsidP="00343979">
            <w:pPr>
              <w:pStyle w:val="Tabletext"/>
              <w:rPr>
                <w:szCs w:val="20"/>
              </w:rPr>
            </w:pPr>
            <w:r w:rsidRPr="00945B16">
              <w:rPr>
                <w:szCs w:val="20"/>
              </w:rPr>
              <w:t>Increase</w:t>
            </w:r>
            <w:r w:rsidRPr="00945B16" w:rsidDel="00A94487">
              <w:rPr>
                <w:szCs w:val="20"/>
              </w:rPr>
              <w:t xml:space="preserve"> </w:t>
            </w:r>
            <w:r w:rsidRPr="00945B16">
              <w:rPr>
                <w:szCs w:val="20"/>
              </w:rPr>
              <w:t>in debtors and tenant incentives</w:t>
            </w:r>
          </w:p>
        </w:tc>
        <w:tc>
          <w:tcPr>
            <w:tcW w:w="1417" w:type="dxa"/>
            <w:shd w:val="clear" w:color="auto" w:fill="auto"/>
            <w:vAlign w:val="bottom"/>
          </w:tcPr>
          <w:p w14:paraId="57C80C96" w14:textId="6F2FE318" w:rsidR="00343979" w:rsidRPr="00945B16" w:rsidRDefault="00945B16" w:rsidP="00343979">
            <w:pPr>
              <w:pStyle w:val="TableFiguresBracketsBold"/>
            </w:pPr>
            <w:r w:rsidRPr="00945B16">
              <w:t>(49)</w:t>
            </w:r>
          </w:p>
        </w:tc>
        <w:tc>
          <w:tcPr>
            <w:tcW w:w="1134" w:type="dxa"/>
            <w:vAlign w:val="bottom"/>
          </w:tcPr>
          <w:p w14:paraId="3097BCEC" w14:textId="49375DCD" w:rsidR="00343979" w:rsidRPr="00945B16" w:rsidRDefault="00945B16" w:rsidP="00343979">
            <w:pPr>
              <w:pStyle w:val="TableFiguresBrackets"/>
              <w:rPr>
                <w:b/>
              </w:rPr>
            </w:pPr>
            <w:r w:rsidRPr="00945B16">
              <w:t>(52)</w:t>
            </w:r>
          </w:p>
        </w:tc>
      </w:tr>
      <w:tr w:rsidR="005F6D8A" w:rsidRPr="00945B16" w14:paraId="312A87FB" w14:textId="77777777" w:rsidTr="00E30618">
        <w:tc>
          <w:tcPr>
            <w:tcW w:w="7655" w:type="dxa"/>
            <w:tcBorders>
              <w:bottom w:val="single" w:sz="4" w:space="0" w:color="999999"/>
            </w:tcBorders>
            <w:shd w:val="clear" w:color="auto" w:fill="auto"/>
            <w:vAlign w:val="bottom"/>
          </w:tcPr>
          <w:p w14:paraId="10BD3E3F" w14:textId="23D29010" w:rsidR="00343979" w:rsidRPr="00945B16" w:rsidRDefault="00343979" w:rsidP="00343979">
            <w:pPr>
              <w:pStyle w:val="Tabletext"/>
              <w:rPr>
                <w:szCs w:val="20"/>
              </w:rPr>
            </w:pPr>
            <w:r w:rsidRPr="00945B16">
              <w:rPr>
                <w:szCs w:val="20"/>
              </w:rPr>
              <w:t>Increase in creditors</w:t>
            </w:r>
          </w:p>
        </w:tc>
        <w:tc>
          <w:tcPr>
            <w:tcW w:w="1417" w:type="dxa"/>
            <w:tcBorders>
              <w:bottom w:val="single" w:sz="4" w:space="0" w:color="999999"/>
            </w:tcBorders>
            <w:shd w:val="clear" w:color="auto" w:fill="auto"/>
            <w:vAlign w:val="bottom"/>
          </w:tcPr>
          <w:p w14:paraId="4709B753" w14:textId="42475CD5" w:rsidR="00343979" w:rsidRPr="00945B16" w:rsidRDefault="00945B16" w:rsidP="00343979">
            <w:pPr>
              <w:pStyle w:val="TableFiguresBold0"/>
            </w:pPr>
            <w:r w:rsidRPr="00945B16">
              <w:t>24</w:t>
            </w:r>
          </w:p>
        </w:tc>
        <w:tc>
          <w:tcPr>
            <w:tcW w:w="1134" w:type="dxa"/>
            <w:tcBorders>
              <w:bottom w:val="single" w:sz="4" w:space="0" w:color="999999"/>
            </w:tcBorders>
            <w:shd w:val="clear" w:color="auto" w:fill="auto"/>
            <w:vAlign w:val="bottom"/>
          </w:tcPr>
          <w:p w14:paraId="5ACACD15" w14:textId="0CF46A74" w:rsidR="00343979" w:rsidRPr="00945B16" w:rsidRDefault="00945B16" w:rsidP="00343979">
            <w:pPr>
              <w:pStyle w:val="TableFigures"/>
              <w:rPr>
                <w:b/>
              </w:rPr>
            </w:pPr>
            <w:r w:rsidRPr="00945B16">
              <w:t>22</w:t>
            </w:r>
          </w:p>
        </w:tc>
      </w:tr>
      <w:tr w:rsidR="00343979" w:rsidRPr="00945B16" w14:paraId="4187160D" w14:textId="77777777" w:rsidTr="00E30618">
        <w:tc>
          <w:tcPr>
            <w:tcW w:w="7655" w:type="dxa"/>
            <w:tcBorders>
              <w:top w:val="single" w:sz="4" w:space="0" w:color="999999"/>
              <w:bottom w:val="single" w:sz="8" w:space="0" w:color="999999"/>
            </w:tcBorders>
            <w:shd w:val="clear" w:color="auto" w:fill="auto"/>
            <w:vAlign w:val="bottom"/>
          </w:tcPr>
          <w:p w14:paraId="47AF6A7F" w14:textId="49AAC5BF" w:rsidR="00343979" w:rsidRPr="00945B16" w:rsidRDefault="00343979" w:rsidP="00343979">
            <w:pPr>
              <w:pStyle w:val="TabletextBold"/>
              <w:rPr>
                <w:szCs w:val="20"/>
              </w:rPr>
            </w:pPr>
            <w:r w:rsidRPr="00945B16">
              <w:rPr>
                <w:szCs w:val="20"/>
              </w:rPr>
              <w:t>Net cash inflow generated from operations</w:t>
            </w:r>
          </w:p>
        </w:tc>
        <w:tc>
          <w:tcPr>
            <w:tcW w:w="1417" w:type="dxa"/>
            <w:tcBorders>
              <w:top w:val="single" w:sz="4" w:space="0" w:color="999999"/>
              <w:bottom w:val="single" w:sz="8" w:space="0" w:color="999999"/>
            </w:tcBorders>
            <w:shd w:val="clear" w:color="auto" w:fill="auto"/>
            <w:vAlign w:val="bottom"/>
          </w:tcPr>
          <w:p w14:paraId="2F955A76" w14:textId="21BC0C7C" w:rsidR="00343979" w:rsidRPr="00945B16" w:rsidRDefault="00945B16" w:rsidP="00343979">
            <w:pPr>
              <w:pStyle w:val="TableFiguresBold0"/>
            </w:pPr>
            <w:r w:rsidRPr="00945B16">
              <w:t>347</w:t>
            </w:r>
          </w:p>
        </w:tc>
        <w:tc>
          <w:tcPr>
            <w:tcW w:w="1134" w:type="dxa"/>
            <w:tcBorders>
              <w:top w:val="single" w:sz="4" w:space="0" w:color="999999"/>
              <w:bottom w:val="single" w:sz="8" w:space="0" w:color="999999"/>
            </w:tcBorders>
            <w:shd w:val="clear" w:color="auto" w:fill="auto"/>
            <w:vAlign w:val="bottom"/>
          </w:tcPr>
          <w:p w14:paraId="0FBC2FEB" w14:textId="68F4265D" w:rsidR="00343979" w:rsidRPr="00945B16" w:rsidRDefault="00945B16" w:rsidP="00343979">
            <w:pPr>
              <w:pStyle w:val="TableFigures"/>
              <w:rPr>
                <w:b/>
              </w:rPr>
            </w:pPr>
            <w:r w:rsidRPr="00945B16">
              <w:t>233</w:t>
            </w:r>
          </w:p>
        </w:tc>
      </w:tr>
    </w:tbl>
    <w:p w14:paraId="2EF48A21" w14:textId="73DCFEB7" w:rsidR="005E793C" w:rsidRDefault="005E793C" w:rsidP="005E793C">
      <w:pPr>
        <w:pStyle w:val="FootnotesNoSpace"/>
        <w:ind w:left="360"/>
        <w:rPr>
          <w:i w:val="0"/>
          <w:color w:val="FF0000"/>
          <w:highlight w:val="yellow"/>
        </w:rPr>
      </w:pPr>
    </w:p>
    <w:p w14:paraId="00249A2F" w14:textId="173BBF8A" w:rsidR="00FD1A13" w:rsidRDefault="00FD1A13" w:rsidP="005E793C">
      <w:pPr>
        <w:pStyle w:val="FootnotesNoSpace"/>
        <w:ind w:left="360"/>
        <w:rPr>
          <w:i w:val="0"/>
          <w:color w:val="FF0000"/>
          <w:highlight w:val="yellow"/>
        </w:rPr>
      </w:pPr>
    </w:p>
    <w:p w14:paraId="6A2FC907" w14:textId="5C4A31A5" w:rsidR="00FD1A13" w:rsidRDefault="00FD1A13" w:rsidP="005E793C">
      <w:pPr>
        <w:pStyle w:val="FootnotesNoSpace"/>
        <w:ind w:left="360"/>
        <w:rPr>
          <w:i w:val="0"/>
          <w:color w:val="FF0000"/>
          <w:highlight w:val="yellow"/>
        </w:rPr>
      </w:pPr>
    </w:p>
    <w:p w14:paraId="255F71DE" w14:textId="59A00CD7" w:rsidR="00D565C4" w:rsidRDefault="00D565C4" w:rsidP="005E793C">
      <w:pPr>
        <w:pStyle w:val="FootnotesNoSpace"/>
        <w:ind w:left="360"/>
        <w:rPr>
          <w:i w:val="0"/>
          <w:color w:val="FF0000"/>
          <w:highlight w:val="yellow"/>
        </w:rPr>
      </w:pPr>
    </w:p>
    <w:p w14:paraId="6C1980F9" w14:textId="2975CDBD" w:rsidR="00D565C4" w:rsidRDefault="00D565C4" w:rsidP="005E793C">
      <w:pPr>
        <w:pStyle w:val="FootnotesNoSpace"/>
        <w:ind w:left="360"/>
        <w:rPr>
          <w:i w:val="0"/>
          <w:color w:val="FF0000"/>
          <w:highlight w:val="yellow"/>
        </w:rPr>
      </w:pPr>
    </w:p>
    <w:p w14:paraId="27629A1D" w14:textId="0CBF04D5" w:rsidR="00D565C4" w:rsidRDefault="00D565C4" w:rsidP="005E793C">
      <w:pPr>
        <w:pStyle w:val="FootnotesNoSpace"/>
        <w:ind w:left="360"/>
        <w:rPr>
          <w:i w:val="0"/>
          <w:color w:val="FF0000"/>
          <w:highlight w:val="yellow"/>
        </w:rPr>
      </w:pPr>
    </w:p>
    <w:p w14:paraId="17291EFF" w14:textId="1F96D848" w:rsidR="00D565C4" w:rsidRDefault="00D565C4" w:rsidP="005E793C">
      <w:pPr>
        <w:pStyle w:val="FootnotesNoSpace"/>
        <w:ind w:left="360"/>
        <w:rPr>
          <w:i w:val="0"/>
          <w:color w:val="FF0000"/>
          <w:highlight w:val="yellow"/>
        </w:rPr>
      </w:pPr>
    </w:p>
    <w:p w14:paraId="78F40C1B" w14:textId="77777777" w:rsidR="00D565C4" w:rsidRDefault="00D565C4" w:rsidP="005E793C">
      <w:pPr>
        <w:pStyle w:val="FootnotesNoSpace"/>
        <w:ind w:left="360"/>
        <w:rPr>
          <w:i w:val="0"/>
          <w:color w:val="FF0000"/>
          <w:highlight w:val="yellow"/>
        </w:rPr>
      </w:pPr>
    </w:p>
    <w:p w14:paraId="2242AE21" w14:textId="731EF71C" w:rsidR="00FD1A13" w:rsidRDefault="00FD1A13" w:rsidP="005E793C">
      <w:pPr>
        <w:pStyle w:val="FootnotesNoSpace"/>
        <w:ind w:left="360"/>
        <w:rPr>
          <w:i w:val="0"/>
          <w:color w:val="FF0000"/>
          <w:highlight w:val="yellow"/>
        </w:rPr>
      </w:pPr>
    </w:p>
    <w:p w14:paraId="05FAE62F" w14:textId="055D5A0A" w:rsidR="00FD1A13" w:rsidRDefault="00FD1A13" w:rsidP="005E793C">
      <w:pPr>
        <w:pStyle w:val="FootnotesNoSpace"/>
        <w:ind w:left="360"/>
        <w:rPr>
          <w:i w:val="0"/>
          <w:color w:val="FF0000"/>
          <w:highlight w:val="yellow"/>
        </w:rPr>
      </w:pPr>
    </w:p>
    <w:p w14:paraId="6953F79D" w14:textId="554F34E6" w:rsidR="00FD1A13" w:rsidRDefault="00FD1A13" w:rsidP="005E793C">
      <w:pPr>
        <w:pStyle w:val="FootnotesNoSpace"/>
        <w:ind w:left="360"/>
        <w:rPr>
          <w:i w:val="0"/>
          <w:color w:val="FF0000"/>
          <w:highlight w:val="yellow"/>
        </w:rPr>
      </w:pPr>
    </w:p>
    <w:p w14:paraId="5AAD46DA" w14:textId="77777777" w:rsidR="00FD1A13" w:rsidRPr="005F6D8A" w:rsidRDefault="00FD1A13" w:rsidP="005E793C">
      <w:pPr>
        <w:pStyle w:val="FootnotesNoSpace"/>
        <w:ind w:left="360"/>
        <w:rPr>
          <w:i w:val="0"/>
          <w:color w:val="FF0000"/>
          <w:highlight w:val="yellow"/>
        </w:rPr>
      </w:pPr>
    </w:p>
    <w:p w14:paraId="772C5B35" w14:textId="728C233B" w:rsidR="00340D27" w:rsidRPr="00945B16" w:rsidRDefault="00340D27" w:rsidP="00340D27">
      <w:pPr>
        <w:pStyle w:val="Heading3"/>
      </w:pPr>
      <w:r w:rsidRPr="00945B16">
        <w:lastRenderedPageBreak/>
        <w:t>1</w:t>
      </w:r>
      <w:r w:rsidR="00945B16">
        <w:t>4</w:t>
      </w:r>
      <w:r w:rsidRPr="00945B16">
        <w:t>(ii) Analysis of net debt</w:t>
      </w:r>
    </w:p>
    <w:tbl>
      <w:tblPr>
        <w:tblW w:w="10206" w:type="dxa"/>
        <w:tblLayout w:type="fixed"/>
        <w:tblCellMar>
          <w:left w:w="0" w:type="dxa"/>
          <w:right w:w="0" w:type="dxa"/>
        </w:tblCellMar>
        <w:tblLook w:val="01E0" w:firstRow="1" w:lastRow="1" w:firstColumn="1" w:lastColumn="1" w:noHBand="0" w:noVBand="0"/>
      </w:tblPr>
      <w:tblGrid>
        <w:gridCol w:w="4536"/>
        <w:gridCol w:w="851"/>
        <w:gridCol w:w="709"/>
        <w:gridCol w:w="850"/>
        <w:gridCol w:w="142"/>
        <w:gridCol w:w="992"/>
        <w:gridCol w:w="992"/>
        <w:gridCol w:w="1134"/>
      </w:tblGrid>
      <w:tr w:rsidR="00945B16" w:rsidRPr="00945B16" w14:paraId="1EC69C40" w14:textId="77777777" w:rsidTr="00945B16">
        <w:tc>
          <w:tcPr>
            <w:tcW w:w="4536" w:type="dxa"/>
            <w:shd w:val="clear" w:color="auto" w:fill="auto"/>
            <w:vAlign w:val="bottom"/>
          </w:tcPr>
          <w:p w14:paraId="7BB3EEB2" w14:textId="77777777" w:rsidR="00945B16" w:rsidRPr="00945B16" w:rsidRDefault="00945B16" w:rsidP="005A5903">
            <w:pPr>
              <w:pStyle w:val="Tabletext"/>
              <w:spacing w:line="160" w:lineRule="atLeast"/>
            </w:pPr>
          </w:p>
        </w:tc>
        <w:tc>
          <w:tcPr>
            <w:tcW w:w="851" w:type="dxa"/>
            <w:shd w:val="clear" w:color="auto" w:fill="auto"/>
            <w:vAlign w:val="bottom"/>
          </w:tcPr>
          <w:p w14:paraId="40D918FA" w14:textId="77777777" w:rsidR="00945B16" w:rsidRPr="00945B16" w:rsidRDefault="00945B16" w:rsidP="005A5903">
            <w:pPr>
              <w:pStyle w:val="TableColHeads"/>
              <w:spacing w:line="160" w:lineRule="atLeast"/>
            </w:pPr>
            <w:r w:rsidRPr="00945B16" w:rsidDel="00602D31">
              <w:t xml:space="preserve"> </w:t>
            </w:r>
          </w:p>
        </w:tc>
        <w:tc>
          <w:tcPr>
            <w:tcW w:w="1559" w:type="dxa"/>
            <w:gridSpan w:val="2"/>
            <w:shd w:val="clear" w:color="auto" w:fill="auto"/>
            <w:vAlign w:val="bottom"/>
          </w:tcPr>
          <w:p w14:paraId="30F5AA7A" w14:textId="77777777" w:rsidR="00945B16" w:rsidRPr="00945B16" w:rsidRDefault="00945B16" w:rsidP="005A5903">
            <w:pPr>
              <w:pStyle w:val="TableColHeadsBold0"/>
              <w:jc w:val="center"/>
            </w:pPr>
            <w:r w:rsidRPr="00945B16">
              <w:t>Cash movements</w:t>
            </w:r>
          </w:p>
        </w:tc>
        <w:tc>
          <w:tcPr>
            <w:tcW w:w="142" w:type="dxa"/>
          </w:tcPr>
          <w:p w14:paraId="4A26305F" w14:textId="77777777" w:rsidR="00945B16" w:rsidRPr="00945B16" w:rsidRDefault="00945B16" w:rsidP="005A5903">
            <w:pPr>
              <w:pStyle w:val="TableColHeadsBold0"/>
              <w:jc w:val="center"/>
            </w:pPr>
          </w:p>
        </w:tc>
        <w:tc>
          <w:tcPr>
            <w:tcW w:w="1984" w:type="dxa"/>
            <w:gridSpan w:val="2"/>
            <w:tcBorders>
              <w:bottom w:val="single" w:sz="4" w:space="0" w:color="808080" w:themeColor="background1" w:themeShade="80"/>
            </w:tcBorders>
          </w:tcPr>
          <w:p w14:paraId="666079A1" w14:textId="6148A38B" w:rsidR="00945B16" w:rsidRPr="00945B16" w:rsidRDefault="00945B16" w:rsidP="005A5903">
            <w:pPr>
              <w:pStyle w:val="TableColHeadsBold0"/>
              <w:jc w:val="center"/>
            </w:pPr>
            <w:r w:rsidRPr="00945B16">
              <w:t>Non-cash adjustments</w:t>
            </w:r>
          </w:p>
        </w:tc>
        <w:tc>
          <w:tcPr>
            <w:tcW w:w="1134" w:type="dxa"/>
          </w:tcPr>
          <w:p w14:paraId="21BE5B70" w14:textId="527E2824" w:rsidR="00945B16" w:rsidRPr="00945B16" w:rsidRDefault="00945B16" w:rsidP="005A5903">
            <w:pPr>
              <w:pStyle w:val="TableColHeadsBold0"/>
              <w:jc w:val="center"/>
            </w:pPr>
          </w:p>
        </w:tc>
      </w:tr>
      <w:tr w:rsidR="00945B16" w:rsidRPr="00945B16" w14:paraId="0CE776BA" w14:textId="77777777" w:rsidTr="00945B16">
        <w:tc>
          <w:tcPr>
            <w:tcW w:w="4536" w:type="dxa"/>
            <w:tcBorders>
              <w:bottom w:val="single" w:sz="8" w:space="0" w:color="999999"/>
            </w:tcBorders>
            <w:shd w:val="clear" w:color="auto" w:fill="auto"/>
            <w:vAlign w:val="bottom"/>
          </w:tcPr>
          <w:p w14:paraId="4464FE72" w14:textId="77777777" w:rsidR="00945B16" w:rsidRPr="00945B16" w:rsidRDefault="00945B16" w:rsidP="005A5903">
            <w:pPr>
              <w:pStyle w:val="Tabletext"/>
              <w:spacing w:line="160" w:lineRule="atLeast"/>
            </w:pPr>
          </w:p>
        </w:tc>
        <w:tc>
          <w:tcPr>
            <w:tcW w:w="851" w:type="dxa"/>
            <w:tcBorders>
              <w:bottom w:val="single" w:sz="8" w:space="0" w:color="999999"/>
            </w:tcBorders>
            <w:shd w:val="clear" w:color="auto" w:fill="auto"/>
            <w:vAlign w:val="bottom"/>
          </w:tcPr>
          <w:p w14:paraId="718221EB" w14:textId="12A8F9A1" w:rsidR="00945B16" w:rsidRPr="00945B16" w:rsidRDefault="00945B16" w:rsidP="005A5903">
            <w:pPr>
              <w:pStyle w:val="TableColHeads"/>
              <w:spacing w:line="160" w:lineRule="atLeast"/>
              <w:rPr>
                <w:sz w:val="16"/>
                <w:szCs w:val="16"/>
              </w:rPr>
            </w:pPr>
            <w:r w:rsidRPr="00945B16">
              <w:rPr>
                <w:sz w:val="16"/>
                <w:szCs w:val="16"/>
              </w:rPr>
              <w:t xml:space="preserve">At             1 January </w:t>
            </w:r>
          </w:p>
          <w:p w14:paraId="285C31A7" w14:textId="751BEC5A" w:rsidR="00945B16" w:rsidRPr="00945B16" w:rsidRDefault="00945B16" w:rsidP="005A5903">
            <w:pPr>
              <w:pStyle w:val="TableColHeads"/>
              <w:spacing w:line="160" w:lineRule="atLeast"/>
              <w:rPr>
                <w:sz w:val="16"/>
                <w:szCs w:val="16"/>
              </w:rPr>
            </w:pPr>
            <w:r w:rsidRPr="00945B16">
              <w:rPr>
                <w:sz w:val="16"/>
                <w:szCs w:val="16"/>
              </w:rPr>
              <w:t>2021</w:t>
            </w:r>
            <w:r w:rsidRPr="00945B16">
              <w:rPr>
                <w:sz w:val="16"/>
                <w:szCs w:val="16"/>
              </w:rPr>
              <w:br/>
              <w:t xml:space="preserve"> £m</w:t>
            </w:r>
          </w:p>
        </w:tc>
        <w:tc>
          <w:tcPr>
            <w:tcW w:w="709" w:type="dxa"/>
            <w:tcBorders>
              <w:top w:val="single" w:sz="4" w:space="0" w:color="808080" w:themeColor="background1" w:themeShade="80"/>
              <w:bottom w:val="single" w:sz="8" w:space="0" w:color="999999"/>
            </w:tcBorders>
          </w:tcPr>
          <w:p w14:paraId="73E9A21D" w14:textId="1869A831" w:rsidR="00945B16" w:rsidRPr="00945B16" w:rsidRDefault="00945B16" w:rsidP="005A5903">
            <w:pPr>
              <w:pStyle w:val="TableColHeads"/>
              <w:spacing w:line="160" w:lineRule="atLeast"/>
              <w:rPr>
                <w:sz w:val="16"/>
                <w:szCs w:val="16"/>
              </w:rPr>
            </w:pPr>
          </w:p>
          <w:p w14:paraId="64FD398E" w14:textId="77777777" w:rsidR="00945B16" w:rsidRPr="00945B16" w:rsidRDefault="00945B16" w:rsidP="005A5903">
            <w:pPr>
              <w:pStyle w:val="TableColHeads"/>
              <w:spacing w:line="160" w:lineRule="atLeast"/>
              <w:rPr>
                <w:sz w:val="16"/>
                <w:szCs w:val="16"/>
              </w:rPr>
            </w:pPr>
          </w:p>
          <w:p w14:paraId="6195E2B6" w14:textId="0C94527B" w:rsidR="00945B16" w:rsidRPr="00945B16" w:rsidRDefault="00945B16" w:rsidP="005A5903">
            <w:pPr>
              <w:pStyle w:val="TableColHeads"/>
              <w:spacing w:line="160" w:lineRule="atLeast"/>
              <w:rPr>
                <w:sz w:val="16"/>
                <w:szCs w:val="16"/>
                <w:vertAlign w:val="superscript"/>
              </w:rPr>
            </w:pPr>
            <w:r w:rsidRPr="00945B16">
              <w:rPr>
                <w:sz w:val="16"/>
                <w:szCs w:val="16"/>
              </w:rPr>
              <w:t>Cash inflow</w:t>
            </w:r>
            <w:r w:rsidRPr="00945B16">
              <w:rPr>
                <w:sz w:val="16"/>
                <w:szCs w:val="16"/>
                <w:vertAlign w:val="superscript"/>
              </w:rPr>
              <w:t>1</w:t>
            </w:r>
          </w:p>
          <w:p w14:paraId="4E27500F" w14:textId="77777777" w:rsidR="00945B16" w:rsidRPr="00945B16" w:rsidRDefault="00945B16" w:rsidP="005A5903">
            <w:pPr>
              <w:pStyle w:val="TableColHeads"/>
              <w:spacing w:line="160" w:lineRule="atLeast"/>
              <w:rPr>
                <w:sz w:val="16"/>
                <w:szCs w:val="16"/>
              </w:rPr>
            </w:pPr>
            <w:r w:rsidRPr="00945B16">
              <w:rPr>
                <w:sz w:val="16"/>
                <w:szCs w:val="16"/>
              </w:rPr>
              <w:t>£m</w:t>
            </w:r>
          </w:p>
        </w:tc>
        <w:tc>
          <w:tcPr>
            <w:tcW w:w="850" w:type="dxa"/>
            <w:tcBorders>
              <w:top w:val="single" w:sz="4" w:space="0" w:color="808080" w:themeColor="background1" w:themeShade="80"/>
              <w:bottom w:val="single" w:sz="8" w:space="0" w:color="999999"/>
            </w:tcBorders>
          </w:tcPr>
          <w:p w14:paraId="55373786" w14:textId="77777777" w:rsidR="00945B16" w:rsidRPr="00945B16" w:rsidRDefault="00945B16" w:rsidP="005A5903">
            <w:pPr>
              <w:pStyle w:val="TableColHeads"/>
              <w:spacing w:line="160" w:lineRule="atLeast"/>
              <w:rPr>
                <w:sz w:val="16"/>
                <w:szCs w:val="16"/>
              </w:rPr>
            </w:pPr>
          </w:p>
          <w:p w14:paraId="4259F4FC" w14:textId="77777777" w:rsidR="00945B16" w:rsidRPr="00945B16" w:rsidRDefault="00945B16" w:rsidP="005A5903">
            <w:pPr>
              <w:pStyle w:val="TableColHeads"/>
              <w:spacing w:line="160" w:lineRule="atLeast"/>
              <w:rPr>
                <w:sz w:val="16"/>
                <w:szCs w:val="16"/>
              </w:rPr>
            </w:pPr>
          </w:p>
          <w:p w14:paraId="10183134" w14:textId="11FBD1D8" w:rsidR="00945B16" w:rsidRPr="00945B16" w:rsidRDefault="00945B16" w:rsidP="005A5903">
            <w:pPr>
              <w:pStyle w:val="TableColHeads"/>
              <w:spacing w:line="160" w:lineRule="atLeast"/>
              <w:rPr>
                <w:sz w:val="16"/>
                <w:szCs w:val="16"/>
                <w:vertAlign w:val="superscript"/>
              </w:rPr>
            </w:pPr>
            <w:r w:rsidRPr="00945B16">
              <w:rPr>
                <w:sz w:val="16"/>
                <w:szCs w:val="16"/>
              </w:rPr>
              <w:t>Cash outflow</w:t>
            </w:r>
            <w:r w:rsidRPr="00945B16">
              <w:rPr>
                <w:sz w:val="16"/>
                <w:szCs w:val="16"/>
                <w:vertAlign w:val="superscript"/>
              </w:rPr>
              <w:t>2</w:t>
            </w:r>
          </w:p>
          <w:p w14:paraId="0B246093" w14:textId="77777777" w:rsidR="00945B16" w:rsidRPr="00945B16" w:rsidRDefault="00945B16" w:rsidP="005A5903">
            <w:pPr>
              <w:pStyle w:val="TableColHeads"/>
              <w:spacing w:line="160" w:lineRule="atLeast"/>
              <w:rPr>
                <w:sz w:val="16"/>
                <w:szCs w:val="16"/>
              </w:rPr>
            </w:pPr>
            <w:r w:rsidRPr="00945B16">
              <w:rPr>
                <w:sz w:val="16"/>
                <w:szCs w:val="16"/>
              </w:rPr>
              <w:t>£m</w:t>
            </w:r>
          </w:p>
        </w:tc>
        <w:tc>
          <w:tcPr>
            <w:tcW w:w="142" w:type="dxa"/>
          </w:tcPr>
          <w:p w14:paraId="35DFB6FE" w14:textId="77777777" w:rsidR="00945B16" w:rsidRPr="00945B16" w:rsidRDefault="00945B16" w:rsidP="005A5903">
            <w:pPr>
              <w:pStyle w:val="TableColHeads"/>
              <w:spacing w:line="160" w:lineRule="atLeast"/>
              <w:rPr>
                <w:sz w:val="16"/>
                <w:szCs w:val="16"/>
              </w:rPr>
            </w:pPr>
          </w:p>
        </w:tc>
        <w:tc>
          <w:tcPr>
            <w:tcW w:w="992" w:type="dxa"/>
            <w:tcBorders>
              <w:top w:val="single" w:sz="4" w:space="0" w:color="808080" w:themeColor="background1" w:themeShade="80"/>
              <w:bottom w:val="single" w:sz="8" w:space="0" w:color="999999"/>
            </w:tcBorders>
            <w:vAlign w:val="bottom"/>
          </w:tcPr>
          <w:p w14:paraId="59F12EBC" w14:textId="361A9C02" w:rsidR="00945B16" w:rsidRPr="00945B16" w:rsidRDefault="00945B16" w:rsidP="005A5903">
            <w:pPr>
              <w:pStyle w:val="TableColHeads"/>
              <w:spacing w:line="160" w:lineRule="atLeast"/>
              <w:rPr>
                <w:sz w:val="16"/>
                <w:szCs w:val="16"/>
              </w:rPr>
            </w:pPr>
            <w:r w:rsidRPr="00945B16">
              <w:rPr>
                <w:sz w:val="16"/>
                <w:szCs w:val="16"/>
              </w:rPr>
              <w:t xml:space="preserve">Exchange </w:t>
            </w:r>
            <w:r w:rsidRPr="00945B16">
              <w:rPr>
                <w:sz w:val="16"/>
                <w:szCs w:val="16"/>
              </w:rPr>
              <w:br/>
              <w:t>movement</w:t>
            </w:r>
            <w:r w:rsidRPr="00945B16">
              <w:rPr>
                <w:sz w:val="16"/>
                <w:szCs w:val="16"/>
              </w:rPr>
              <w:br/>
              <w:t xml:space="preserve"> £m</w:t>
            </w:r>
          </w:p>
        </w:tc>
        <w:tc>
          <w:tcPr>
            <w:tcW w:w="992" w:type="dxa"/>
            <w:tcBorders>
              <w:top w:val="single" w:sz="4" w:space="0" w:color="808080" w:themeColor="background1" w:themeShade="80"/>
              <w:bottom w:val="single" w:sz="8" w:space="0" w:color="999999"/>
            </w:tcBorders>
            <w:shd w:val="clear" w:color="auto" w:fill="auto"/>
            <w:vAlign w:val="bottom"/>
          </w:tcPr>
          <w:p w14:paraId="2E80875B" w14:textId="79BF4B26" w:rsidR="00945B16" w:rsidRPr="00945B16" w:rsidRDefault="00945B16" w:rsidP="005A5903">
            <w:pPr>
              <w:pStyle w:val="TableColHeads"/>
              <w:spacing w:line="160" w:lineRule="atLeast"/>
              <w:rPr>
                <w:sz w:val="16"/>
                <w:szCs w:val="16"/>
              </w:rPr>
            </w:pPr>
            <w:r w:rsidRPr="00945B16">
              <w:rPr>
                <w:sz w:val="16"/>
                <w:szCs w:val="16"/>
              </w:rPr>
              <w:t xml:space="preserve">Other      non-cash  </w:t>
            </w:r>
          </w:p>
          <w:p w14:paraId="13D58354" w14:textId="27782B57" w:rsidR="00945B16" w:rsidRPr="00945B16" w:rsidRDefault="00945B16" w:rsidP="005A5903">
            <w:pPr>
              <w:pStyle w:val="TableColHeads"/>
              <w:spacing w:line="160" w:lineRule="atLeast"/>
              <w:rPr>
                <w:sz w:val="16"/>
                <w:szCs w:val="16"/>
              </w:rPr>
            </w:pPr>
            <w:r w:rsidRPr="00945B16">
              <w:rPr>
                <w:sz w:val="16"/>
                <w:szCs w:val="16"/>
              </w:rPr>
              <w:t>Adjustment</w:t>
            </w:r>
            <w:r w:rsidRPr="00945B16">
              <w:rPr>
                <w:sz w:val="16"/>
                <w:szCs w:val="16"/>
                <w:vertAlign w:val="superscript"/>
              </w:rPr>
              <w:t>3</w:t>
            </w:r>
            <w:r w:rsidRPr="00945B16">
              <w:rPr>
                <w:sz w:val="16"/>
                <w:szCs w:val="16"/>
              </w:rPr>
              <w:t xml:space="preserve"> </w:t>
            </w:r>
          </w:p>
          <w:p w14:paraId="011BFC1F" w14:textId="77777777" w:rsidR="00945B16" w:rsidRPr="00945B16" w:rsidRDefault="00945B16" w:rsidP="005A5903">
            <w:pPr>
              <w:pStyle w:val="TableColHeads"/>
              <w:spacing w:line="160" w:lineRule="atLeast"/>
              <w:rPr>
                <w:sz w:val="16"/>
                <w:szCs w:val="16"/>
              </w:rPr>
            </w:pPr>
            <w:r w:rsidRPr="00945B16">
              <w:rPr>
                <w:sz w:val="16"/>
                <w:szCs w:val="16"/>
              </w:rPr>
              <w:t>£m</w:t>
            </w:r>
          </w:p>
        </w:tc>
        <w:tc>
          <w:tcPr>
            <w:tcW w:w="1134" w:type="dxa"/>
            <w:tcBorders>
              <w:bottom w:val="single" w:sz="8" w:space="0" w:color="999999"/>
            </w:tcBorders>
            <w:shd w:val="clear" w:color="auto" w:fill="auto"/>
            <w:vAlign w:val="bottom"/>
          </w:tcPr>
          <w:p w14:paraId="29A3D322" w14:textId="0267EF08" w:rsidR="00945B16" w:rsidRPr="00945B16" w:rsidRDefault="00945B16" w:rsidP="005A5903">
            <w:pPr>
              <w:pStyle w:val="TableColHeadsBold0"/>
              <w:rPr>
                <w:sz w:val="16"/>
                <w:szCs w:val="16"/>
              </w:rPr>
            </w:pPr>
            <w:r w:rsidRPr="00945B16">
              <w:rPr>
                <w:sz w:val="16"/>
                <w:szCs w:val="16"/>
              </w:rPr>
              <w:t xml:space="preserve">At                 31 December </w:t>
            </w:r>
            <w:r w:rsidRPr="00945B16">
              <w:rPr>
                <w:sz w:val="16"/>
                <w:szCs w:val="16"/>
              </w:rPr>
              <w:br/>
              <w:t xml:space="preserve">2021 </w:t>
            </w:r>
            <w:r w:rsidRPr="00945B16">
              <w:rPr>
                <w:sz w:val="16"/>
                <w:szCs w:val="16"/>
              </w:rPr>
              <w:br/>
              <w:t>£m</w:t>
            </w:r>
          </w:p>
        </w:tc>
      </w:tr>
      <w:tr w:rsidR="00945B16" w:rsidRPr="00945B16" w14:paraId="7363B54D" w14:textId="77777777" w:rsidTr="00945B16">
        <w:tc>
          <w:tcPr>
            <w:tcW w:w="4536" w:type="dxa"/>
            <w:tcBorders>
              <w:top w:val="single" w:sz="8" w:space="0" w:color="999999"/>
            </w:tcBorders>
            <w:shd w:val="clear" w:color="auto" w:fill="auto"/>
            <w:vAlign w:val="bottom"/>
          </w:tcPr>
          <w:p w14:paraId="26C28577" w14:textId="77777777" w:rsidR="00945B16" w:rsidRPr="00945B16" w:rsidRDefault="00945B16" w:rsidP="009144D7">
            <w:pPr>
              <w:pStyle w:val="Tabletext"/>
              <w:rPr>
                <w:szCs w:val="20"/>
              </w:rPr>
            </w:pPr>
            <w:r w:rsidRPr="00945B16">
              <w:rPr>
                <w:szCs w:val="20"/>
              </w:rPr>
              <w:t>Bank loans and loan capital</w:t>
            </w:r>
          </w:p>
        </w:tc>
        <w:tc>
          <w:tcPr>
            <w:tcW w:w="851" w:type="dxa"/>
            <w:tcBorders>
              <w:top w:val="single" w:sz="8" w:space="0" w:color="999999"/>
            </w:tcBorders>
            <w:shd w:val="clear" w:color="auto" w:fill="auto"/>
            <w:vAlign w:val="bottom"/>
          </w:tcPr>
          <w:p w14:paraId="0F86F7CB" w14:textId="22AD78DE" w:rsidR="00945B16" w:rsidRPr="00945B16" w:rsidRDefault="00945B16" w:rsidP="009144D7">
            <w:pPr>
              <w:pStyle w:val="TableFigures"/>
            </w:pPr>
            <w:r w:rsidRPr="00945B16">
              <w:t>2,431</w:t>
            </w:r>
          </w:p>
        </w:tc>
        <w:tc>
          <w:tcPr>
            <w:tcW w:w="709" w:type="dxa"/>
            <w:tcBorders>
              <w:top w:val="single" w:sz="8" w:space="0" w:color="999999"/>
            </w:tcBorders>
          </w:tcPr>
          <w:p w14:paraId="47DCE280" w14:textId="6A001790" w:rsidR="00945B16" w:rsidRPr="00945B16" w:rsidRDefault="00945B16" w:rsidP="009144D7">
            <w:pPr>
              <w:pStyle w:val="TableFigures"/>
            </w:pPr>
            <w:r w:rsidRPr="00945B16">
              <w:t>1,214</w:t>
            </w:r>
          </w:p>
        </w:tc>
        <w:tc>
          <w:tcPr>
            <w:tcW w:w="850" w:type="dxa"/>
            <w:tcBorders>
              <w:top w:val="single" w:sz="8" w:space="0" w:color="999999"/>
            </w:tcBorders>
          </w:tcPr>
          <w:p w14:paraId="7FEA3016" w14:textId="44072CC6" w:rsidR="00945B16" w:rsidRPr="00945B16" w:rsidRDefault="00945B16" w:rsidP="009144D7">
            <w:pPr>
              <w:pStyle w:val="TableFiguresBrackets"/>
            </w:pPr>
            <w:r w:rsidRPr="00945B16">
              <w:t>(140)</w:t>
            </w:r>
          </w:p>
        </w:tc>
        <w:tc>
          <w:tcPr>
            <w:tcW w:w="142" w:type="dxa"/>
          </w:tcPr>
          <w:p w14:paraId="4AFCB5F5" w14:textId="77777777" w:rsidR="00945B16" w:rsidRPr="00945B16" w:rsidRDefault="00945B16" w:rsidP="009144D7">
            <w:pPr>
              <w:pStyle w:val="TableFigures"/>
            </w:pPr>
          </w:p>
        </w:tc>
        <w:tc>
          <w:tcPr>
            <w:tcW w:w="992" w:type="dxa"/>
            <w:tcBorders>
              <w:top w:val="single" w:sz="8" w:space="0" w:color="999999"/>
            </w:tcBorders>
            <w:vAlign w:val="bottom"/>
          </w:tcPr>
          <w:p w14:paraId="7D67150D" w14:textId="1C3BC0C8" w:rsidR="00945B16" w:rsidRPr="00945B16" w:rsidRDefault="00945B16" w:rsidP="007B28BE">
            <w:pPr>
              <w:pStyle w:val="TableFiguresBrackets"/>
            </w:pPr>
            <w:r w:rsidRPr="00945B16">
              <w:t>(81)</w:t>
            </w:r>
          </w:p>
        </w:tc>
        <w:tc>
          <w:tcPr>
            <w:tcW w:w="992" w:type="dxa"/>
            <w:tcBorders>
              <w:top w:val="single" w:sz="8" w:space="0" w:color="999999"/>
            </w:tcBorders>
            <w:shd w:val="clear" w:color="auto" w:fill="auto"/>
            <w:vAlign w:val="bottom"/>
          </w:tcPr>
          <w:p w14:paraId="111AC462" w14:textId="18724CE1" w:rsidR="00945B16" w:rsidRPr="00945B16" w:rsidRDefault="00945B16" w:rsidP="009144D7">
            <w:pPr>
              <w:pStyle w:val="TableFigures"/>
            </w:pPr>
            <w:r w:rsidRPr="00945B16">
              <w:t>5</w:t>
            </w:r>
          </w:p>
        </w:tc>
        <w:tc>
          <w:tcPr>
            <w:tcW w:w="1134" w:type="dxa"/>
            <w:tcBorders>
              <w:top w:val="single" w:sz="8" w:space="0" w:color="999999"/>
            </w:tcBorders>
            <w:shd w:val="clear" w:color="auto" w:fill="auto"/>
            <w:vAlign w:val="bottom"/>
          </w:tcPr>
          <w:p w14:paraId="4AECA430" w14:textId="50960CED" w:rsidR="00945B16" w:rsidRPr="00945B16" w:rsidRDefault="00945B16" w:rsidP="009144D7">
            <w:pPr>
              <w:pStyle w:val="TableFiguresBold0"/>
            </w:pPr>
            <w:r w:rsidRPr="00945B16">
              <w:t>3,429</w:t>
            </w:r>
          </w:p>
        </w:tc>
      </w:tr>
      <w:tr w:rsidR="00945B16" w:rsidRPr="00945B16" w14:paraId="07919C82" w14:textId="77777777" w:rsidTr="00945B16">
        <w:tc>
          <w:tcPr>
            <w:tcW w:w="4536" w:type="dxa"/>
            <w:tcBorders>
              <w:bottom w:val="single" w:sz="4" w:space="0" w:color="999999"/>
            </w:tcBorders>
            <w:shd w:val="clear" w:color="auto" w:fill="auto"/>
            <w:vAlign w:val="bottom"/>
          </w:tcPr>
          <w:p w14:paraId="532F5271" w14:textId="77777777" w:rsidR="00945B16" w:rsidRPr="00945B16" w:rsidRDefault="00945B16" w:rsidP="009144D7">
            <w:pPr>
              <w:pStyle w:val="Tabletext"/>
              <w:rPr>
                <w:szCs w:val="20"/>
              </w:rPr>
            </w:pPr>
            <w:r w:rsidRPr="00945B16">
              <w:rPr>
                <w:szCs w:val="20"/>
              </w:rPr>
              <w:t>Capitalised finance costs</w:t>
            </w:r>
            <w:r w:rsidRPr="00945B16">
              <w:rPr>
                <w:szCs w:val="20"/>
                <w:vertAlign w:val="superscript"/>
              </w:rPr>
              <w:t xml:space="preserve"> </w:t>
            </w:r>
          </w:p>
        </w:tc>
        <w:tc>
          <w:tcPr>
            <w:tcW w:w="851" w:type="dxa"/>
            <w:tcBorders>
              <w:bottom w:val="single" w:sz="4" w:space="0" w:color="999999"/>
            </w:tcBorders>
            <w:shd w:val="clear" w:color="auto" w:fill="auto"/>
            <w:vAlign w:val="bottom"/>
          </w:tcPr>
          <w:p w14:paraId="597AA279" w14:textId="55F8B9E3" w:rsidR="00945B16" w:rsidRPr="00945B16" w:rsidRDefault="00945B16" w:rsidP="009144D7">
            <w:pPr>
              <w:pStyle w:val="TableFiguresBrackets"/>
            </w:pPr>
            <w:r w:rsidRPr="00945B16">
              <w:t>(17)</w:t>
            </w:r>
          </w:p>
        </w:tc>
        <w:tc>
          <w:tcPr>
            <w:tcW w:w="709" w:type="dxa"/>
            <w:tcBorders>
              <w:bottom w:val="single" w:sz="4" w:space="0" w:color="999999"/>
            </w:tcBorders>
          </w:tcPr>
          <w:p w14:paraId="50B7EB99" w14:textId="167D6E2E" w:rsidR="00945B16" w:rsidRPr="00945B16" w:rsidRDefault="00945B16" w:rsidP="009144D7">
            <w:pPr>
              <w:pStyle w:val="TableFigures"/>
            </w:pPr>
            <w:r w:rsidRPr="00945B16">
              <w:t>–</w:t>
            </w:r>
          </w:p>
        </w:tc>
        <w:tc>
          <w:tcPr>
            <w:tcW w:w="850" w:type="dxa"/>
            <w:tcBorders>
              <w:bottom w:val="single" w:sz="4" w:space="0" w:color="999999"/>
            </w:tcBorders>
          </w:tcPr>
          <w:p w14:paraId="3AD63F26" w14:textId="6F5926DE" w:rsidR="00945B16" w:rsidRPr="00945B16" w:rsidRDefault="00945B16" w:rsidP="009144D7">
            <w:pPr>
              <w:pStyle w:val="TableFiguresBrackets"/>
            </w:pPr>
            <w:r w:rsidRPr="00945B16">
              <w:t>(4)</w:t>
            </w:r>
          </w:p>
        </w:tc>
        <w:tc>
          <w:tcPr>
            <w:tcW w:w="142" w:type="dxa"/>
          </w:tcPr>
          <w:p w14:paraId="5531F649" w14:textId="77777777" w:rsidR="00945B16" w:rsidRPr="00945B16" w:rsidDel="009144D7" w:rsidRDefault="00945B16" w:rsidP="009144D7">
            <w:pPr>
              <w:pStyle w:val="TableFigures"/>
            </w:pPr>
          </w:p>
        </w:tc>
        <w:tc>
          <w:tcPr>
            <w:tcW w:w="992" w:type="dxa"/>
            <w:tcBorders>
              <w:bottom w:val="single" w:sz="4" w:space="0" w:color="999999"/>
            </w:tcBorders>
            <w:vAlign w:val="bottom"/>
          </w:tcPr>
          <w:p w14:paraId="0FAEF398" w14:textId="64F8A15E" w:rsidR="00945B16" w:rsidRPr="00945B16" w:rsidRDefault="00945B16" w:rsidP="009144D7">
            <w:pPr>
              <w:pStyle w:val="TableFigures"/>
            </w:pPr>
            <w:r w:rsidRPr="00945B16">
              <w:t>–</w:t>
            </w:r>
          </w:p>
        </w:tc>
        <w:tc>
          <w:tcPr>
            <w:tcW w:w="992" w:type="dxa"/>
            <w:tcBorders>
              <w:bottom w:val="single" w:sz="4" w:space="0" w:color="999999"/>
            </w:tcBorders>
            <w:shd w:val="clear" w:color="auto" w:fill="auto"/>
            <w:vAlign w:val="bottom"/>
          </w:tcPr>
          <w:p w14:paraId="770F161D" w14:textId="6AB85BD2" w:rsidR="00945B16" w:rsidRPr="00945B16" w:rsidRDefault="00945B16" w:rsidP="007B28BE">
            <w:pPr>
              <w:pStyle w:val="TableFiguresBrackets"/>
            </w:pPr>
            <w:r w:rsidRPr="00945B16">
              <w:t>(2)</w:t>
            </w:r>
          </w:p>
        </w:tc>
        <w:tc>
          <w:tcPr>
            <w:tcW w:w="1134" w:type="dxa"/>
            <w:tcBorders>
              <w:bottom w:val="single" w:sz="4" w:space="0" w:color="999999"/>
            </w:tcBorders>
            <w:shd w:val="clear" w:color="auto" w:fill="auto"/>
            <w:vAlign w:val="bottom"/>
          </w:tcPr>
          <w:p w14:paraId="18D03BC4" w14:textId="7B249ED1" w:rsidR="00945B16" w:rsidRPr="00945B16" w:rsidRDefault="00945B16" w:rsidP="009144D7">
            <w:pPr>
              <w:pStyle w:val="TableFiguresBracketsBold"/>
            </w:pPr>
            <w:r w:rsidRPr="00945B16">
              <w:t>(23)</w:t>
            </w:r>
          </w:p>
        </w:tc>
      </w:tr>
      <w:tr w:rsidR="00945B16" w:rsidRPr="00945B16" w14:paraId="099FFBDD" w14:textId="77777777" w:rsidTr="00945B16">
        <w:tc>
          <w:tcPr>
            <w:tcW w:w="4536" w:type="dxa"/>
            <w:tcBorders>
              <w:top w:val="single" w:sz="4" w:space="0" w:color="999999"/>
            </w:tcBorders>
            <w:shd w:val="clear" w:color="auto" w:fill="auto"/>
            <w:vAlign w:val="bottom"/>
          </w:tcPr>
          <w:p w14:paraId="782DD395" w14:textId="77777777" w:rsidR="00945B16" w:rsidRPr="00945B16" w:rsidRDefault="00945B16" w:rsidP="009144D7">
            <w:pPr>
              <w:pStyle w:val="TabletextBold"/>
              <w:rPr>
                <w:szCs w:val="20"/>
              </w:rPr>
            </w:pPr>
            <w:r w:rsidRPr="00945B16">
              <w:rPr>
                <w:szCs w:val="20"/>
              </w:rPr>
              <w:t>Total borrowings</w:t>
            </w:r>
          </w:p>
        </w:tc>
        <w:tc>
          <w:tcPr>
            <w:tcW w:w="851" w:type="dxa"/>
            <w:tcBorders>
              <w:top w:val="single" w:sz="4" w:space="0" w:color="999999"/>
            </w:tcBorders>
            <w:shd w:val="clear" w:color="auto" w:fill="auto"/>
            <w:vAlign w:val="bottom"/>
          </w:tcPr>
          <w:p w14:paraId="111AE95A" w14:textId="34123038" w:rsidR="00945B16" w:rsidRPr="00945B16" w:rsidRDefault="00945B16" w:rsidP="009144D7">
            <w:pPr>
              <w:pStyle w:val="TableFigures"/>
            </w:pPr>
            <w:r w:rsidRPr="00945B16">
              <w:t>2,414</w:t>
            </w:r>
          </w:p>
        </w:tc>
        <w:tc>
          <w:tcPr>
            <w:tcW w:w="709" w:type="dxa"/>
            <w:tcBorders>
              <w:top w:val="single" w:sz="4" w:space="0" w:color="999999"/>
            </w:tcBorders>
          </w:tcPr>
          <w:p w14:paraId="5076DCAA" w14:textId="0FFA46F6" w:rsidR="00945B16" w:rsidRPr="00945B16" w:rsidRDefault="00945B16" w:rsidP="009144D7">
            <w:pPr>
              <w:pStyle w:val="TableFigures"/>
            </w:pPr>
            <w:r w:rsidRPr="00945B16">
              <w:t>1,214</w:t>
            </w:r>
          </w:p>
        </w:tc>
        <w:tc>
          <w:tcPr>
            <w:tcW w:w="850" w:type="dxa"/>
            <w:tcBorders>
              <w:top w:val="single" w:sz="4" w:space="0" w:color="999999"/>
            </w:tcBorders>
          </w:tcPr>
          <w:p w14:paraId="7AFC3DB8" w14:textId="76D145BE" w:rsidR="00945B16" w:rsidRPr="00945B16" w:rsidRDefault="00945B16" w:rsidP="009144D7">
            <w:pPr>
              <w:pStyle w:val="TableFiguresBrackets"/>
            </w:pPr>
            <w:r w:rsidRPr="00945B16">
              <w:t>(144)</w:t>
            </w:r>
          </w:p>
        </w:tc>
        <w:tc>
          <w:tcPr>
            <w:tcW w:w="142" w:type="dxa"/>
          </w:tcPr>
          <w:p w14:paraId="4D452F91" w14:textId="77777777" w:rsidR="00945B16" w:rsidRPr="00945B16" w:rsidRDefault="00945B16" w:rsidP="009144D7">
            <w:pPr>
              <w:pStyle w:val="TableFigures"/>
            </w:pPr>
          </w:p>
        </w:tc>
        <w:tc>
          <w:tcPr>
            <w:tcW w:w="992" w:type="dxa"/>
            <w:tcBorders>
              <w:top w:val="single" w:sz="4" w:space="0" w:color="999999"/>
            </w:tcBorders>
            <w:vAlign w:val="bottom"/>
          </w:tcPr>
          <w:p w14:paraId="4C1D19D0" w14:textId="0E01DDB8" w:rsidR="00945B16" w:rsidRPr="00945B16" w:rsidRDefault="00945B16" w:rsidP="007B28BE">
            <w:pPr>
              <w:pStyle w:val="TableFiguresBrackets"/>
            </w:pPr>
            <w:r w:rsidRPr="00945B16">
              <w:t>(81)</w:t>
            </w:r>
          </w:p>
        </w:tc>
        <w:tc>
          <w:tcPr>
            <w:tcW w:w="992" w:type="dxa"/>
            <w:tcBorders>
              <w:top w:val="single" w:sz="4" w:space="0" w:color="999999"/>
            </w:tcBorders>
            <w:shd w:val="clear" w:color="auto" w:fill="auto"/>
            <w:vAlign w:val="bottom"/>
          </w:tcPr>
          <w:p w14:paraId="7BE4F930" w14:textId="35FD4B9E" w:rsidR="00945B16" w:rsidRPr="00945B16" w:rsidRDefault="00945B16" w:rsidP="009144D7">
            <w:pPr>
              <w:pStyle w:val="TableFigures"/>
            </w:pPr>
            <w:r w:rsidRPr="00945B16">
              <w:t>3</w:t>
            </w:r>
          </w:p>
        </w:tc>
        <w:tc>
          <w:tcPr>
            <w:tcW w:w="1134" w:type="dxa"/>
            <w:tcBorders>
              <w:top w:val="single" w:sz="4" w:space="0" w:color="999999"/>
            </w:tcBorders>
            <w:shd w:val="clear" w:color="auto" w:fill="auto"/>
            <w:vAlign w:val="bottom"/>
          </w:tcPr>
          <w:p w14:paraId="1A38A1B2" w14:textId="76EE1970" w:rsidR="00945B16" w:rsidRPr="00945B16" w:rsidRDefault="00945B16" w:rsidP="009144D7">
            <w:pPr>
              <w:pStyle w:val="TableFiguresBold0"/>
            </w:pPr>
            <w:r w:rsidRPr="00945B16">
              <w:t>3,406</w:t>
            </w:r>
          </w:p>
        </w:tc>
      </w:tr>
      <w:tr w:rsidR="00945B16" w:rsidRPr="00945B16" w14:paraId="0BF237EB" w14:textId="77777777" w:rsidTr="00945B16">
        <w:tc>
          <w:tcPr>
            <w:tcW w:w="4536" w:type="dxa"/>
            <w:tcBorders>
              <w:bottom w:val="single" w:sz="4" w:space="0" w:color="999999"/>
            </w:tcBorders>
            <w:shd w:val="clear" w:color="auto" w:fill="auto"/>
            <w:vAlign w:val="bottom"/>
          </w:tcPr>
          <w:p w14:paraId="598E0ABA" w14:textId="77777777" w:rsidR="00945B16" w:rsidRPr="00945B16" w:rsidRDefault="00945B16" w:rsidP="009144D7">
            <w:pPr>
              <w:pStyle w:val="Tabletext"/>
              <w:rPr>
                <w:szCs w:val="20"/>
              </w:rPr>
            </w:pPr>
            <w:r w:rsidRPr="00945B16">
              <w:rPr>
                <w:szCs w:val="20"/>
              </w:rPr>
              <w:t>Cash in hand and at bank</w:t>
            </w:r>
          </w:p>
        </w:tc>
        <w:tc>
          <w:tcPr>
            <w:tcW w:w="851" w:type="dxa"/>
            <w:tcBorders>
              <w:bottom w:val="single" w:sz="4" w:space="0" w:color="999999"/>
            </w:tcBorders>
            <w:shd w:val="clear" w:color="auto" w:fill="auto"/>
            <w:vAlign w:val="bottom"/>
          </w:tcPr>
          <w:p w14:paraId="393E5950" w14:textId="1A7C0FE2" w:rsidR="00945B16" w:rsidRPr="00945B16" w:rsidRDefault="00945B16" w:rsidP="009144D7">
            <w:pPr>
              <w:pStyle w:val="TableFiguresBrackets"/>
            </w:pPr>
            <w:r w:rsidRPr="00945B16">
              <w:t>(89)</w:t>
            </w:r>
          </w:p>
        </w:tc>
        <w:tc>
          <w:tcPr>
            <w:tcW w:w="709" w:type="dxa"/>
            <w:tcBorders>
              <w:bottom w:val="single" w:sz="4" w:space="0" w:color="999999"/>
            </w:tcBorders>
          </w:tcPr>
          <w:p w14:paraId="27F52070" w14:textId="0BEFD7B0" w:rsidR="00945B16" w:rsidRPr="00945B16" w:rsidRDefault="00945B16" w:rsidP="009144D7">
            <w:pPr>
              <w:pStyle w:val="TableFigures"/>
            </w:pPr>
            <w:r w:rsidRPr="00945B16">
              <w:t>–</w:t>
            </w:r>
          </w:p>
        </w:tc>
        <w:tc>
          <w:tcPr>
            <w:tcW w:w="850" w:type="dxa"/>
            <w:tcBorders>
              <w:bottom w:val="single" w:sz="4" w:space="0" w:color="999999"/>
            </w:tcBorders>
          </w:tcPr>
          <w:p w14:paraId="01EA4261" w14:textId="5B4A4ACC" w:rsidR="00945B16" w:rsidRPr="00945B16" w:rsidRDefault="00945B16" w:rsidP="009144D7">
            <w:pPr>
              <w:pStyle w:val="TableFigures"/>
            </w:pPr>
            <w:r w:rsidRPr="00945B16">
              <w:t>44</w:t>
            </w:r>
          </w:p>
        </w:tc>
        <w:tc>
          <w:tcPr>
            <w:tcW w:w="142" w:type="dxa"/>
          </w:tcPr>
          <w:p w14:paraId="675A13E2" w14:textId="77777777" w:rsidR="00945B16" w:rsidRPr="00945B16" w:rsidRDefault="00945B16" w:rsidP="009144D7">
            <w:pPr>
              <w:pStyle w:val="TableFiguresBrackets"/>
            </w:pPr>
          </w:p>
        </w:tc>
        <w:tc>
          <w:tcPr>
            <w:tcW w:w="992" w:type="dxa"/>
            <w:tcBorders>
              <w:bottom w:val="single" w:sz="4" w:space="0" w:color="999999"/>
            </w:tcBorders>
            <w:vAlign w:val="bottom"/>
          </w:tcPr>
          <w:p w14:paraId="330CA018" w14:textId="2B5B8C15" w:rsidR="00945B16" w:rsidRPr="00945B16" w:rsidRDefault="00945B16" w:rsidP="007B28BE">
            <w:pPr>
              <w:pStyle w:val="TableFigures"/>
            </w:pPr>
            <w:r w:rsidRPr="00945B16">
              <w:t>–</w:t>
            </w:r>
          </w:p>
        </w:tc>
        <w:tc>
          <w:tcPr>
            <w:tcW w:w="992" w:type="dxa"/>
            <w:tcBorders>
              <w:bottom w:val="single" w:sz="4" w:space="0" w:color="999999"/>
            </w:tcBorders>
            <w:shd w:val="clear" w:color="auto" w:fill="auto"/>
          </w:tcPr>
          <w:p w14:paraId="587D269B" w14:textId="6544996B" w:rsidR="00945B16" w:rsidRPr="00945B16" w:rsidRDefault="00945B16" w:rsidP="009144D7">
            <w:pPr>
              <w:pStyle w:val="TableFigures"/>
            </w:pPr>
            <w:r w:rsidRPr="00945B16">
              <w:t>–</w:t>
            </w:r>
          </w:p>
        </w:tc>
        <w:tc>
          <w:tcPr>
            <w:tcW w:w="1134" w:type="dxa"/>
            <w:tcBorders>
              <w:bottom w:val="single" w:sz="4" w:space="0" w:color="999999"/>
            </w:tcBorders>
            <w:shd w:val="clear" w:color="auto" w:fill="auto"/>
            <w:vAlign w:val="bottom"/>
          </w:tcPr>
          <w:p w14:paraId="543EE55E" w14:textId="0BCB7A5E" w:rsidR="00945B16" w:rsidRPr="00945B16" w:rsidRDefault="00945B16" w:rsidP="009144D7">
            <w:pPr>
              <w:pStyle w:val="TableFiguresBracketsBold"/>
            </w:pPr>
            <w:r w:rsidRPr="00945B16">
              <w:t>(45)</w:t>
            </w:r>
          </w:p>
        </w:tc>
      </w:tr>
      <w:tr w:rsidR="00945B16" w:rsidRPr="00945B16" w14:paraId="58912950" w14:textId="77777777" w:rsidTr="00945B16">
        <w:tc>
          <w:tcPr>
            <w:tcW w:w="4536" w:type="dxa"/>
            <w:tcBorders>
              <w:top w:val="single" w:sz="4" w:space="0" w:color="999999"/>
              <w:bottom w:val="single" w:sz="4" w:space="0" w:color="999999"/>
            </w:tcBorders>
            <w:shd w:val="clear" w:color="auto" w:fill="auto"/>
            <w:vAlign w:val="bottom"/>
          </w:tcPr>
          <w:p w14:paraId="6657F402" w14:textId="77777777" w:rsidR="00945B16" w:rsidRPr="00945B16" w:rsidRDefault="00945B16" w:rsidP="009144D7">
            <w:pPr>
              <w:pStyle w:val="TabletextBold"/>
              <w:rPr>
                <w:szCs w:val="20"/>
              </w:rPr>
            </w:pPr>
            <w:r w:rsidRPr="00945B16">
              <w:rPr>
                <w:szCs w:val="20"/>
              </w:rPr>
              <w:t>Net debt</w:t>
            </w:r>
          </w:p>
        </w:tc>
        <w:tc>
          <w:tcPr>
            <w:tcW w:w="851" w:type="dxa"/>
            <w:tcBorders>
              <w:top w:val="single" w:sz="4" w:space="0" w:color="999999"/>
              <w:bottom w:val="single" w:sz="4" w:space="0" w:color="999999"/>
            </w:tcBorders>
            <w:shd w:val="clear" w:color="auto" w:fill="auto"/>
            <w:vAlign w:val="bottom"/>
          </w:tcPr>
          <w:p w14:paraId="5738CF0F" w14:textId="6FA36873" w:rsidR="00945B16" w:rsidRPr="00945B16" w:rsidRDefault="00945B16" w:rsidP="009144D7">
            <w:pPr>
              <w:pStyle w:val="TableFigures"/>
            </w:pPr>
            <w:r w:rsidRPr="00945B16">
              <w:t>2,325</w:t>
            </w:r>
          </w:p>
        </w:tc>
        <w:tc>
          <w:tcPr>
            <w:tcW w:w="709" w:type="dxa"/>
            <w:tcBorders>
              <w:top w:val="single" w:sz="4" w:space="0" w:color="999999"/>
              <w:bottom w:val="single" w:sz="4" w:space="0" w:color="999999"/>
            </w:tcBorders>
          </w:tcPr>
          <w:p w14:paraId="396C6697" w14:textId="768E5249" w:rsidR="00945B16" w:rsidRPr="00945B16" w:rsidRDefault="00945B16" w:rsidP="009144D7">
            <w:pPr>
              <w:pStyle w:val="TableFigures"/>
            </w:pPr>
            <w:r w:rsidRPr="00945B16">
              <w:t>1,214</w:t>
            </w:r>
          </w:p>
        </w:tc>
        <w:tc>
          <w:tcPr>
            <w:tcW w:w="850" w:type="dxa"/>
            <w:tcBorders>
              <w:top w:val="single" w:sz="4" w:space="0" w:color="999999"/>
              <w:bottom w:val="single" w:sz="4" w:space="0" w:color="999999"/>
            </w:tcBorders>
          </w:tcPr>
          <w:p w14:paraId="0EA8772A" w14:textId="106A42A4" w:rsidR="00945B16" w:rsidRPr="00945B16" w:rsidRDefault="00945B16" w:rsidP="009144D7">
            <w:pPr>
              <w:pStyle w:val="TableFiguresBrackets"/>
            </w:pPr>
            <w:r w:rsidRPr="00945B16">
              <w:t>(100)</w:t>
            </w:r>
          </w:p>
        </w:tc>
        <w:tc>
          <w:tcPr>
            <w:tcW w:w="142" w:type="dxa"/>
          </w:tcPr>
          <w:p w14:paraId="40E4A941" w14:textId="77777777" w:rsidR="00945B16" w:rsidRPr="00945B16" w:rsidRDefault="00945B16" w:rsidP="009144D7">
            <w:pPr>
              <w:pStyle w:val="TableFigures"/>
            </w:pPr>
          </w:p>
        </w:tc>
        <w:tc>
          <w:tcPr>
            <w:tcW w:w="992" w:type="dxa"/>
            <w:tcBorders>
              <w:top w:val="single" w:sz="4" w:space="0" w:color="999999"/>
              <w:bottom w:val="single" w:sz="4" w:space="0" w:color="999999"/>
            </w:tcBorders>
            <w:vAlign w:val="bottom"/>
          </w:tcPr>
          <w:p w14:paraId="6F848037" w14:textId="79DCDC45" w:rsidR="00945B16" w:rsidRPr="00945B16" w:rsidRDefault="00945B16" w:rsidP="007B28BE">
            <w:pPr>
              <w:pStyle w:val="TableFiguresBrackets"/>
            </w:pPr>
            <w:r w:rsidRPr="00945B16">
              <w:t>(81)</w:t>
            </w:r>
          </w:p>
        </w:tc>
        <w:tc>
          <w:tcPr>
            <w:tcW w:w="992" w:type="dxa"/>
            <w:tcBorders>
              <w:top w:val="single" w:sz="4" w:space="0" w:color="999999"/>
              <w:bottom w:val="single" w:sz="4" w:space="0" w:color="999999"/>
            </w:tcBorders>
            <w:shd w:val="clear" w:color="auto" w:fill="auto"/>
            <w:vAlign w:val="bottom"/>
          </w:tcPr>
          <w:p w14:paraId="0F915B74" w14:textId="479BBF0E" w:rsidR="00945B16" w:rsidRPr="00945B16" w:rsidRDefault="00945B16" w:rsidP="009144D7">
            <w:pPr>
              <w:pStyle w:val="TableFigures"/>
            </w:pPr>
            <w:r w:rsidRPr="00945B16">
              <w:t>3</w:t>
            </w:r>
          </w:p>
        </w:tc>
        <w:tc>
          <w:tcPr>
            <w:tcW w:w="1134" w:type="dxa"/>
            <w:tcBorders>
              <w:top w:val="single" w:sz="4" w:space="0" w:color="999999"/>
              <w:bottom w:val="single" w:sz="4" w:space="0" w:color="999999"/>
            </w:tcBorders>
            <w:shd w:val="clear" w:color="auto" w:fill="auto"/>
            <w:vAlign w:val="bottom"/>
          </w:tcPr>
          <w:p w14:paraId="566E17BA" w14:textId="3C3992DA" w:rsidR="00945B16" w:rsidRPr="00945B16" w:rsidRDefault="00945B16" w:rsidP="009144D7">
            <w:pPr>
              <w:pStyle w:val="TableFiguresBold0"/>
            </w:pPr>
            <w:r w:rsidRPr="00945B16">
              <w:t>3,361</w:t>
            </w:r>
          </w:p>
        </w:tc>
      </w:tr>
    </w:tbl>
    <w:p w14:paraId="53EACDBC" w14:textId="77777777" w:rsidR="00340D27" w:rsidRPr="005F6D8A" w:rsidRDefault="00340D27" w:rsidP="00340D27">
      <w:pPr>
        <w:pStyle w:val="FootnotesNoSpace"/>
        <w:rPr>
          <w:i w:val="0"/>
          <w:color w:val="FF0000"/>
          <w:highlight w:val="yellow"/>
        </w:rPr>
      </w:pPr>
    </w:p>
    <w:p w14:paraId="7E66EACF" w14:textId="77777777" w:rsidR="000638BE" w:rsidRDefault="000638BE" w:rsidP="000638BE">
      <w:pPr>
        <w:pStyle w:val="FootnotesNoSpace"/>
      </w:pPr>
      <w:r>
        <w:t xml:space="preserve">1 Proceeds from borrowings of £1,214 million. </w:t>
      </w:r>
    </w:p>
    <w:p w14:paraId="53B81CF5" w14:textId="3E2CA8CC" w:rsidR="000638BE" w:rsidRDefault="000638BE" w:rsidP="000638BE">
      <w:pPr>
        <w:pStyle w:val="FootnotesNoSpace"/>
      </w:pPr>
      <w:r>
        <w:t xml:space="preserve">2 </w:t>
      </w:r>
      <w:r w:rsidR="005D5F2C">
        <w:t>C</w:t>
      </w:r>
      <w:r>
        <w:t xml:space="preserve">ash outflow of £144 million, comprises the repayment of borrowings of £140 million and capitalised costs of £4 million. </w:t>
      </w:r>
    </w:p>
    <w:p w14:paraId="204AE397" w14:textId="57A7198C" w:rsidR="00AB1F2E" w:rsidRPr="005F6D8A" w:rsidRDefault="000638BE" w:rsidP="000638BE">
      <w:pPr>
        <w:pStyle w:val="FootnotesNoSpace"/>
        <w:rPr>
          <w:color w:val="FF0000"/>
        </w:rPr>
      </w:pPr>
      <w:r>
        <w:t xml:space="preserve">3 Other non-cash adjustments includes £5 million of issue costs arising from new borrowings in the year, the cash proceeds received from the borrowings were received net of the issue costs. The total other non-cash adjustment of £3 million relates to the amortisation of issue costs. </w:t>
      </w:r>
      <w:r w:rsidRPr="007B28BE">
        <w:t>See Note</w:t>
      </w:r>
      <w:r w:rsidR="00CB1B8E" w:rsidRPr="007B28BE">
        <w:t xml:space="preserve"> </w:t>
      </w:r>
      <w:r w:rsidR="00CB1B8E" w:rsidRPr="00335112">
        <w:t>8</w:t>
      </w:r>
      <w:r w:rsidRPr="00CB1B8E">
        <w:t>.</w:t>
      </w:r>
    </w:p>
    <w:p w14:paraId="66328055" w14:textId="31F68224" w:rsidR="000638BE" w:rsidRDefault="000638BE" w:rsidP="005E793C">
      <w:pPr>
        <w:pStyle w:val="Heading2"/>
        <w:rPr>
          <w:color w:val="FF0000"/>
        </w:rPr>
      </w:pPr>
    </w:p>
    <w:p w14:paraId="58EB7C83" w14:textId="5D149AD5" w:rsidR="00D565C4" w:rsidRDefault="00D565C4" w:rsidP="00D565C4"/>
    <w:p w14:paraId="7A84D722" w14:textId="553E39EC" w:rsidR="00D565C4" w:rsidRDefault="00D565C4" w:rsidP="00D565C4"/>
    <w:p w14:paraId="4F40F544" w14:textId="0A0E0613" w:rsidR="00D565C4" w:rsidRDefault="00D565C4" w:rsidP="00D565C4"/>
    <w:p w14:paraId="570BCE9C" w14:textId="7B0209FD" w:rsidR="00D565C4" w:rsidRDefault="00D565C4" w:rsidP="00D565C4"/>
    <w:p w14:paraId="18462E84" w14:textId="57733E51" w:rsidR="00D565C4" w:rsidRDefault="00D565C4" w:rsidP="00D565C4"/>
    <w:p w14:paraId="7B2A8463" w14:textId="2925B770" w:rsidR="00D565C4" w:rsidRDefault="00D565C4" w:rsidP="00D565C4"/>
    <w:p w14:paraId="26FB05B4" w14:textId="07167ED8" w:rsidR="00D565C4" w:rsidRDefault="00D565C4" w:rsidP="00D565C4"/>
    <w:p w14:paraId="050CDDA5" w14:textId="599FA6C2" w:rsidR="00D565C4" w:rsidRDefault="00D565C4" w:rsidP="00D565C4"/>
    <w:p w14:paraId="5CCD3392" w14:textId="474052BD" w:rsidR="00D565C4" w:rsidRDefault="00D565C4" w:rsidP="00D565C4"/>
    <w:p w14:paraId="09B2E951" w14:textId="2FAD74EF" w:rsidR="00D565C4" w:rsidRDefault="00D565C4" w:rsidP="00D565C4"/>
    <w:p w14:paraId="2C6BCA9E" w14:textId="3E48E86A" w:rsidR="00D565C4" w:rsidRDefault="00D565C4" w:rsidP="00D565C4"/>
    <w:p w14:paraId="0E08FC42" w14:textId="09C229FA" w:rsidR="00D565C4" w:rsidRDefault="00D565C4" w:rsidP="00D565C4"/>
    <w:p w14:paraId="78D0FF8F" w14:textId="04E90372" w:rsidR="00D565C4" w:rsidRDefault="00D565C4" w:rsidP="00D565C4"/>
    <w:p w14:paraId="7A35CE81" w14:textId="7D401D80" w:rsidR="00D565C4" w:rsidRDefault="00D565C4" w:rsidP="00D565C4"/>
    <w:p w14:paraId="1FB8B468" w14:textId="0BEDCBD5" w:rsidR="00D565C4" w:rsidRDefault="00D565C4" w:rsidP="00D565C4"/>
    <w:p w14:paraId="3CB159E2" w14:textId="7AD21315" w:rsidR="00D565C4" w:rsidRDefault="00D565C4" w:rsidP="00D565C4"/>
    <w:p w14:paraId="6833009E" w14:textId="07AB8E22" w:rsidR="00D565C4" w:rsidRDefault="00D565C4" w:rsidP="00D565C4"/>
    <w:p w14:paraId="5B7874EF" w14:textId="372AD2B6" w:rsidR="00D565C4" w:rsidRDefault="00D565C4" w:rsidP="00D565C4"/>
    <w:p w14:paraId="00E25A73" w14:textId="06B4A873" w:rsidR="00D565C4" w:rsidRDefault="00D565C4" w:rsidP="00D565C4"/>
    <w:p w14:paraId="5BAEFFDF" w14:textId="639AE6EA" w:rsidR="00D565C4" w:rsidRDefault="00D565C4" w:rsidP="00D565C4"/>
    <w:p w14:paraId="48997985" w14:textId="42D7CD57" w:rsidR="00D565C4" w:rsidRDefault="00D565C4" w:rsidP="00D565C4"/>
    <w:p w14:paraId="6BED5D44" w14:textId="0C1FF1AB" w:rsidR="00D565C4" w:rsidRDefault="00D565C4" w:rsidP="00D565C4"/>
    <w:p w14:paraId="4086D941" w14:textId="10496BEE" w:rsidR="00D565C4" w:rsidRDefault="00D565C4" w:rsidP="00D565C4"/>
    <w:p w14:paraId="6BBE50B7" w14:textId="7F2B72B7" w:rsidR="00D565C4" w:rsidRDefault="00D565C4" w:rsidP="00D565C4"/>
    <w:p w14:paraId="40DCC899" w14:textId="710861A2" w:rsidR="00D565C4" w:rsidRDefault="00D565C4" w:rsidP="00D565C4"/>
    <w:p w14:paraId="69966BB3" w14:textId="4AAEA8F0" w:rsidR="00D565C4" w:rsidRDefault="00D565C4" w:rsidP="00D565C4"/>
    <w:p w14:paraId="2993E325" w14:textId="77777777" w:rsidR="00D565C4" w:rsidRPr="00D565C4" w:rsidRDefault="00D565C4" w:rsidP="00D565C4"/>
    <w:p w14:paraId="1CC79239" w14:textId="458172BA" w:rsidR="005E793C" w:rsidRPr="000638BE" w:rsidRDefault="005E793C" w:rsidP="005E793C">
      <w:pPr>
        <w:pStyle w:val="Heading2"/>
        <w:rPr>
          <w:rStyle w:val="Heading3Char"/>
          <w:b/>
          <w:sz w:val="20"/>
          <w:szCs w:val="20"/>
        </w:rPr>
      </w:pPr>
      <w:r w:rsidRPr="000638BE">
        <w:rPr>
          <w:rStyle w:val="Heading3Char"/>
          <w:b/>
          <w:sz w:val="22"/>
          <w:szCs w:val="20"/>
        </w:rPr>
        <w:lastRenderedPageBreak/>
        <w:t>SUPPLEMENTARY NOTES NOT PART OF CONDENSED FINANCIAL INFORMATION</w:t>
      </w:r>
    </w:p>
    <w:p w14:paraId="2F4161F6" w14:textId="77777777" w:rsidR="005E793C" w:rsidRPr="000638BE" w:rsidRDefault="005E793C" w:rsidP="005E793C">
      <w:pPr>
        <w:pStyle w:val="Heading2"/>
        <w:rPr>
          <w:rFonts w:cs="Times New Roman"/>
          <w:sz w:val="20"/>
        </w:rPr>
      </w:pPr>
      <w:r w:rsidRPr="000638BE">
        <w:rPr>
          <w:rFonts w:cs="Times New Roman"/>
          <w:sz w:val="20"/>
        </w:rPr>
        <w:t>TABLE 1: EPRA PERFORMANCE MEASURES SUMMARY</w:t>
      </w:r>
    </w:p>
    <w:tbl>
      <w:tblPr>
        <w:tblW w:w="4808" w:type="pct"/>
        <w:tblCellMar>
          <w:left w:w="0" w:type="dxa"/>
          <w:right w:w="0" w:type="dxa"/>
        </w:tblCellMar>
        <w:tblLook w:val="01E0" w:firstRow="1" w:lastRow="1" w:firstColumn="1" w:lastColumn="1" w:noHBand="0" w:noVBand="0"/>
      </w:tblPr>
      <w:tblGrid>
        <w:gridCol w:w="4395"/>
        <w:gridCol w:w="849"/>
        <w:gridCol w:w="854"/>
        <w:gridCol w:w="1274"/>
        <w:gridCol w:w="145"/>
        <w:gridCol w:w="1276"/>
        <w:gridCol w:w="1272"/>
      </w:tblGrid>
      <w:tr w:rsidR="005F6D8A" w:rsidRPr="000638BE" w14:paraId="2F72CA2C" w14:textId="77777777" w:rsidTr="00E30618">
        <w:tc>
          <w:tcPr>
            <w:tcW w:w="2183" w:type="pct"/>
            <w:shd w:val="clear" w:color="auto" w:fill="auto"/>
            <w:vAlign w:val="bottom"/>
          </w:tcPr>
          <w:p w14:paraId="7A57D841" w14:textId="77777777" w:rsidR="005E793C" w:rsidRPr="000638BE" w:rsidRDefault="005E793C" w:rsidP="00E30618">
            <w:pPr>
              <w:pStyle w:val="TabletextBold"/>
            </w:pPr>
          </w:p>
        </w:tc>
        <w:tc>
          <w:tcPr>
            <w:tcW w:w="422" w:type="pct"/>
          </w:tcPr>
          <w:p w14:paraId="1710372B" w14:textId="77777777" w:rsidR="005E793C" w:rsidRPr="000638BE" w:rsidRDefault="005E793C" w:rsidP="00E30618">
            <w:pPr>
              <w:pStyle w:val="TableColHeadsBold0"/>
              <w:rPr>
                <w:highlight w:val="yellow"/>
              </w:rPr>
            </w:pPr>
          </w:p>
        </w:tc>
        <w:tc>
          <w:tcPr>
            <w:tcW w:w="1057" w:type="pct"/>
            <w:gridSpan w:val="2"/>
            <w:tcBorders>
              <w:bottom w:val="single" w:sz="4" w:space="0" w:color="808080" w:themeColor="background1" w:themeShade="80"/>
            </w:tcBorders>
            <w:vAlign w:val="bottom"/>
          </w:tcPr>
          <w:p w14:paraId="64212258" w14:textId="5A927581" w:rsidR="005E793C" w:rsidRPr="000638BE" w:rsidRDefault="005E793C" w:rsidP="00E30618">
            <w:pPr>
              <w:pStyle w:val="TableColHeadsBold0"/>
              <w:jc w:val="center"/>
            </w:pPr>
            <w:r w:rsidRPr="000638BE">
              <w:t>20</w:t>
            </w:r>
            <w:r w:rsidR="00A00505" w:rsidRPr="000638BE">
              <w:t>2</w:t>
            </w:r>
            <w:r w:rsidR="000638BE" w:rsidRPr="000638BE">
              <w:t>1</w:t>
            </w:r>
          </w:p>
        </w:tc>
        <w:tc>
          <w:tcPr>
            <w:tcW w:w="72" w:type="pct"/>
          </w:tcPr>
          <w:p w14:paraId="662F6CDF" w14:textId="77777777" w:rsidR="005E793C" w:rsidRPr="000638BE" w:rsidRDefault="005E793C" w:rsidP="00E30618">
            <w:pPr>
              <w:pStyle w:val="TableColHeadsBold0"/>
              <w:jc w:val="center"/>
              <w:rPr>
                <w:b w:val="0"/>
              </w:rPr>
            </w:pPr>
          </w:p>
        </w:tc>
        <w:tc>
          <w:tcPr>
            <w:tcW w:w="1266" w:type="pct"/>
            <w:gridSpan w:val="2"/>
            <w:tcBorders>
              <w:bottom w:val="single" w:sz="4" w:space="0" w:color="808080" w:themeColor="background1" w:themeShade="80"/>
            </w:tcBorders>
            <w:vAlign w:val="bottom"/>
          </w:tcPr>
          <w:p w14:paraId="44709E39" w14:textId="08721479" w:rsidR="005E793C" w:rsidRPr="000638BE" w:rsidRDefault="000638BE" w:rsidP="00E30618">
            <w:pPr>
              <w:pStyle w:val="TableColHeadsBold0"/>
              <w:jc w:val="center"/>
              <w:rPr>
                <w:b w:val="0"/>
              </w:rPr>
            </w:pPr>
            <w:r w:rsidRPr="000638BE">
              <w:rPr>
                <w:b w:val="0"/>
              </w:rPr>
              <w:t>2020</w:t>
            </w:r>
          </w:p>
        </w:tc>
      </w:tr>
      <w:tr w:rsidR="005F6D8A" w:rsidRPr="000638BE" w14:paraId="172A3C88" w14:textId="77777777" w:rsidTr="00E30618">
        <w:tc>
          <w:tcPr>
            <w:tcW w:w="2183" w:type="pct"/>
            <w:tcBorders>
              <w:bottom w:val="single" w:sz="8" w:space="0" w:color="808080" w:themeColor="background1" w:themeShade="80"/>
            </w:tcBorders>
            <w:shd w:val="clear" w:color="auto" w:fill="auto"/>
            <w:vAlign w:val="bottom"/>
          </w:tcPr>
          <w:p w14:paraId="61C2CF2D" w14:textId="77777777" w:rsidR="005E793C" w:rsidRPr="000638BE" w:rsidRDefault="005E793C" w:rsidP="00E30618">
            <w:pPr>
              <w:pStyle w:val="TabletextBold"/>
            </w:pPr>
          </w:p>
        </w:tc>
        <w:tc>
          <w:tcPr>
            <w:tcW w:w="422" w:type="pct"/>
            <w:tcBorders>
              <w:bottom w:val="single" w:sz="8" w:space="0" w:color="808080" w:themeColor="background1" w:themeShade="80"/>
            </w:tcBorders>
          </w:tcPr>
          <w:p w14:paraId="0992DF59" w14:textId="77777777" w:rsidR="005E793C" w:rsidRPr="00B64915" w:rsidRDefault="005E793C" w:rsidP="00E30618">
            <w:pPr>
              <w:pStyle w:val="TableColHeadsBold0"/>
              <w:rPr>
                <w:b w:val="0"/>
              </w:rPr>
            </w:pPr>
          </w:p>
          <w:p w14:paraId="628EFF52" w14:textId="77777777" w:rsidR="005E793C" w:rsidRPr="00B64915" w:rsidRDefault="005E793C" w:rsidP="00E30618">
            <w:pPr>
              <w:pStyle w:val="TableColHeadsBold0"/>
            </w:pPr>
            <w:r w:rsidRPr="00B64915">
              <w:rPr>
                <w:b w:val="0"/>
              </w:rPr>
              <w:t>Notes</w:t>
            </w:r>
          </w:p>
        </w:tc>
        <w:tc>
          <w:tcPr>
            <w:tcW w:w="424" w:type="pct"/>
            <w:tcBorders>
              <w:top w:val="single" w:sz="4" w:space="0" w:color="808080" w:themeColor="background1" w:themeShade="80"/>
              <w:bottom w:val="single" w:sz="8" w:space="0" w:color="808080" w:themeColor="background1" w:themeShade="80"/>
            </w:tcBorders>
            <w:vAlign w:val="bottom"/>
          </w:tcPr>
          <w:p w14:paraId="22E5CA27" w14:textId="77777777" w:rsidR="005E793C" w:rsidRPr="000638BE" w:rsidRDefault="005E793C" w:rsidP="00E30618">
            <w:pPr>
              <w:pStyle w:val="TableColHeadsBold0"/>
            </w:pPr>
            <w:r w:rsidRPr="000638BE">
              <w:t>£m</w:t>
            </w:r>
          </w:p>
        </w:tc>
        <w:tc>
          <w:tcPr>
            <w:tcW w:w="633" w:type="pct"/>
            <w:tcBorders>
              <w:top w:val="single" w:sz="4" w:space="0" w:color="808080" w:themeColor="background1" w:themeShade="80"/>
              <w:bottom w:val="single" w:sz="8" w:space="0" w:color="808080" w:themeColor="background1" w:themeShade="80"/>
            </w:tcBorders>
            <w:shd w:val="clear" w:color="auto" w:fill="auto"/>
            <w:vAlign w:val="bottom"/>
          </w:tcPr>
          <w:p w14:paraId="6488FA14" w14:textId="77777777" w:rsidR="005E793C" w:rsidRPr="000638BE" w:rsidRDefault="005E793C" w:rsidP="00E30618">
            <w:pPr>
              <w:pStyle w:val="TableColHeadsBold0"/>
            </w:pPr>
            <w:r w:rsidRPr="000638BE">
              <w:t>Pence per share</w:t>
            </w:r>
          </w:p>
        </w:tc>
        <w:tc>
          <w:tcPr>
            <w:tcW w:w="72" w:type="pct"/>
            <w:tcBorders>
              <w:bottom w:val="single" w:sz="8" w:space="0" w:color="808080" w:themeColor="background1" w:themeShade="80"/>
            </w:tcBorders>
          </w:tcPr>
          <w:p w14:paraId="75EECF24" w14:textId="77777777" w:rsidR="005E793C" w:rsidRPr="000638BE" w:rsidRDefault="005E793C" w:rsidP="00E30618">
            <w:pPr>
              <w:pStyle w:val="TableColHeadsBold0"/>
            </w:pPr>
          </w:p>
        </w:tc>
        <w:tc>
          <w:tcPr>
            <w:tcW w:w="634" w:type="pct"/>
            <w:tcBorders>
              <w:top w:val="single" w:sz="4" w:space="0" w:color="808080" w:themeColor="background1" w:themeShade="80"/>
              <w:bottom w:val="single" w:sz="8" w:space="0" w:color="808080" w:themeColor="background1" w:themeShade="80"/>
            </w:tcBorders>
            <w:vAlign w:val="bottom"/>
          </w:tcPr>
          <w:p w14:paraId="658D9E46" w14:textId="77777777" w:rsidR="005E793C" w:rsidRPr="000638BE" w:rsidRDefault="005E793C" w:rsidP="00E30618">
            <w:pPr>
              <w:pStyle w:val="TableColHeadsBold0"/>
              <w:rPr>
                <w:b w:val="0"/>
              </w:rPr>
            </w:pPr>
            <w:r w:rsidRPr="000638BE">
              <w:rPr>
                <w:b w:val="0"/>
              </w:rPr>
              <w:t>£m</w:t>
            </w:r>
          </w:p>
        </w:tc>
        <w:tc>
          <w:tcPr>
            <w:tcW w:w="632" w:type="pct"/>
            <w:tcBorders>
              <w:top w:val="single" w:sz="4" w:space="0" w:color="808080" w:themeColor="background1" w:themeShade="80"/>
              <w:bottom w:val="single" w:sz="8" w:space="0" w:color="808080" w:themeColor="background1" w:themeShade="80"/>
            </w:tcBorders>
            <w:vAlign w:val="bottom"/>
          </w:tcPr>
          <w:p w14:paraId="04FDC990" w14:textId="77777777" w:rsidR="005E793C" w:rsidRPr="000638BE" w:rsidRDefault="005E793C" w:rsidP="00E30618">
            <w:pPr>
              <w:pStyle w:val="TableColHeadsBold0"/>
              <w:rPr>
                <w:b w:val="0"/>
              </w:rPr>
            </w:pPr>
            <w:r w:rsidRPr="000638BE">
              <w:rPr>
                <w:b w:val="0"/>
              </w:rPr>
              <w:t>Pence per share</w:t>
            </w:r>
          </w:p>
        </w:tc>
      </w:tr>
      <w:tr w:rsidR="005F6D8A" w:rsidRPr="000638BE" w14:paraId="31EAB556" w14:textId="77777777" w:rsidTr="00E30618">
        <w:trPr>
          <w:trHeight w:val="227"/>
        </w:trPr>
        <w:tc>
          <w:tcPr>
            <w:tcW w:w="2183" w:type="pct"/>
            <w:tcBorders>
              <w:top w:val="single" w:sz="8" w:space="0" w:color="808080" w:themeColor="background1" w:themeShade="80"/>
            </w:tcBorders>
            <w:vAlign w:val="bottom"/>
          </w:tcPr>
          <w:p w14:paraId="4A60EF1E" w14:textId="77777777" w:rsidR="00A00505" w:rsidRPr="000638BE" w:rsidRDefault="00A00505" w:rsidP="00A00505">
            <w:pPr>
              <w:pStyle w:val="Tabletext"/>
              <w:rPr>
                <w:szCs w:val="20"/>
              </w:rPr>
            </w:pPr>
            <w:r w:rsidRPr="000638BE">
              <w:rPr>
                <w:szCs w:val="20"/>
              </w:rPr>
              <w:t>EPRA Earnings</w:t>
            </w:r>
          </w:p>
        </w:tc>
        <w:tc>
          <w:tcPr>
            <w:tcW w:w="422" w:type="pct"/>
            <w:tcBorders>
              <w:top w:val="single" w:sz="8" w:space="0" w:color="808080" w:themeColor="background1" w:themeShade="80"/>
            </w:tcBorders>
          </w:tcPr>
          <w:p w14:paraId="03C23735" w14:textId="22B0DCFC" w:rsidR="00A00505" w:rsidRPr="00B64915" w:rsidRDefault="00A00505" w:rsidP="00A00505">
            <w:pPr>
              <w:pStyle w:val="TableFiguresBracketsBold"/>
              <w:rPr>
                <w:b w:val="0"/>
              </w:rPr>
            </w:pPr>
            <w:r w:rsidRPr="00B64915">
              <w:rPr>
                <w:b w:val="0"/>
              </w:rPr>
              <w:t>Table 4</w:t>
            </w:r>
          </w:p>
        </w:tc>
        <w:tc>
          <w:tcPr>
            <w:tcW w:w="424" w:type="pct"/>
            <w:tcBorders>
              <w:top w:val="single" w:sz="8" w:space="0" w:color="808080" w:themeColor="background1" w:themeShade="80"/>
            </w:tcBorders>
            <w:shd w:val="clear" w:color="auto" w:fill="auto"/>
            <w:vAlign w:val="bottom"/>
          </w:tcPr>
          <w:p w14:paraId="4CCC8F8B" w14:textId="7DC0EC50" w:rsidR="00A00505" w:rsidRPr="00FD1A13" w:rsidRDefault="000638BE">
            <w:pPr>
              <w:pStyle w:val="TableFiguresBold0"/>
            </w:pPr>
            <w:r w:rsidRPr="00FD1A13">
              <w:t>348</w:t>
            </w:r>
          </w:p>
        </w:tc>
        <w:tc>
          <w:tcPr>
            <w:tcW w:w="633" w:type="pct"/>
            <w:tcBorders>
              <w:top w:val="single" w:sz="8" w:space="0" w:color="808080" w:themeColor="background1" w:themeShade="80"/>
            </w:tcBorders>
            <w:shd w:val="clear" w:color="auto" w:fill="auto"/>
            <w:vAlign w:val="bottom"/>
          </w:tcPr>
          <w:p w14:paraId="5EABB68A" w14:textId="4BFB3FDA" w:rsidR="00A00505" w:rsidRPr="00FD1A13" w:rsidRDefault="000638BE">
            <w:pPr>
              <w:pStyle w:val="TableFiguresBold0"/>
            </w:pPr>
            <w:r w:rsidRPr="00FD1A13">
              <w:t>29.1</w:t>
            </w:r>
          </w:p>
        </w:tc>
        <w:tc>
          <w:tcPr>
            <w:tcW w:w="72" w:type="pct"/>
            <w:tcBorders>
              <w:top w:val="single" w:sz="8" w:space="0" w:color="808080" w:themeColor="background1" w:themeShade="80"/>
            </w:tcBorders>
          </w:tcPr>
          <w:p w14:paraId="7C86AD50" w14:textId="77777777" w:rsidR="00A00505" w:rsidRPr="000638BE" w:rsidRDefault="00A00505" w:rsidP="00A00505">
            <w:pPr>
              <w:pStyle w:val="TableFiguresBracketsBold"/>
              <w:rPr>
                <w:b w:val="0"/>
              </w:rPr>
            </w:pPr>
          </w:p>
        </w:tc>
        <w:tc>
          <w:tcPr>
            <w:tcW w:w="634" w:type="pct"/>
            <w:tcBorders>
              <w:top w:val="single" w:sz="8" w:space="0" w:color="808080" w:themeColor="background1" w:themeShade="80"/>
            </w:tcBorders>
            <w:vAlign w:val="bottom"/>
          </w:tcPr>
          <w:p w14:paraId="55B3C674" w14:textId="7431F60F" w:rsidR="00A00505" w:rsidRPr="009A3EBE" w:rsidRDefault="000638BE">
            <w:pPr>
              <w:pStyle w:val="TableFigures"/>
            </w:pPr>
            <w:r w:rsidRPr="009A3EBE">
              <w:t>292</w:t>
            </w:r>
          </w:p>
        </w:tc>
        <w:tc>
          <w:tcPr>
            <w:tcW w:w="632" w:type="pct"/>
            <w:tcBorders>
              <w:top w:val="single" w:sz="8" w:space="0" w:color="808080" w:themeColor="background1" w:themeShade="80"/>
            </w:tcBorders>
            <w:vAlign w:val="bottom"/>
          </w:tcPr>
          <w:p w14:paraId="6CD13BA9" w14:textId="3D68380A" w:rsidR="00A00505" w:rsidRPr="00EE0DB9" w:rsidRDefault="000638BE">
            <w:pPr>
              <w:pStyle w:val="TableFigures"/>
            </w:pPr>
            <w:r w:rsidRPr="00D7207E">
              <w:t>25.4</w:t>
            </w:r>
          </w:p>
        </w:tc>
      </w:tr>
      <w:tr w:rsidR="005F6D8A" w:rsidRPr="000638BE" w14:paraId="52F5B647" w14:textId="77777777" w:rsidTr="00E30618">
        <w:trPr>
          <w:trHeight w:val="227"/>
        </w:trPr>
        <w:tc>
          <w:tcPr>
            <w:tcW w:w="2183" w:type="pct"/>
            <w:vAlign w:val="bottom"/>
          </w:tcPr>
          <w:p w14:paraId="143B704C" w14:textId="109106D2" w:rsidR="00A00505" w:rsidRPr="000638BE" w:rsidRDefault="00A00505" w:rsidP="00A00505">
            <w:pPr>
              <w:pStyle w:val="Tabletext"/>
              <w:rPr>
                <w:szCs w:val="20"/>
              </w:rPr>
            </w:pPr>
            <w:r w:rsidRPr="000638BE">
              <w:rPr>
                <w:szCs w:val="20"/>
              </w:rPr>
              <w:t>EPRA N</w:t>
            </w:r>
            <w:r w:rsidR="00C4527C" w:rsidRPr="000638BE">
              <w:rPr>
                <w:szCs w:val="20"/>
              </w:rPr>
              <w:t>TA</w:t>
            </w:r>
          </w:p>
        </w:tc>
        <w:tc>
          <w:tcPr>
            <w:tcW w:w="422" w:type="pct"/>
          </w:tcPr>
          <w:p w14:paraId="474FD519" w14:textId="6889B5BD" w:rsidR="00A00505" w:rsidRPr="00B64915" w:rsidRDefault="00A00505" w:rsidP="00A00505">
            <w:pPr>
              <w:pStyle w:val="TableFiguresBracketsBold"/>
              <w:rPr>
                <w:b w:val="0"/>
              </w:rPr>
            </w:pPr>
            <w:r w:rsidRPr="00B64915">
              <w:rPr>
                <w:b w:val="0"/>
              </w:rPr>
              <w:t xml:space="preserve">Table </w:t>
            </w:r>
            <w:r w:rsidR="009144D7" w:rsidRPr="00B64915">
              <w:rPr>
                <w:b w:val="0"/>
              </w:rPr>
              <w:t>5</w:t>
            </w:r>
          </w:p>
        </w:tc>
        <w:tc>
          <w:tcPr>
            <w:tcW w:w="424" w:type="pct"/>
            <w:shd w:val="clear" w:color="auto" w:fill="auto"/>
            <w:vAlign w:val="bottom"/>
          </w:tcPr>
          <w:p w14:paraId="5CAEF07B" w14:textId="6629B8F0" w:rsidR="00A00505" w:rsidRPr="00FD1A13" w:rsidRDefault="000638BE">
            <w:pPr>
              <w:pStyle w:val="TableFiguresBold0"/>
            </w:pPr>
            <w:r w:rsidRPr="00FD1A13">
              <w:t>13,704</w:t>
            </w:r>
          </w:p>
        </w:tc>
        <w:tc>
          <w:tcPr>
            <w:tcW w:w="633" w:type="pct"/>
            <w:shd w:val="clear" w:color="auto" w:fill="auto"/>
            <w:vAlign w:val="bottom"/>
          </w:tcPr>
          <w:p w14:paraId="3E4C74B4" w14:textId="58EC2A74" w:rsidR="00A00505" w:rsidRPr="00FD1A13" w:rsidRDefault="000638BE">
            <w:pPr>
              <w:pStyle w:val="TableFiguresBold0"/>
            </w:pPr>
            <w:r w:rsidRPr="00FD1A13">
              <w:t>1,137</w:t>
            </w:r>
          </w:p>
        </w:tc>
        <w:tc>
          <w:tcPr>
            <w:tcW w:w="72" w:type="pct"/>
          </w:tcPr>
          <w:p w14:paraId="1625E4F3" w14:textId="77777777" w:rsidR="00A00505" w:rsidRPr="000638BE" w:rsidRDefault="00A00505" w:rsidP="00A00505">
            <w:pPr>
              <w:pStyle w:val="TableFiguresBracketsBold"/>
              <w:rPr>
                <w:b w:val="0"/>
              </w:rPr>
            </w:pPr>
          </w:p>
        </w:tc>
        <w:tc>
          <w:tcPr>
            <w:tcW w:w="634" w:type="pct"/>
            <w:vAlign w:val="bottom"/>
          </w:tcPr>
          <w:p w14:paraId="46CD03A9" w14:textId="77CE087F" w:rsidR="00A00505" w:rsidRPr="009A3EBE" w:rsidRDefault="000638BE">
            <w:pPr>
              <w:pStyle w:val="TableFigures"/>
            </w:pPr>
            <w:r w:rsidRPr="009A3EBE">
              <w:t>9,725</w:t>
            </w:r>
          </w:p>
        </w:tc>
        <w:tc>
          <w:tcPr>
            <w:tcW w:w="632" w:type="pct"/>
            <w:vAlign w:val="bottom"/>
          </w:tcPr>
          <w:p w14:paraId="42124BE0" w14:textId="3A2EB39D" w:rsidR="00A00505" w:rsidRPr="00EE0DB9" w:rsidRDefault="000638BE">
            <w:pPr>
              <w:pStyle w:val="TableFigures"/>
            </w:pPr>
            <w:r w:rsidRPr="00D7207E">
              <w:t>814</w:t>
            </w:r>
          </w:p>
        </w:tc>
      </w:tr>
      <w:tr w:rsidR="005F6D8A" w:rsidRPr="000638BE" w14:paraId="0AB4BE78" w14:textId="77777777" w:rsidTr="00823C08">
        <w:trPr>
          <w:trHeight w:val="227"/>
        </w:trPr>
        <w:tc>
          <w:tcPr>
            <w:tcW w:w="2183" w:type="pct"/>
            <w:vAlign w:val="bottom"/>
          </w:tcPr>
          <w:p w14:paraId="375E9CD5" w14:textId="1D7EC320" w:rsidR="00A00505" w:rsidRPr="000638BE" w:rsidRDefault="00A00505" w:rsidP="00A00505">
            <w:pPr>
              <w:pStyle w:val="Tabletext"/>
              <w:rPr>
                <w:szCs w:val="20"/>
              </w:rPr>
            </w:pPr>
            <w:r w:rsidRPr="000638BE">
              <w:rPr>
                <w:szCs w:val="20"/>
              </w:rPr>
              <w:t>EPRA N</w:t>
            </w:r>
            <w:r w:rsidR="00C4527C" w:rsidRPr="000638BE">
              <w:rPr>
                <w:szCs w:val="20"/>
              </w:rPr>
              <w:t>RV</w:t>
            </w:r>
          </w:p>
        </w:tc>
        <w:tc>
          <w:tcPr>
            <w:tcW w:w="422" w:type="pct"/>
          </w:tcPr>
          <w:p w14:paraId="43B36574" w14:textId="64D21A51" w:rsidR="00A00505" w:rsidRPr="00B64915" w:rsidRDefault="009144D7" w:rsidP="00A00505">
            <w:pPr>
              <w:pStyle w:val="TableFiguresBracketsBold"/>
              <w:rPr>
                <w:b w:val="0"/>
              </w:rPr>
            </w:pPr>
            <w:r w:rsidRPr="00B64915">
              <w:rPr>
                <w:b w:val="0"/>
              </w:rPr>
              <w:t>Table 5</w:t>
            </w:r>
          </w:p>
        </w:tc>
        <w:tc>
          <w:tcPr>
            <w:tcW w:w="424" w:type="pct"/>
            <w:shd w:val="clear" w:color="auto" w:fill="auto"/>
            <w:vAlign w:val="bottom"/>
          </w:tcPr>
          <w:p w14:paraId="5447F752" w14:textId="24CCF73D" w:rsidR="00A00505" w:rsidRPr="00FD1A13" w:rsidRDefault="000638BE">
            <w:pPr>
              <w:pStyle w:val="TableFiguresBold0"/>
            </w:pPr>
            <w:r w:rsidRPr="00FD1A13">
              <w:t>14,986</w:t>
            </w:r>
          </w:p>
        </w:tc>
        <w:tc>
          <w:tcPr>
            <w:tcW w:w="633" w:type="pct"/>
            <w:shd w:val="clear" w:color="auto" w:fill="auto"/>
            <w:vAlign w:val="bottom"/>
          </w:tcPr>
          <w:p w14:paraId="67E7D902" w14:textId="6D92A3CD" w:rsidR="00A00505" w:rsidRPr="00FD1A13" w:rsidRDefault="000638BE">
            <w:pPr>
              <w:pStyle w:val="TableFiguresBold0"/>
            </w:pPr>
            <w:r w:rsidRPr="00FD1A13">
              <w:t>1,243</w:t>
            </w:r>
          </w:p>
        </w:tc>
        <w:tc>
          <w:tcPr>
            <w:tcW w:w="72" w:type="pct"/>
          </w:tcPr>
          <w:p w14:paraId="447D01DC" w14:textId="77777777" w:rsidR="00A00505" w:rsidRPr="000638BE" w:rsidRDefault="00A00505" w:rsidP="00A00505">
            <w:pPr>
              <w:pStyle w:val="TableFiguresBracketsBold"/>
              <w:rPr>
                <w:b w:val="0"/>
              </w:rPr>
            </w:pPr>
          </w:p>
        </w:tc>
        <w:tc>
          <w:tcPr>
            <w:tcW w:w="634" w:type="pct"/>
            <w:vAlign w:val="bottom"/>
          </w:tcPr>
          <w:p w14:paraId="0ABD307D" w14:textId="0437981D" w:rsidR="00A00505" w:rsidRPr="009A3EBE" w:rsidRDefault="000638BE">
            <w:pPr>
              <w:pStyle w:val="TableFigures"/>
            </w:pPr>
            <w:r w:rsidRPr="009A3EBE">
              <w:t>10,571</w:t>
            </w:r>
          </w:p>
        </w:tc>
        <w:tc>
          <w:tcPr>
            <w:tcW w:w="632" w:type="pct"/>
            <w:vAlign w:val="bottom"/>
          </w:tcPr>
          <w:p w14:paraId="16F9DD8A" w14:textId="621EF21E" w:rsidR="00A00505" w:rsidRPr="00EE0DB9" w:rsidRDefault="000638BE">
            <w:pPr>
              <w:pStyle w:val="TableFigures"/>
            </w:pPr>
            <w:r w:rsidRPr="00D7207E">
              <w:t>885</w:t>
            </w:r>
          </w:p>
        </w:tc>
      </w:tr>
      <w:tr w:rsidR="005F6D8A" w:rsidRPr="000638BE" w14:paraId="78C31001" w14:textId="77777777" w:rsidTr="00823C08">
        <w:trPr>
          <w:trHeight w:val="227"/>
        </w:trPr>
        <w:tc>
          <w:tcPr>
            <w:tcW w:w="2183" w:type="pct"/>
            <w:tcBorders>
              <w:bottom w:val="single" w:sz="4" w:space="0" w:color="808080" w:themeColor="background1" w:themeShade="80"/>
            </w:tcBorders>
            <w:vAlign w:val="bottom"/>
          </w:tcPr>
          <w:p w14:paraId="165638F3" w14:textId="54D15EAC" w:rsidR="00C4527C" w:rsidRPr="000638BE" w:rsidRDefault="00C4527C" w:rsidP="00A00505">
            <w:pPr>
              <w:pStyle w:val="Tabletext"/>
              <w:rPr>
                <w:szCs w:val="20"/>
              </w:rPr>
            </w:pPr>
            <w:r w:rsidRPr="000638BE">
              <w:rPr>
                <w:szCs w:val="20"/>
              </w:rPr>
              <w:t>EPRA NDV</w:t>
            </w:r>
          </w:p>
        </w:tc>
        <w:tc>
          <w:tcPr>
            <w:tcW w:w="422" w:type="pct"/>
            <w:tcBorders>
              <w:bottom w:val="single" w:sz="4" w:space="0" w:color="808080" w:themeColor="background1" w:themeShade="80"/>
            </w:tcBorders>
          </w:tcPr>
          <w:p w14:paraId="04D390E2" w14:textId="2C196A89" w:rsidR="00C4527C" w:rsidRPr="00B64915" w:rsidRDefault="009144D7" w:rsidP="00A00505">
            <w:pPr>
              <w:pStyle w:val="TableFiguresBracketsBold"/>
              <w:rPr>
                <w:b w:val="0"/>
              </w:rPr>
            </w:pPr>
            <w:r w:rsidRPr="00B64915">
              <w:rPr>
                <w:b w:val="0"/>
              </w:rPr>
              <w:t xml:space="preserve">Table 5 </w:t>
            </w:r>
          </w:p>
        </w:tc>
        <w:tc>
          <w:tcPr>
            <w:tcW w:w="424" w:type="pct"/>
            <w:tcBorders>
              <w:bottom w:val="single" w:sz="4" w:space="0" w:color="808080" w:themeColor="background1" w:themeShade="80"/>
            </w:tcBorders>
            <w:shd w:val="clear" w:color="auto" w:fill="auto"/>
            <w:vAlign w:val="bottom"/>
          </w:tcPr>
          <w:p w14:paraId="4369CFF8" w14:textId="1F35A20A" w:rsidR="00C4527C" w:rsidRPr="00FD1A13" w:rsidRDefault="000638BE">
            <w:pPr>
              <w:pStyle w:val="TableFiguresBold0"/>
            </w:pPr>
            <w:r w:rsidRPr="00FD1A13">
              <w:t>13,155</w:t>
            </w:r>
          </w:p>
        </w:tc>
        <w:tc>
          <w:tcPr>
            <w:tcW w:w="633" w:type="pct"/>
            <w:tcBorders>
              <w:bottom w:val="single" w:sz="4" w:space="0" w:color="808080" w:themeColor="background1" w:themeShade="80"/>
            </w:tcBorders>
            <w:shd w:val="clear" w:color="auto" w:fill="auto"/>
            <w:vAlign w:val="bottom"/>
          </w:tcPr>
          <w:p w14:paraId="4D5C3AD4" w14:textId="3DB043D4" w:rsidR="00C4527C" w:rsidRPr="00FD1A13" w:rsidRDefault="000638BE">
            <w:pPr>
              <w:pStyle w:val="TableFiguresBold0"/>
            </w:pPr>
            <w:r w:rsidRPr="00FD1A13">
              <w:t>1,091</w:t>
            </w:r>
          </w:p>
        </w:tc>
        <w:tc>
          <w:tcPr>
            <w:tcW w:w="72" w:type="pct"/>
            <w:tcBorders>
              <w:bottom w:val="single" w:sz="4" w:space="0" w:color="808080" w:themeColor="background1" w:themeShade="80"/>
            </w:tcBorders>
          </w:tcPr>
          <w:p w14:paraId="6649B9C5" w14:textId="77777777" w:rsidR="00C4527C" w:rsidRPr="000638BE" w:rsidRDefault="00C4527C" w:rsidP="00A00505">
            <w:pPr>
              <w:pStyle w:val="TableFiguresBracketsBold"/>
              <w:rPr>
                <w:b w:val="0"/>
              </w:rPr>
            </w:pPr>
          </w:p>
        </w:tc>
        <w:tc>
          <w:tcPr>
            <w:tcW w:w="634" w:type="pct"/>
            <w:tcBorders>
              <w:bottom w:val="single" w:sz="4" w:space="0" w:color="808080" w:themeColor="background1" w:themeShade="80"/>
            </w:tcBorders>
            <w:vAlign w:val="bottom"/>
          </w:tcPr>
          <w:p w14:paraId="3568A3D7" w14:textId="29E50711" w:rsidR="00C4527C" w:rsidRPr="009A3EBE" w:rsidRDefault="000638BE">
            <w:pPr>
              <w:pStyle w:val="TableFigures"/>
            </w:pPr>
            <w:r w:rsidRPr="009A3EBE">
              <w:t>9,155</w:t>
            </w:r>
          </w:p>
        </w:tc>
        <w:tc>
          <w:tcPr>
            <w:tcW w:w="632" w:type="pct"/>
            <w:tcBorders>
              <w:bottom w:val="single" w:sz="4" w:space="0" w:color="808080" w:themeColor="background1" w:themeShade="80"/>
            </w:tcBorders>
            <w:vAlign w:val="bottom"/>
          </w:tcPr>
          <w:p w14:paraId="0A6250D1" w14:textId="60F8C079" w:rsidR="00C4527C" w:rsidRPr="00EE0DB9" w:rsidRDefault="000638BE">
            <w:pPr>
              <w:pStyle w:val="TableFigures"/>
            </w:pPr>
            <w:r w:rsidRPr="00D7207E">
              <w:t>766</w:t>
            </w:r>
          </w:p>
        </w:tc>
      </w:tr>
      <w:tr w:rsidR="005F6D8A" w:rsidRPr="000638BE" w14:paraId="060950B4" w14:textId="77777777" w:rsidTr="00823C08">
        <w:trPr>
          <w:trHeight w:val="227"/>
        </w:trPr>
        <w:tc>
          <w:tcPr>
            <w:tcW w:w="2183" w:type="pct"/>
            <w:tcBorders>
              <w:top w:val="single" w:sz="4" w:space="0" w:color="808080" w:themeColor="background1" w:themeShade="80"/>
            </w:tcBorders>
            <w:shd w:val="clear" w:color="auto" w:fill="auto"/>
            <w:vAlign w:val="bottom"/>
          </w:tcPr>
          <w:p w14:paraId="52FBB212" w14:textId="77777777" w:rsidR="00A00505" w:rsidRPr="000638BE" w:rsidRDefault="00A00505" w:rsidP="00A00505">
            <w:pPr>
              <w:pStyle w:val="Tabletext"/>
              <w:rPr>
                <w:szCs w:val="20"/>
              </w:rPr>
            </w:pPr>
            <w:r w:rsidRPr="000638BE">
              <w:rPr>
                <w:szCs w:val="20"/>
              </w:rPr>
              <w:t>EPRA net initial yield</w:t>
            </w:r>
          </w:p>
        </w:tc>
        <w:tc>
          <w:tcPr>
            <w:tcW w:w="422" w:type="pct"/>
            <w:tcBorders>
              <w:top w:val="single" w:sz="4" w:space="0" w:color="808080" w:themeColor="background1" w:themeShade="80"/>
            </w:tcBorders>
          </w:tcPr>
          <w:p w14:paraId="1CEB4A63" w14:textId="6B488D3C" w:rsidR="00A00505" w:rsidRPr="007B28BE" w:rsidRDefault="00A00505" w:rsidP="00A00505">
            <w:pPr>
              <w:pStyle w:val="TableFiguresBracketsBold"/>
              <w:rPr>
                <w:b w:val="0"/>
              </w:rPr>
            </w:pPr>
            <w:r w:rsidRPr="007B28BE">
              <w:rPr>
                <w:b w:val="0"/>
              </w:rPr>
              <w:t xml:space="preserve">Table </w:t>
            </w:r>
            <w:r w:rsidR="009144D7" w:rsidRPr="007B28BE">
              <w:rPr>
                <w:b w:val="0"/>
              </w:rPr>
              <w:t>6</w:t>
            </w:r>
          </w:p>
        </w:tc>
        <w:tc>
          <w:tcPr>
            <w:tcW w:w="424" w:type="pct"/>
            <w:tcBorders>
              <w:top w:val="single" w:sz="4" w:space="0" w:color="808080" w:themeColor="background1" w:themeShade="80"/>
            </w:tcBorders>
            <w:shd w:val="clear" w:color="auto" w:fill="auto"/>
            <w:vAlign w:val="bottom"/>
          </w:tcPr>
          <w:p w14:paraId="09917662" w14:textId="77777777" w:rsidR="00A00505" w:rsidRPr="000638BE" w:rsidRDefault="00A00505" w:rsidP="00823C08">
            <w:pPr>
              <w:pStyle w:val="TableFiguresBold0"/>
            </w:pPr>
          </w:p>
        </w:tc>
        <w:tc>
          <w:tcPr>
            <w:tcW w:w="633" w:type="pct"/>
            <w:tcBorders>
              <w:top w:val="single" w:sz="4" w:space="0" w:color="808080" w:themeColor="background1" w:themeShade="80"/>
            </w:tcBorders>
            <w:shd w:val="clear" w:color="auto" w:fill="auto"/>
            <w:vAlign w:val="bottom"/>
          </w:tcPr>
          <w:p w14:paraId="2C774CD8" w14:textId="1BE7C2CE" w:rsidR="00A00505" w:rsidRPr="000638BE" w:rsidRDefault="00A00505" w:rsidP="00823C08">
            <w:pPr>
              <w:pStyle w:val="TableFiguresBold0"/>
            </w:pPr>
            <w:r w:rsidRPr="000638BE">
              <w:t>3.</w:t>
            </w:r>
            <w:r w:rsidR="000638BE" w:rsidRPr="000638BE">
              <w:t>0</w:t>
            </w:r>
            <w:r w:rsidRPr="000638BE">
              <w:t>%</w:t>
            </w:r>
          </w:p>
        </w:tc>
        <w:tc>
          <w:tcPr>
            <w:tcW w:w="72" w:type="pct"/>
            <w:tcBorders>
              <w:top w:val="single" w:sz="4" w:space="0" w:color="808080" w:themeColor="background1" w:themeShade="80"/>
            </w:tcBorders>
          </w:tcPr>
          <w:p w14:paraId="77CBB9A1" w14:textId="77777777" w:rsidR="00A00505" w:rsidRPr="000638BE" w:rsidRDefault="00A00505" w:rsidP="00A00505">
            <w:pPr>
              <w:pStyle w:val="TableFiguresBracketsBold"/>
              <w:rPr>
                <w:b w:val="0"/>
              </w:rPr>
            </w:pPr>
          </w:p>
        </w:tc>
        <w:tc>
          <w:tcPr>
            <w:tcW w:w="634" w:type="pct"/>
            <w:tcBorders>
              <w:top w:val="single" w:sz="4" w:space="0" w:color="808080" w:themeColor="background1" w:themeShade="80"/>
            </w:tcBorders>
            <w:vAlign w:val="bottom"/>
          </w:tcPr>
          <w:p w14:paraId="5D9D5A69" w14:textId="77777777" w:rsidR="00A00505" w:rsidRPr="000638BE" w:rsidRDefault="00A00505" w:rsidP="00A00505">
            <w:pPr>
              <w:pStyle w:val="TableFigures"/>
              <w:rPr>
                <w:bCs/>
              </w:rPr>
            </w:pPr>
          </w:p>
        </w:tc>
        <w:tc>
          <w:tcPr>
            <w:tcW w:w="632" w:type="pct"/>
            <w:tcBorders>
              <w:top w:val="single" w:sz="4" w:space="0" w:color="808080" w:themeColor="background1" w:themeShade="80"/>
            </w:tcBorders>
            <w:vAlign w:val="bottom"/>
          </w:tcPr>
          <w:p w14:paraId="78A250F9" w14:textId="639CD261" w:rsidR="00A00505" w:rsidRPr="000638BE" w:rsidRDefault="00A00505" w:rsidP="00A00505">
            <w:pPr>
              <w:pStyle w:val="TableFigures"/>
              <w:rPr>
                <w:bCs/>
              </w:rPr>
            </w:pPr>
            <w:r w:rsidRPr="000638BE">
              <w:rPr>
                <w:bCs/>
              </w:rPr>
              <w:t>3.8%</w:t>
            </w:r>
          </w:p>
        </w:tc>
      </w:tr>
      <w:tr w:rsidR="005F6D8A" w:rsidRPr="000638BE" w14:paraId="06144DB2" w14:textId="77777777" w:rsidTr="00E30618">
        <w:trPr>
          <w:trHeight w:val="227"/>
        </w:trPr>
        <w:tc>
          <w:tcPr>
            <w:tcW w:w="2183" w:type="pct"/>
            <w:shd w:val="clear" w:color="auto" w:fill="auto"/>
            <w:vAlign w:val="bottom"/>
          </w:tcPr>
          <w:p w14:paraId="2E69C0C4" w14:textId="77777777" w:rsidR="00A00505" w:rsidRPr="000638BE" w:rsidRDefault="00A00505" w:rsidP="00A00505">
            <w:pPr>
              <w:pStyle w:val="Tabletext"/>
              <w:rPr>
                <w:szCs w:val="20"/>
              </w:rPr>
            </w:pPr>
            <w:r w:rsidRPr="000638BE">
              <w:rPr>
                <w:szCs w:val="20"/>
              </w:rPr>
              <w:t>EPRA ‘topped up’ net initial yield</w:t>
            </w:r>
          </w:p>
        </w:tc>
        <w:tc>
          <w:tcPr>
            <w:tcW w:w="422" w:type="pct"/>
          </w:tcPr>
          <w:p w14:paraId="2A14DB99" w14:textId="595F21A5" w:rsidR="00A00505" w:rsidRPr="00B64915" w:rsidRDefault="00A00505" w:rsidP="00A00505">
            <w:pPr>
              <w:pStyle w:val="TableFiguresBracketsBold"/>
              <w:rPr>
                <w:b w:val="0"/>
              </w:rPr>
            </w:pPr>
            <w:r w:rsidRPr="00B64915">
              <w:rPr>
                <w:b w:val="0"/>
              </w:rPr>
              <w:t xml:space="preserve">Table </w:t>
            </w:r>
            <w:r w:rsidR="009144D7" w:rsidRPr="00B64915">
              <w:rPr>
                <w:b w:val="0"/>
              </w:rPr>
              <w:t>6</w:t>
            </w:r>
          </w:p>
        </w:tc>
        <w:tc>
          <w:tcPr>
            <w:tcW w:w="424" w:type="pct"/>
            <w:shd w:val="clear" w:color="auto" w:fill="auto"/>
            <w:vAlign w:val="bottom"/>
          </w:tcPr>
          <w:p w14:paraId="7D393F7D" w14:textId="77777777" w:rsidR="00A00505" w:rsidRPr="000638BE" w:rsidRDefault="00A00505" w:rsidP="00823C08">
            <w:pPr>
              <w:pStyle w:val="TableFiguresBold0"/>
            </w:pPr>
          </w:p>
        </w:tc>
        <w:tc>
          <w:tcPr>
            <w:tcW w:w="633" w:type="pct"/>
            <w:shd w:val="clear" w:color="auto" w:fill="auto"/>
            <w:vAlign w:val="bottom"/>
          </w:tcPr>
          <w:p w14:paraId="1845A67C" w14:textId="1B57239D" w:rsidR="00A00505" w:rsidRPr="000638BE" w:rsidRDefault="000638BE" w:rsidP="00823C08">
            <w:pPr>
              <w:pStyle w:val="TableFiguresBold0"/>
            </w:pPr>
            <w:r w:rsidRPr="000638BE">
              <w:t>3.3</w:t>
            </w:r>
            <w:r w:rsidR="00C4527C" w:rsidRPr="000638BE">
              <w:t>%</w:t>
            </w:r>
          </w:p>
        </w:tc>
        <w:tc>
          <w:tcPr>
            <w:tcW w:w="72" w:type="pct"/>
          </w:tcPr>
          <w:p w14:paraId="43109121" w14:textId="77777777" w:rsidR="00A00505" w:rsidRPr="000638BE" w:rsidRDefault="00A00505" w:rsidP="00A00505">
            <w:pPr>
              <w:pStyle w:val="TableFiguresBracketsBold"/>
              <w:rPr>
                <w:b w:val="0"/>
              </w:rPr>
            </w:pPr>
          </w:p>
        </w:tc>
        <w:tc>
          <w:tcPr>
            <w:tcW w:w="634" w:type="pct"/>
            <w:vAlign w:val="bottom"/>
          </w:tcPr>
          <w:p w14:paraId="6D9C6DA9" w14:textId="77777777" w:rsidR="00A00505" w:rsidRPr="000638BE" w:rsidRDefault="00A00505" w:rsidP="00A00505">
            <w:pPr>
              <w:pStyle w:val="TableFigures"/>
              <w:rPr>
                <w:bCs/>
              </w:rPr>
            </w:pPr>
          </w:p>
        </w:tc>
        <w:tc>
          <w:tcPr>
            <w:tcW w:w="632" w:type="pct"/>
            <w:vAlign w:val="bottom"/>
          </w:tcPr>
          <w:p w14:paraId="2527E1F6" w14:textId="44575B89" w:rsidR="00A00505" w:rsidRPr="000638BE" w:rsidRDefault="00A00505" w:rsidP="00A00505">
            <w:pPr>
              <w:pStyle w:val="TableFigures"/>
              <w:rPr>
                <w:bCs/>
              </w:rPr>
            </w:pPr>
            <w:r w:rsidRPr="000638BE">
              <w:rPr>
                <w:bCs/>
              </w:rPr>
              <w:t>4.</w:t>
            </w:r>
            <w:r w:rsidR="000638BE" w:rsidRPr="000638BE">
              <w:rPr>
                <w:bCs/>
              </w:rPr>
              <w:t>1</w:t>
            </w:r>
            <w:r w:rsidRPr="000638BE">
              <w:rPr>
                <w:bCs/>
              </w:rPr>
              <w:t>%</w:t>
            </w:r>
          </w:p>
        </w:tc>
      </w:tr>
      <w:tr w:rsidR="005F6D8A" w:rsidRPr="000638BE" w14:paraId="69DC2DAC" w14:textId="77777777" w:rsidTr="00E30618">
        <w:trPr>
          <w:trHeight w:val="227"/>
        </w:trPr>
        <w:tc>
          <w:tcPr>
            <w:tcW w:w="2183" w:type="pct"/>
            <w:shd w:val="clear" w:color="auto" w:fill="auto"/>
            <w:vAlign w:val="bottom"/>
          </w:tcPr>
          <w:p w14:paraId="53F56966" w14:textId="77777777" w:rsidR="00A00505" w:rsidRPr="000638BE" w:rsidRDefault="00A00505" w:rsidP="00A00505">
            <w:pPr>
              <w:pStyle w:val="Tabletext"/>
              <w:rPr>
                <w:szCs w:val="20"/>
              </w:rPr>
            </w:pPr>
            <w:r w:rsidRPr="000638BE">
              <w:rPr>
                <w:szCs w:val="20"/>
              </w:rPr>
              <w:t>EPRA vacancy rate</w:t>
            </w:r>
          </w:p>
        </w:tc>
        <w:tc>
          <w:tcPr>
            <w:tcW w:w="422" w:type="pct"/>
          </w:tcPr>
          <w:p w14:paraId="08D94FB1" w14:textId="319A91AE" w:rsidR="00A00505" w:rsidRPr="007B28BE" w:rsidRDefault="00A00505" w:rsidP="00A00505">
            <w:pPr>
              <w:pStyle w:val="TableFiguresBracketsBold"/>
              <w:rPr>
                <w:b w:val="0"/>
              </w:rPr>
            </w:pPr>
            <w:r w:rsidRPr="007B28BE">
              <w:rPr>
                <w:b w:val="0"/>
              </w:rPr>
              <w:t xml:space="preserve">Table </w:t>
            </w:r>
            <w:r w:rsidR="009144D7" w:rsidRPr="007B28BE">
              <w:rPr>
                <w:b w:val="0"/>
              </w:rPr>
              <w:t>7</w:t>
            </w:r>
          </w:p>
        </w:tc>
        <w:tc>
          <w:tcPr>
            <w:tcW w:w="424" w:type="pct"/>
            <w:shd w:val="clear" w:color="auto" w:fill="auto"/>
            <w:vAlign w:val="bottom"/>
          </w:tcPr>
          <w:p w14:paraId="13D2E06B" w14:textId="77777777" w:rsidR="00A00505" w:rsidRPr="000638BE" w:rsidRDefault="00A00505" w:rsidP="00823C08">
            <w:pPr>
              <w:pStyle w:val="TableFiguresBold0"/>
            </w:pPr>
          </w:p>
        </w:tc>
        <w:tc>
          <w:tcPr>
            <w:tcW w:w="633" w:type="pct"/>
            <w:shd w:val="clear" w:color="auto" w:fill="auto"/>
            <w:vAlign w:val="bottom"/>
          </w:tcPr>
          <w:p w14:paraId="1BF8154E" w14:textId="7379047C" w:rsidR="00A00505" w:rsidRPr="000638BE" w:rsidRDefault="00C4527C" w:rsidP="00823C08">
            <w:pPr>
              <w:pStyle w:val="TableFiguresBold0"/>
            </w:pPr>
            <w:r w:rsidRPr="000638BE">
              <w:t>3.</w:t>
            </w:r>
            <w:r w:rsidR="000638BE" w:rsidRPr="000638BE">
              <w:t>2</w:t>
            </w:r>
            <w:r w:rsidRPr="000638BE">
              <w:t>%</w:t>
            </w:r>
          </w:p>
        </w:tc>
        <w:tc>
          <w:tcPr>
            <w:tcW w:w="72" w:type="pct"/>
          </w:tcPr>
          <w:p w14:paraId="1756202A" w14:textId="77777777" w:rsidR="00A00505" w:rsidRPr="000638BE" w:rsidRDefault="00A00505" w:rsidP="00A00505">
            <w:pPr>
              <w:pStyle w:val="TableFiguresBracketsBold"/>
              <w:rPr>
                <w:b w:val="0"/>
              </w:rPr>
            </w:pPr>
          </w:p>
        </w:tc>
        <w:tc>
          <w:tcPr>
            <w:tcW w:w="634" w:type="pct"/>
            <w:vAlign w:val="bottom"/>
          </w:tcPr>
          <w:p w14:paraId="5E1CA207" w14:textId="77777777" w:rsidR="00A00505" w:rsidRPr="000638BE" w:rsidRDefault="00A00505" w:rsidP="00A00505">
            <w:pPr>
              <w:pStyle w:val="TableFigures"/>
              <w:rPr>
                <w:bCs/>
              </w:rPr>
            </w:pPr>
          </w:p>
        </w:tc>
        <w:tc>
          <w:tcPr>
            <w:tcW w:w="632" w:type="pct"/>
            <w:vAlign w:val="bottom"/>
          </w:tcPr>
          <w:p w14:paraId="0B80DE48" w14:textId="1BFB11E0" w:rsidR="00A00505" w:rsidRPr="000638BE" w:rsidRDefault="000638BE" w:rsidP="00A00505">
            <w:pPr>
              <w:pStyle w:val="TableFigures"/>
              <w:rPr>
                <w:bCs/>
              </w:rPr>
            </w:pPr>
            <w:r w:rsidRPr="000638BE">
              <w:rPr>
                <w:bCs/>
              </w:rPr>
              <w:t>3.9</w:t>
            </w:r>
            <w:r w:rsidR="00A00505" w:rsidRPr="000638BE">
              <w:rPr>
                <w:bCs/>
              </w:rPr>
              <w:t>%</w:t>
            </w:r>
          </w:p>
        </w:tc>
      </w:tr>
      <w:tr w:rsidR="005F6D8A" w:rsidRPr="000638BE" w14:paraId="0EC1D4F5" w14:textId="77777777" w:rsidTr="00E30618">
        <w:trPr>
          <w:trHeight w:val="227"/>
        </w:trPr>
        <w:tc>
          <w:tcPr>
            <w:tcW w:w="2183" w:type="pct"/>
            <w:shd w:val="clear" w:color="auto" w:fill="auto"/>
            <w:vAlign w:val="bottom"/>
          </w:tcPr>
          <w:p w14:paraId="3ED0FE32" w14:textId="3D6B50AA" w:rsidR="00A00505" w:rsidRPr="000638BE" w:rsidRDefault="00A00505" w:rsidP="00A00505">
            <w:pPr>
              <w:pStyle w:val="TabletextBold"/>
              <w:rPr>
                <w:b w:val="0"/>
                <w:szCs w:val="20"/>
              </w:rPr>
            </w:pPr>
            <w:r w:rsidRPr="000638BE">
              <w:rPr>
                <w:b w:val="0"/>
                <w:szCs w:val="20"/>
              </w:rPr>
              <w:t>EPRA cost ratio (including vacant property costs)</w:t>
            </w:r>
          </w:p>
        </w:tc>
        <w:tc>
          <w:tcPr>
            <w:tcW w:w="422" w:type="pct"/>
          </w:tcPr>
          <w:p w14:paraId="72B48E6A" w14:textId="11D398C8" w:rsidR="00A00505" w:rsidRPr="007B28BE" w:rsidRDefault="00A00505" w:rsidP="00A00505">
            <w:pPr>
              <w:pStyle w:val="TableFiguresBracketsBold"/>
              <w:rPr>
                <w:b w:val="0"/>
              </w:rPr>
            </w:pPr>
            <w:r w:rsidRPr="007B28BE">
              <w:rPr>
                <w:b w:val="0"/>
              </w:rPr>
              <w:t>Table</w:t>
            </w:r>
            <w:r w:rsidR="009144D7" w:rsidRPr="007B28BE">
              <w:rPr>
                <w:b w:val="0"/>
              </w:rPr>
              <w:t xml:space="preserve"> 8</w:t>
            </w:r>
          </w:p>
        </w:tc>
        <w:tc>
          <w:tcPr>
            <w:tcW w:w="424" w:type="pct"/>
            <w:shd w:val="clear" w:color="auto" w:fill="auto"/>
            <w:vAlign w:val="bottom"/>
          </w:tcPr>
          <w:p w14:paraId="13C878F0" w14:textId="77777777" w:rsidR="00A00505" w:rsidRPr="000638BE" w:rsidRDefault="00A00505" w:rsidP="00823C08">
            <w:pPr>
              <w:pStyle w:val="TableFiguresBold0"/>
            </w:pPr>
          </w:p>
        </w:tc>
        <w:tc>
          <w:tcPr>
            <w:tcW w:w="633" w:type="pct"/>
            <w:shd w:val="clear" w:color="auto" w:fill="auto"/>
            <w:vAlign w:val="bottom"/>
          </w:tcPr>
          <w:p w14:paraId="0CD44F8E" w14:textId="44D0A5FC" w:rsidR="00A00505" w:rsidRPr="000638BE" w:rsidRDefault="00C4527C" w:rsidP="00823C08">
            <w:pPr>
              <w:pStyle w:val="TableFiguresBold0"/>
            </w:pPr>
            <w:r w:rsidRPr="000638BE">
              <w:t>2</w:t>
            </w:r>
            <w:r w:rsidR="000638BE" w:rsidRPr="000638BE">
              <w:t>0.2</w:t>
            </w:r>
            <w:r w:rsidRPr="000638BE">
              <w:t>%</w:t>
            </w:r>
          </w:p>
        </w:tc>
        <w:tc>
          <w:tcPr>
            <w:tcW w:w="72" w:type="pct"/>
          </w:tcPr>
          <w:p w14:paraId="47FCAF2F" w14:textId="77777777" w:rsidR="00A00505" w:rsidRPr="000638BE" w:rsidRDefault="00A00505" w:rsidP="00A00505">
            <w:pPr>
              <w:pStyle w:val="TableFiguresBracketsBold"/>
              <w:rPr>
                <w:b w:val="0"/>
              </w:rPr>
            </w:pPr>
          </w:p>
        </w:tc>
        <w:tc>
          <w:tcPr>
            <w:tcW w:w="634" w:type="pct"/>
            <w:vAlign w:val="bottom"/>
          </w:tcPr>
          <w:p w14:paraId="43D98B8B" w14:textId="77777777" w:rsidR="00A00505" w:rsidRPr="000638BE" w:rsidRDefault="00A00505" w:rsidP="00A00505">
            <w:pPr>
              <w:pStyle w:val="TableFigures"/>
              <w:rPr>
                <w:bCs/>
              </w:rPr>
            </w:pPr>
          </w:p>
        </w:tc>
        <w:tc>
          <w:tcPr>
            <w:tcW w:w="632" w:type="pct"/>
            <w:vAlign w:val="bottom"/>
          </w:tcPr>
          <w:p w14:paraId="0BCB3BCD" w14:textId="6E0E4BA9" w:rsidR="00A00505" w:rsidRPr="000638BE" w:rsidRDefault="00A00505" w:rsidP="00A00505">
            <w:pPr>
              <w:pStyle w:val="TableFigures"/>
              <w:rPr>
                <w:bCs/>
              </w:rPr>
            </w:pPr>
            <w:r w:rsidRPr="000638BE">
              <w:rPr>
                <w:bCs/>
              </w:rPr>
              <w:t>2</w:t>
            </w:r>
            <w:r w:rsidR="000638BE" w:rsidRPr="000638BE">
              <w:rPr>
                <w:bCs/>
              </w:rPr>
              <w:t>1.1</w:t>
            </w:r>
            <w:r w:rsidRPr="000638BE">
              <w:rPr>
                <w:bCs/>
              </w:rPr>
              <w:t>%</w:t>
            </w:r>
          </w:p>
        </w:tc>
      </w:tr>
      <w:tr w:rsidR="00C4527C" w:rsidRPr="000638BE" w14:paraId="3525AF6C" w14:textId="77777777" w:rsidTr="00E30618">
        <w:trPr>
          <w:trHeight w:val="227"/>
        </w:trPr>
        <w:tc>
          <w:tcPr>
            <w:tcW w:w="2183" w:type="pct"/>
            <w:tcBorders>
              <w:bottom w:val="single" w:sz="8" w:space="0" w:color="808080" w:themeColor="background1" w:themeShade="80"/>
            </w:tcBorders>
            <w:shd w:val="clear" w:color="auto" w:fill="auto"/>
            <w:vAlign w:val="bottom"/>
          </w:tcPr>
          <w:p w14:paraId="3D13784C" w14:textId="74F649C1" w:rsidR="00A00505" w:rsidRPr="000638BE" w:rsidRDefault="00A00505" w:rsidP="00A00505">
            <w:pPr>
              <w:pStyle w:val="TabletextBold"/>
              <w:rPr>
                <w:b w:val="0"/>
                <w:szCs w:val="20"/>
              </w:rPr>
            </w:pPr>
            <w:r w:rsidRPr="000638BE">
              <w:rPr>
                <w:b w:val="0"/>
                <w:szCs w:val="20"/>
              </w:rPr>
              <w:t>EPRA cost ratio (excluding vacant property costs)</w:t>
            </w:r>
          </w:p>
        </w:tc>
        <w:tc>
          <w:tcPr>
            <w:tcW w:w="422" w:type="pct"/>
            <w:tcBorders>
              <w:bottom w:val="single" w:sz="8" w:space="0" w:color="808080" w:themeColor="background1" w:themeShade="80"/>
            </w:tcBorders>
          </w:tcPr>
          <w:p w14:paraId="2EFAC56A" w14:textId="7D98D897" w:rsidR="00A00505" w:rsidRPr="00B64915" w:rsidRDefault="00A00505" w:rsidP="00A00505">
            <w:pPr>
              <w:pStyle w:val="TableFiguresBracketsBold"/>
              <w:rPr>
                <w:b w:val="0"/>
              </w:rPr>
            </w:pPr>
            <w:r w:rsidRPr="00B64915">
              <w:rPr>
                <w:b w:val="0"/>
              </w:rPr>
              <w:t xml:space="preserve">Table </w:t>
            </w:r>
            <w:r w:rsidR="009144D7" w:rsidRPr="00B64915">
              <w:rPr>
                <w:b w:val="0"/>
              </w:rPr>
              <w:t>8</w:t>
            </w:r>
          </w:p>
        </w:tc>
        <w:tc>
          <w:tcPr>
            <w:tcW w:w="424" w:type="pct"/>
            <w:tcBorders>
              <w:bottom w:val="single" w:sz="8" w:space="0" w:color="808080" w:themeColor="background1" w:themeShade="80"/>
            </w:tcBorders>
            <w:shd w:val="clear" w:color="auto" w:fill="auto"/>
            <w:vAlign w:val="bottom"/>
          </w:tcPr>
          <w:p w14:paraId="65744A1F" w14:textId="77777777" w:rsidR="00A00505" w:rsidRPr="000638BE" w:rsidRDefault="00A00505" w:rsidP="00823C08">
            <w:pPr>
              <w:pStyle w:val="TableFiguresBold0"/>
            </w:pPr>
          </w:p>
        </w:tc>
        <w:tc>
          <w:tcPr>
            <w:tcW w:w="633" w:type="pct"/>
            <w:tcBorders>
              <w:bottom w:val="single" w:sz="8" w:space="0" w:color="808080" w:themeColor="background1" w:themeShade="80"/>
            </w:tcBorders>
            <w:shd w:val="clear" w:color="auto" w:fill="auto"/>
            <w:vAlign w:val="bottom"/>
          </w:tcPr>
          <w:p w14:paraId="394C8691" w14:textId="7E504A89" w:rsidR="00A00505" w:rsidRPr="000638BE" w:rsidRDefault="000638BE" w:rsidP="00823C08">
            <w:pPr>
              <w:pStyle w:val="TableFiguresBold0"/>
            </w:pPr>
            <w:r w:rsidRPr="000638BE">
              <w:t>19.0</w:t>
            </w:r>
            <w:r w:rsidR="00C4527C" w:rsidRPr="000638BE">
              <w:t>%</w:t>
            </w:r>
          </w:p>
        </w:tc>
        <w:tc>
          <w:tcPr>
            <w:tcW w:w="72" w:type="pct"/>
            <w:tcBorders>
              <w:bottom w:val="single" w:sz="8" w:space="0" w:color="808080" w:themeColor="background1" w:themeShade="80"/>
            </w:tcBorders>
          </w:tcPr>
          <w:p w14:paraId="47D33374" w14:textId="77777777" w:rsidR="00A00505" w:rsidRPr="000638BE" w:rsidRDefault="00A00505" w:rsidP="00A00505">
            <w:pPr>
              <w:pStyle w:val="TableFiguresBracketsBold"/>
              <w:rPr>
                <w:b w:val="0"/>
              </w:rPr>
            </w:pPr>
          </w:p>
        </w:tc>
        <w:tc>
          <w:tcPr>
            <w:tcW w:w="634" w:type="pct"/>
            <w:tcBorders>
              <w:bottom w:val="single" w:sz="8" w:space="0" w:color="808080" w:themeColor="background1" w:themeShade="80"/>
            </w:tcBorders>
            <w:vAlign w:val="bottom"/>
          </w:tcPr>
          <w:p w14:paraId="0C69CD9F" w14:textId="77777777" w:rsidR="00A00505" w:rsidRPr="000638BE" w:rsidRDefault="00A00505" w:rsidP="00A00505">
            <w:pPr>
              <w:pStyle w:val="TableFigures"/>
              <w:rPr>
                <w:bCs/>
              </w:rPr>
            </w:pPr>
          </w:p>
        </w:tc>
        <w:tc>
          <w:tcPr>
            <w:tcW w:w="632" w:type="pct"/>
            <w:tcBorders>
              <w:bottom w:val="single" w:sz="8" w:space="0" w:color="808080" w:themeColor="background1" w:themeShade="80"/>
            </w:tcBorders>
            <w:vAlign w:val="bottom"/>
          </w:tcPr>
          <w:p w14:paraId="5202167E" w14:textId="516712CA" w:rsidR="00A00505" w:rsidRPr="000638BE" w:rsidRDefault="00A00505" w:rsidP="00A00505">
            <w:pPr>
              <w:pStyle w:val="TableFigures"/>
              <w:rPr>
                <w:bCs/>
              </w:rPr>
            </w:pPr>
            <w:r w:rsidRPr="000638BE">
              <w:rPr>
                <w:bCs/>
              </w:rPr>
              <w:t>2</w:t>
            </w:r>
            <w:r w:rsidR="000638BE" w:rsidRPr="000638BE">
              <w:rPr>
                <w:bCs/>
              </w:rPr>
              <w:t>0.1</w:t>
            </w:r>
            <w:r w:rsidRPr="000638BE">
              <w:rPr>
                <w:bCs/>
              </w:rPr>
              <w:t>%</w:t>
            </w:r>
          </w:p>
        </w:tc>
      </w:tr>
    </w:tbl>
    <w:p w14:paraId="3DC453C3" w14:textId="77777777" w:rsidR="00F65281" w:rsidRPr="005F6D8A" w:rsidRDefault="00F65281" w:rsidP="005E793C">
      <w:pPr>
        <w:pStyle w:val="Heading2"/>
        <w:rPr>
          <w:rFonts w:cs="Times New Roman"/>
          <w:color w:val="FF0000"/>
          <w:sz w:val="18"/>
          <w:szCs w:val="18"/>
        </w:rPr>
      </w:pPr>
    </w:p>
    <w:p w14:paraId="6236F103" w14:textId="3ECA97A5" w:rsidR="005E793C" w:rsidRPr="000638BE" w:rsidRDefault="005E793C" w:rsidP="005E793C">
      <w:pPr>
        <w:pStyle w:val="Heading2"/>
        <w:rPr>
          <w:rFonts w:cs="Times New Roman"/>
        </w:rPr>
      </w:pPr>
      <w:r w:rsidRPr="000638BE">
        <w:rPr>
          <w:sz w:val="20"/>
        </w:rPr>
        <w:t>TABLE 2: INCOME STATEMENT, PROPORTIONAL CONSOLIDATION</w:t>
      </w:r>
    </w:p>
    <w:tbl>
      <w:tblPr>
        <w:tblW w:w="4876" w:type="pct"/>
        <w:tblInd w:w="-142" w:type="dxa"/>
        <w:tblLayout w:type="fixed"/>
        <w:tblCellMar>
          <w:left w:w="0" w:type="dxa"/>
          <w:right w:w="0" w:type="dxa"/>
        </w:tblCellMar>
        <w:tblLook w:val="01E0" w:firstRow="1" w:lastRow="1" w:firstColumn="1" w:lastColumn="1" w:noHBand="0" w:noVBand="0"/>
      </w:tblPr>
      <w:tblGrid>
        <w:gridCol w:w="4112"/>
        <w:gridCol w:w="711"/>
        <w:gridCol w:w="992"/>
        <w:gridCol w:w="708"/>
        <w:gridCol w:w="851"/>
        <w:gridCol w:w="141"/>
        <w:gridCol w:w="849"/>
        <w:gridCol w:w="849"/>
        <w:gridCol w:w="994"/>
      </w:tblGrid>
      <w:tr w:rsidR="005F6D8A" w:rsidRPr="000638BE" w14:paraId="4216CA58" w14:textId="77777777" w:rsidTr="00735AFD">
        <w:tc>
          <w:tcPr>
            <w:tcW w:w="2014" w:type="pct"/>
            <w:shd w:val="clear" w:color="auto" w:fill="auto"/>
            <w:vAlign w:val="bottom"/>
          </w:tcPr>
          <w:p w14:paraId="70C8E817" w14:textId="77777777" w:rsidR="005E793C" w:rsidRPr="000638BE" w:rsidRDefault="005E793C" w:rsidP="00E30618">
            <w:pPr>
              <w:pStyle w:val="TabletextBold"/>
            </w:pPr>
          </w:p>
        </w:tc>
        <w:tc>
          <w:tcPr>
            <w:tcW w:w="348" w:type="pct"/>
            <w:shd w:val="clear" w:color="auto" w:fill="auto"/>
            <w:vAlign w:val="bottom"/>
          </w:tcPr>
          <w:p w14:paraId="667CAFB1" w14:textId="77777777" w:rsidR="005E793C" w:rsidRPr="007B28BE" w:rsidRDefault="005E793C" w:rsidP="00E30618">
            <w:pPr>
              <w:pStyle w:val="TableColHeadsBold0"/>
            </w:pPr>
          </w:p>
        </w:tc>
        <w:tc>
          <w:tcPr>
            <w:tcW w:w="1250" w:type="pct"/>
            <w:gridSpan w:val="3"/>
            <w:tcBorders>
              <w:bottom w:val="single" w:sz="4" w:space="0" w:color="999999"/>
            </w:tcBorders>
            <w:shd w:val="clear" w:color="auto" w:fill="auto"/>
            <w:vAlign w:val="bottom"/>
          </w:tcPr>
          <w:p w14:paraId="586D0486" w14:textId="28C4A6E4" w:rsidR="005E793C" w:rsidRPr="000638BE" w:rsidRDefault="005E793C" w:rsidP="00E30618">
            <w:pPr>
              <w:pStyle w:val="TableColHeadsBold0"/>
              <w:jc w:val="center"/>
            </w:pPr>
            <w:r w:rsidRPr="000638BE">
              <w:t>20</w:t>
            </w:r>
            <w:r w:rsidR="00C4527C" w:rsidRPr="000638BE">
              <w:t>2</w:t>
            </w:r>
            <w:r w:rsidR="000638BE" w:rsidRPr="000638BE">
              <w:t>1</w:t>
            </w:r>
          </w:p>
        </w:tc>
        <w:tc>
          <w:tcPr>
            <w:tcW w:w="69" w:type="pct"/>
          </w:tcPr>
          <w:p w14:paraId="69535FBF" w14:textId="77777777" w:rsidR="005E793C" w:rsidRPr="000638BE" w:rsidRDefault="005E793C" w:rsidP="00E30618">
            <w:pPr>
              <w:pStyle w:val="TableColHeads"/>
              <w:jc w:val="center"/>
            </w:pPr>
          </w:p>
        </w:tc>
        <w:tc>
          <w:tcPr>
            <w:tcW w:w="1319" w:type="pct"/>
            <w:gridSpan w:val="3"/>
            <w:tcBorders>
              <w:bottom w:val="single" w:sz="4" w:space="0" w:color="999999"/>
            </w:tcBorders>
          </w:tcPr>
          <w:p w14:paraId="3E8CFEC6" w14:textId="192D2BA9" w:rsidR="005E793C" w:rsidRPr="000638BE" w:rsidRDefault="000638BE" w:rsidP="00E30618">
            <w:pPr>
              <w:pStyle w:val="TableColHeadsBold0"/>
              <w:jc w:val="center"/>
              <w:rPr>
                <w:b w:val="0"/>
              </w:rPr>
            </w:pPr>
            <w:r w:rsidRPr="000638BE">
              <w:rPr>
                <w:b w:val="0"/>
              </w:rPr>
              <w:t>2020</w:t>
            </w:r>
          </w:p>
        </w:tc>
      </w:tr>
      <w:tr w:rsidR="000638BE" w:rsidRPr="000638BE" w14:paraId="79529EB7" w14:textId="77777777" w:rsidTr="000638BE">
        <w:tc>
          <w:tcPr>
            <w:tcW w:w="2014" w:type="pct"/>
            <w:tcBorders>
              <w:bottom w:val="single" w:sz="8" w:space="0" w:color="999999"/>
            </w:tcBorders>
            <w:shd w:val="clear" w:color="auto" w:fill="auto"/>
            <w:vAlign w:val="bottom"/>
          </w:tcPr>
          <w:p w14:paraId="7F5D78B1" w14:textId="77777777" w:rsidR="005E793C" w:rsidRPr="000638BE" w:rsidRDefault="005E793C" w:rsidP="00E30618">
            <w:pPr>
              <w:pStyle w:val="TabletextBold"/>
            </w:pPr>
          </w:p>
        </w:tc>
        <w:tc>
          <w:tcPr>
            <w:tcW w:w="348" w:type="pct"/>
            <w:tcBorders>
              <w:bottom w:val="single" w:sz="8" w:space="0" w:color="999999"/>
            </w:tcBorders>
            <w:shd w:val="clear" w:color="auto" w:fill="auto"/>
            <w:vAlign w:val="bottom"/>
          </w:tcPr>
          <w:p w14:paraId="3FEC1FA1" w14:textId="77777777" w:rsidR="005E793C" w:rsidRPr="007B28BE" w:rsidRDefault="005E793C" w:rsidP="00E30618">
            <w:pPr>
              <w:pStyle w:val="TableFiguresBracketsBold"/>
              <w:rPr>
                <w:b w:val="0"/>
              </w:rPr>
            </w:pPr>
            <w:r w:rsidRPr="007B28BE">
              <w:rPr>
                <w:b w:val="0"/>
              </w:rPr>
              <w:t>Notes</w:t>
            </w:r>
          </w:p>
        </w:tc>
        <w:tc>
          <w:tcPr>
            <w:tcW w:w="486" w:type="pct"/>
            <w:tcBorders>
              <w:top w:val="single" w:sz="4" w:space="0" w:color="999999"/>
              <w:bottom w:val="single" w:sz="8" w:space="0" w:color="999999"/>
            </w:tcBorders>
            <w:shd w:val="clear" w:color="auto" w:fill="auto"/>
            <w:vAlign w:val="bottom"/>
          </w:tcPr>
          <w:p w14:paraId="60862ABE" w14:textId="77777777" w:rsidR="005E793C" w:rsidRPr="000638BE" w:rsidRDefault="005E793C" w:rsidP="00E30618">
            <w:pPr>
              <w:pStyle w:val="TableColHeadsBold0"/>
            </w:pPr>
            <w:r w:rsidRPr="000638BE">
              <w:t xml:space="preserve">Group </w:t>
            </w:r>
          </w:p>
          <w:p w14:paraId="1622B143" w14:textId="77777777" w:rsidR="005E793C" w:rsidRPr="000638BE" w:rsidRDefault="005E793C" w:rsidP="00E30618">
            <w:pPr>
              <w:pStyle w:val="TableColHeadsBold0"/>
            </w:pPr>
            <w:r w:rsidRPr="000638BE">
              <w:t>£m</w:t>
            </w:r>
          </w:p>
        </w:tc>
        <w:tc>
          <w:tcPr>
            <w:tcW w:w="347" w:type="pct"/>
            <w:tcBorders>
              <w:top w:val="single" w:sz="4" w:space="0" w:color="999999"/>
              <w:bottom w:val="single" w:sz="8" w:space="0" w:color="999999"/>
            </w:tcBorders>
            <w:vAlign w:val="bottom"/>
          </w:tcPr>
          <w:p w14:paraId="4BF722F1" w14:textId="77777777" w:rsidR="005E793C" w:rsidRPr="000638BE" w:rsidRDefault="005E793C" w:rsidP="00E30618">
            <w:pPr>
              <w:pStyle w:val="TableColHeadsBold0"/>
            </w:pPr>
            <w:r w:rsidRPr="000638BE">
              <w:t xml:space="preserve">JV </w:t>
            </w:r>
          </w:p>
          <w:p w14:paraId="63045BF4" w14:textId="77777777" w:rsidR="005E793C" w:rsidRPr="000638BE" w:rsidRDefault="005E793C" w:rsidP="00E30618">
            <w:pPr>
              <w:pStyle w:val="TableColHeadsBold0"/>
            </w:pPr>
            <w:r w:rsidRPr="000638BE">
              <w:t>£m</w:t>
            </w:r>
          </w:p>
        </w:tc>
        <w:tc>
          <w:tcPr>
            <w:tcW w:w="417" w:type="pct"/>
            <w:tcBorders>
              <w:top w:val="single" w:sz="4" w:space="0" w:color="999999"/>
              <w:bottom w:val="single" w:sz="8" w:space="0" w:color="999999"/>
            </w:tcBorders>
            <w:vAlign w:val="bottom"/>
          </w:tcPr>
          <w:p w14:paraId="394888C4" w14:textId="77777777" w:rsidR="005E793C" w:rsidRPr="000638BE" w:rsidRDefault="005E793C" w:rsidP="00E30618">
            <w:pPr>
              <w:pStyle w:val="TableColHeadsBold0"/>
            </w:pPr>
            <w:r w:rsidRPr="000638BE">
              <w:t xml:space="preserve">Total </w:t>
            </w:r>
          </w:p>
          <w:p w14:paraId="2EB39AF9" w14:textId="77777777" w:rsidR="005E793C" w:rsidRPr="000638BE" w:rsidRDefault="005E793C" w:rsidP="00E30618">
            <w:pPr>
              <w:pStyle w:val="TableColHeadsBold0"/>
            </w:pPr>
            <w:r w:rsidRPr="000638BE">
              <w:t>£m</w:t>
            </w:r>
          </w:p>
        </w:tc>
        <w:tc>
          <w:tcPr>
            <w:tcW w:w="69" w:type="pct"/>
          </w:tcPr>
          <w:p w14:paraId="3B4D1F25" w14:textId="77777777" w:rsidR="005E793C" w:rsidRPr="000638BE" w:rsidRDefault="005E793C" w:rsidP="00E30618">
            <w:pPr>
              <w:pStyle w:val="TableColHeadsBold0"/>
            </w:pPr>
          </w:p>
        </w:tc>
        <w:tc>
          <w:tcPr>
            <w:tcW w:w="416" w:type="pct"/>
            <w:tcBorders>
              <w:top w:val="single" w:sz="4" w:space="0" w:color="999999"/>
              <w:bottom w:val="single" w:sz="8" w:space="0" w:color="999999"/>
            </w:tcBorders>
            <w:vAlign w:val="bottom"/>
          </w:tcPr>
          <w:p w14:paraId="18B09C5F" w14:textId="77777777" w:rsidR="005E793C" w:rsidRPr="000638BE" w:rsidRDefault="005E793C" w:rsidP="00E30618">
            <w:pPr>
              <w:pStyle w:val="TableColHeadsBold0"/>
              <w:rPr>
                <w:b w:val="0"/>
              </w:rPr>
            </w:pPr>
            <w:r w:rsidRPr="000638BE">
              <w:rPr>
                <w:b w:val="0"/>
              </w:rPr>
              <w:t xml:space="preserve">Group </w:t>
            </w:r>
          </w:p>
          <w:p w14:paraId="4A6B9864" w14:textId="77777777" w:rsidR="005E793C" w:rsidRPr="000638BE" w:rsidRDefault="005E793C" w:rsidP="00E30618">
            <w:pPr>
              <w:pStyle w:val="TableColHeadsBold0"/>
              <w:rPr>
                <w:b w:val="0"/>
              </w:rPr>
            </w:pPr>
            <w:r w:rsidRPr="000638BE">
              <w:rPr>
                <w:b w:val="0"/>
              </w:rPr>
              <w:t>£m</w:t>
            </w:r>
          </w:p>
        </w:tc>
        <w:tc>
          <w:tcPr>
            <w:tcW w:w="416" w:type="pct"/>
            <w:tcBorders>
              <w:top w:val="single" w:sz="4" w:space="0" w:color="999999"/>
              <w:bottom w:val="single" w:sz="8" w:space="0" w:color="999999"/>
            </w:tcBorders>
            <w:vAlign w:val="bottom"/>
          </w:tcPr>
          <w:p w14:paraId="1CC210CB" w14:textId="77777777" w:rsidR="005E793C" w:rsidRPr="000638BE" w:rsidRDefault="005E793C" w:rsidP="00E30618">
            <w:pPr>
              <w:pStyle w:val="TableColHeadsBold0"/>
              <w:rPr>
                <w:b w:val="0"/>
              </w:rPr>
            </w:pPr>
            <w:r w:rsidRPr="000638BE">
              <w:rPr>
                <w:b w:val="0"/>
              </w:rPr>
              <w:t xml:space="preserve">JV </w:t>
            </w:r>
          </w:p>
          <w:p w14:paraId="5C0AF4C4" w14:textId="77777777" w:rsidR="005E793C" w:rsidRPr="000638BE" w:rsidRDefault="005E793C" w:rsidP="00E30618">
            <w:pPr>
              <w:pStyle w:val="TableColHeadsBold0"/>
              <w:rPr>
                <w:b w:val="0"/>
              </w:rPr>
            </w:pPr>
            <w:r w:rsidRPr="000638BE">
              <w:rPr>
                <w:b w:val="0"/>
              </w:rPr>
              <w:t>£m</w:t>
            </w:r>
          </w:p>
        </w:tc>
        <w:tc>
          <w:tcPr>
            <w:tcW w:w="487" w:type="pct"/>
            <w:tcBorders>
              <w:top w:val="single" w:sz="4" w:space="0" w:color="999999"/>
              <w:bottom w:val="single" w:sz="8" w:space="0" w:color="999999"/>
            </w:tcBorders>
            <w:vAlign w:val="bottom"/>
          </w:tcPr>
          <w:p w14:paraId="2B5CE5CF" w14:textId="77777777" w:rsidR="005E793C" w:rsidRPr="000638BE" w:rsidRDefault="005E793C" w:rsidP="00E30618">
            <w:pPr>
              <w:pStyle w:val="TableColHeadsBold0"/>
              <w:rPr>
                <w:b w:val="0"/>
              </w:rPr>
            </w:pPr>
            <w:r w:rsidRPr="000638BE">
              <w:rPr>
                <w:b w:val="0"/>
              </w:rPr>
              <w:t xml:space="preserve">Total </w:t>
            </w:r>
          </w:p>
          <w:p w14:paraId="25E9118A" w14:textId="77777777" w:rsidR="005E793C" w:rsidRPr="000638BE" w:rsidRDefault="005E793C" w:rsidP="00E30618">
            <w:pPr>
              <w:pStyle w:val="TableColHeadsBold0"/>
              <w:rPr>
                <w:b w:val="0"/>
              </w:rPr>
            </w:pPr>
            <w:r w:rsidRPr="000638BE">
              <w:rPr>
                <w:b w:val="0"/>
              </w:rPr>
              <w:t>£m</w:t>
            </w:r>
          </w:p>
        </w:tc>
      </w:tr>
      <w:tr w:rsidR="000638BE" w:rsidRPr="000638BE" w14:paraId="7D0A2FDC" w14:textId="77777777" w:rsidTr="000638BE">
        <w:trPr>
          <w:trHeight w:val="227"/>
        </w:trPr>
        <w:tc>
          <w:tcPr>
            <w:tcW w:w="2014" w:type="pct"/>
            <w:tcBorders>
              <w:top w:val="single" w:sz="8" w:space="0" w:color="999999"/>
            </w:tcBorders>
            <w:vAlign w:val="bottom"/>
          </w:tcPr>
          <w:p w14:paraId="719FCC89" w14:textId="77777777" w:rsidR="00C4527C" w:rsidRPr="000638BE" w:rsidRDefault="00C4527C" w:rsidP="00C4527C">
            <w:pPr>
              <w:pStyle w:val="Tabletext"/>
              <w:rPr>
                <w:szCs w:val="20"/>
              </w:rPr>
            </w:pPr>
            <w:r w:rsidRPr="000638BE">
              <w:rPr>
                <w:szCs w:val="20"/>
              </w:rPr>
              <w:t>Gross rental income</w:t>
            </w:r>
          </w:p>
        </w:tc>
        <w:tc>
          <w:tcPr>
            <w:tcW w:w="348" w:type="pct"/>
            <w:tcBorders>
              <w:top w:val="single" w:sz="8" w:space="0" w:color="999999"/>
            </w:tcBorders>
            <w:shd w:val="clear" w:color="auto" w:fill="auto"/>
            <w:vAlign w:val="bottom"/>
          </w:tcPr>
          <w:p w14:paraId="1A769FEE" w14:textId="1A2E4B04" w:rsidR="00C4527C" w:rsidRPr="007B28BE" w:rsidRDefault="00C4527C" w:rsidP="00C4527C">
            <w:pPr>
              <w:pStyle w:val="TableFigures"/>
            </w:pPr>
            <w:r w:rsidRPr="007B28BE">
              <w:t>2,6</w:t>
            </w:r>
          </w:p>
        </w:tc>
        <w:tc>
          <w:tcPr>
            <w:tcW w:w="486" w:type="pct"/>
            <w:tcBorders>
              <w:top w:val="single" w:sz="8" w:space="0" w:color="999999"/>
            </w:tcBorders>
            <w:shd w:val="clear" w:color="auto" w:fill="auto"/>
          </w:tcPr>
          <w:p w14:paraId="53E22030" w14:textId="575D47E5" w:rsidR="00C4527C" w:rsidRPr="000638BE" w:rsidRDefault="000638BE" w:rsidP="00730CF0">
            <w:pPr>
              <w:pStyle w:val="TableFiguresBold0"/>
            </w:pPr>
            <w:r w:rsidRPr="000638BE">
              <w:t>447</w:t>
            </w:r>
          </w:p>
        </w:tc>
        <w:tc>
          <w:tcPr>
            <w:tcW w:w="347" w:type="pct"/>
            <w:tcBorders>
              <w:top w:val="single" w:sz="8" w:space="0" w:color="999999"/>
            </w:tcBorders>
            <w:shd w:val="clear" w:color="auto" w:fill="auto"/>
          </w:tcPr>
          <w:p w14:paraId="24F9AA28" w14:textId="76C80430" w:rsidR="00C4527C" w:rsidRPr="000638BE" w:rsidRDefault="000638BE" w:rsidP="00730CF0">
            <w:pPr>
              <w:pStyle w:val="TableFiguresBold0"/>
            </w:pPr>
            <w:r w:rsidRPr="000638BE">
              <w:t>135</w:t>
            </w:r>
          </w:p>
        </w:tc>
        <w:tc>
          <w:tcPr>
            <w:tcW w:w="417" w:type="pct"/>
            <w:tcBorders>
              <w:top w:val="single" w:sz="8" w:space="0" w:color="999999"/>
            </w:tcBorders>
          </w:tcPr>
          <w:p w14:paraId="19017668" w14:textId="44CE2F16" w:rsidR="00C4527C" w:rsidRPr="000638BE" w:rsidRDefault="000638BE" w:rsidP="00730CF0">
            <w:pPr>
              <w:pStyle w:val="TableFiguresBold0"/>
            </w:pPr>
            <w:r w:rsidRPr="000638BE">
              <w:t>582</w:t>
            </w:r>
          </w:p>
        </w:tc>
        <w:tc>
          <w:tcPr>
            <w:tcW w:w="69" w:type="pct"/>
            <w:vAlign w:val="bottom"/>
          </w:tcPr>
          <w:p w14:paraId="68283E42" w14:textId="77777777" w:rsidR="00C4527C" w:rsidRPr="000638BE" w:rsidRDefault="00C4527C" w:rsidP="00C4527C">
            <w:pPr>
              <w:pStyle w:val="TableFigures"/>
              <w:rPr>
                <w:b/>
              </w:rPr>
            </w:pPr>
          </w:p>
        </w:tc>
        <w:tc>
          <w:tcPr>
            <w:tcW w:w="416" w:type="pct"/>
            <w:tcBorders>
              <w:top w:val="single" w:sz="4" w:space="0" w:color="auto"/>
            </w:tcBorders>
            <w:vAlign w:val="bottom"/>
          </w:tcPr>
          <w:p w14:paraId="6AE958F1" w14:textId="1AE7EEC5" w:rsidR="00C4527C" w:rsidRPr="000638BE" w:rsidRDefault="000638BE" w:rsidP="00C4527C">
            <w:pPr>
              <w:pStyle w:val="TableFigures"/>
            </w:pPr>
            <w:r w:rsidRPr="000638BE">
              <w:t>393</w:t>
            </w:r>
          </w:p>
        </w:tc>
        <w:tc>
          <w:tcPr>
            <w:tcW w:w="416" w:type="pct"/>
            <w:tcBorders>
              <w:top w:val="single" w:sz="4" w:space="0" w:color="auto"/>
            </w:tcBorders>
            <w:vAlign w:val="bottom"/>
          </w:tcPr>
          <w:p w14:paraId="15061621" w14:textId="62E42E98" w:rsidR="00C4527C" w:rsidRPr="000638BE" w:rsidRDefault="000638BE" w:rsidP="00C4527C">
            <w:pPr>
              <w:pStyle w:val="TableFigures"/>
            </w:pPr>
            <w:r w:rsidRPr="000638BE">
              <w:t>121</w:t>
            </w:r>
          </w:p>
        </w:tc>
        <w:tc>
          <w:tcPr>
            <w:tcW w:w="487" w:type="pct"/>
            <w:tcBorders>
              <w:top w:val="single" w:sz="4" w:space="0" w:color="auto"/>
            </w:tcBorders>
            <w:vAlign w:val="bottom"/>
          </w:tcPr>
          <w:p w14:paraId="258BBE24" w14:textId="4A47E476" w:rsidR="00C4527C" w:rsidRPr="000638BE" w:rsidRDefault="000638BE" w:rsidP="00C4527C">
            <w:pPr>
              <w:pStyle w:val="TableFigures"/>
            </w:pPr>
            <w:r w:rsidRPr="000638BE">
              <w:t>514</w:t>
            </w:r>
          </w:p>
        </w:tc>
      </w:tr>
      <w:tr w:rsidR="000638BE" w:rsidRPr="000638BE" w14:paraId="3699386D" w14:textId="77777777" w:rsidTr="000638BE">
        <w:trPr>
          <w:trHeight w:val="227"/>
        </w:trPr>
        <w:tc>
          <w:tcPr>
            <w:tcW w:w="2014" w:type="pct"/>
            <w:tcBorders>
              <w:bottom w:val="single" w:sz="8" w:space="0" w:color="999999"/>
            </w:tcBorders>
            <w:vAlign w:val="bottom"/>
          </w:tcPr>
          <w:p w14:paraId="0ADB0163" w14:textId="77777777" w:rsidR="00C4527C" w:rsidRPr="000638BE" w:rsidRDefault="00C4527C" w:rsidP="00C4527C">
            <w:pPr>
              <w:pStyle w:val="Tabletext"/>
              <w:rPr>
                <w:szCs w:val="20"/>
              </w:rPr>
            </w:pPr>
            <w:r w:rsidRPr="000638BE">
              <w:rPr>
                <w:szCs w:val="20"/>
              </w:rPr>
              <w:t>Property operating expenses</w:t>
            </w:r>
          </w:p>
        </w:tc>
        <w:tc>
          <w:tcPr>
            <w:tcW w:w="348" w:type="pct"/>
            <w:tcBorders>
              <w:bottom w:val="single" w:sz="8" w:space="0" w:color="999999"/>
            </w:tcBorders>
            <w:shd w:val="clear" w:color="auto" w:fill="auto"/>
            <w:vAlign w:val="bottom"/>
          </w:tcPr>
          <w:p w14:paraId="0ED0ED30" w14:textId="7D008A34" w:rsidR="00C4527C" w:rsidRPr="007B28BE" w:rsidRDefault="00C4527C" w:rsidP="00C4527C">
            <w:pPr>
              <w:pStyle w:val="TableFigures"/>
            </w:pPr>
            <w:r w:rsidRPr="007B28BE">
              <w:t>2,6</w:t>
            </w:r>
          </w:p>
        </w:tc>
        <w:tc>
          <w:tcPr>
            <w:tcW w:w="486" w:type="pct"/>
            <w:tcBorders>
              <w:bottom w:val="single" w:sz="8" w:space="0" w:color="999999"/>
            </w:tcBorders>
            <w:shd w:val="clear" w:color="auto" w:fill="auto"/>
          </w:tcPr>
          <w:p w14:paraId="00280316" w14:textId="5B43932F" w:rsidR="00C4527C" w:rsidRPr="000638BE" w:rsidRDefault="000638BE" w:rsidP="00730CF0">
            <w:pPr>
              <w:pStyle w:val="TableFiguresBracketsBold"/>
            </w:pPr>
            <w:r w:rsidRPr="000638BE">
              <w:t>(100)</w:t>
            </w:r>
          </w:p>
        </w:tc>
        <w:tc>
          <w:tcPr>
            <w:tcW w:w="347" w:type="pct"/>
            <w:tcBorders>
              <w:bottom w:val="single" w:sz="8" w:space="0" w:color="999999"/>
            </w:tcBorders>
            <w:shd w:val="clear" w:color="auto" w:fill="auto"/>
          </w:tcPr>
          <w:p w14:paraId="1A0B22C2" w14:textId="20DE5B89" w:rsidR="00C4527C" w:rsidRPr="000638BE" w:rsidRDefault="000638BE" w:rsidP="00730CF0">
            <w:pPr>
              <w:pStyle w:val="TableFiguresBracketsBold"/>
            </w:pPr>
            <w:r w:rsidRPr="000638BE">
              <w:t>(35)</w:t>
            </w:r>
          </w:p>
        </w:tc>
        <w:tc>
          <w:tcPr>
            <w:tcW w:w="417" w:type="pct"/>
            <w:tcBorders>
              <w:bottom w:val="single" w:sz="8" w:space="0" w:color="999999"/>
            </w:tcBorders>
          </w:tcPr>
          <w:p w14:paraId="3841360F" w14:textId="397D2981" w:rsidR="00C4527C" w:rsidRPr="000638BE" w:rsidRDefault="000638BE" w:rsidP="00730CF0">
            <w:pPr>
              <w:pStyle w:val="TableFiguresBracketsBold"/>
            </w:pPr>
            <w:r w:rsidRPr="000638BE">
              <w:t>(135)</w:t>
            </w:r>
          </w:p>
        </w:tc>
        <w:tc>
          <w:tcPr>
            <w:tcW w:w="69" w:type="pct"/>
            <w:vAlign w:val="bottom"/>
          </w:tcPr>
          <w:p w14:paraId="38C3AD88" w14:textId="77777777" w:rsidR="00C4527C" w:rsidRPr="000638BE" w:rsidRDefault="00C4527C" w:rsidP="00C4527C">
            <w:pPr>
              <w:pStyle w:val="TableFiguresBrackets"/>
              <w:rPr>
                <w:b/>
              </w:rPr>
            </w:pPr>
          </w:p>
        </w:tc>
        <w:tc>
          <w:tcPr>
            <w:tcW w:w="416" w:type="pct"/>
            <w:tcBorders>
              <w:bottom w:val="single" w:sz="8" w:space="0" w:color="A6A6A6" w:themeColor="background1" w:themeShade="A6"/>
            </w:tcBorders>
            <w:vAlign w:val="bottom"/>
          </w:tcPr>
          <w:p w14:paraId="45E4FC6B" w14:textId="7974216B" w:rsidR="00C4527C" w:rsidRPr="000638BE" w:rsidRDefault="000638BE" w:rsidP="00C4527C">
            <w:pPr>
              <w:pStyle w:val="TableFiguresBrackets"/>
            </w:pPr>
            <w:r w:rsidRPr="000638BE">
              <w:t>(88)</w:t>
            </w:r>
          </w:p>
        </w:tc>
        <w:tc>
          <w:tcPr>
            <w:tcW w:w="416" w:type="pct"/>
            <w:tcBorders>
              <w:bottom w:val="single" w:sz="8" w:space="0" w:color="A6A6A6" w:themeColor="background1" w:themeShade="A6"/>
            </w:tcBorders>
            <w:vAlign w:val="bottom"/>
          </w:tcPr>
          <w:p w14:paraId="7CB46FAE" w14:textId="668880E1" w:rsidR="00C4527C" w:rsidRPr="000638BE" w:rsidRDefault="000638BE" w:rsidP="00C4527C">
            <w:pPr>
              <w:pStyle w:val="TableFiguresBrackets"/>
            </w:pPr>
            <w:r w:rsidRPr="000638BE">
              <w:t>(31)</w:t>
            </w:r>
          </w:p>
        </w:tc>
        <w:tc>
          <w:tcPr>
            <w:tcW w:w="487" w:type="pct"/>
            <w:tcBorders>
              <w:bottom w:val="single" w:sz="8" w:space="0" w:color="A6A6A6" w:themeColor="background1" w:themeShade="A6"/>
            </w:tcBorders>
            <w:vAlign w:val="bottom"/>
          </w:tcPr>
          <w:p w14:paraId="312D6C1C" w14:textId="0337CC3D" w:rsidR="00C4527C" w:rsidRPr="000638BE" w:rsidRDefault="000638BE" w:rsidP="00C4527C">
            <w:pPr>
              <w:pStyle w:val="TableFiguresBrackets"/>
            </w:pPr>
            <w:r w:rsidRPr="000638BE">
              <w:t>(119)</w:t>
            </w:r>
          </w:p>
        </w:tc>
      </w:tr>
      <w:tr w:rsidR="000638BE" w:rsidRPr="000638BE" w14:paraId="16529EB3" w14:textId="77777777" w:rsidTr="000638BE">
        <w:trPr>
          <w:trHeight w:val="227"/>
        </w:trPr>
        <w:tc>
          <w:tcPr>
            <w:tcW w:w="2014" w:type="pct"/>
            <w:tcBorders>
              <w:top w:val="single" w:sz="8" w:space="0" w:color="999999"/>
            </w:tcBorders>
            <w:vAlign w:val="bottom"/>
          </w:tcPr>
          <w:p w14:paraId="2F1687AA" w14:textId="77777777" w:rsidR="00C4527C" w:rsidRPr="000638BE" w:rsidRDefault="00C4527C" w:rsidP="00C4527C">
            <w:pPr>
              <w:pStyle w:val="Tabletext"/>
              <w:rPr>
                <w:b/>
                <w:szCs w:val="20"/>
              </w:rPr>
            </w:pPr>
            <w:r w:rsidRPr="000638BE">
              <w:rPr>
                <w:b/>
                <w:szCs w:val="20"/>
              </w:rPr>
              <w:t>Net rental income</w:t>
            </w:r>
          </w:p>
        </w:tc>
        <w:tc>
          <w:tcPr>
            <w:tcW w:w="348" w:type="pct"/>
            <w:tcBorders>
              <w:top w:val="single" w:sz="8" w:space="0" w:color="999999"/>
            </w:tcBorders>
            <w:shd w:val="clear" w:color="auto" w:fill="auto"/>
            <w:vAlign w:val="bottom"/>
          </w:tcPr>
          <w:p w14:paraId="0E5F44FA" w14:textId="77777777" w:rsidR="00C4527C" w:rsidRPr="007B28BE" w:rsidRDefault="00C4527C" w:rsidP="00C4527C">
            <w:pPr>
              <w:pStyle w:val="TableFigures"/>
            </w:pPr>
          </w:p>
        </w:tc>
        <w:tc>
          <w:tcPr>
            <w:tcW w:w="486" w:type="pct"/>
            <w:tcBorders>
              <w:top w:val="single" w:sz="8" w:space="0" w:color="999999"/>
            </w:tcBorders>
            <w:shd w:val="clear" w:color="auto" w:fill="auto"/>
          </w:tcPr>
          <w:p w14:paraId="77E5D17B" w14:textId="2E795B06" w:rsidR="00C4527C" w:rsidRPr="000638BE" w:rsidRDefault="000638BE" w:rsidP="00730CF0">
            <w:pPr>
              <w:pStyle w:val="TableFiguresBold0"/>
            </w:pPr>
            <w:r w:rsidRPr="000638BE">
              <w:t>347</w:t>
            </w:r>
          </w:p>
        </w:tc>
        <w:tc>
          <w:tcPr>
            <w:tcW w:w="347" w:type="pct"/>
            <w:tcBorders>
              <w:top w:val="single" w:sz="8" w:space="0" w:color="999999"/>
            </w:tcBorders>
            <w:shd w:val="clear" w:color="auto" w:fill="auto"/>
          </w:tcPr>
          <w:p w14:paraId="46A25165" w14:textId="05DE3FD3" w:rsidR="00C4527C" w:rsidRPr="000638BE" w:rsidRDefault="000638BE" w:rsidP="00730CF0">
            <w:pPr>
              <w:pStyle w:val="TableFiguresBold0"/>
            </w:pPr>
            <w:r w:rsidRPr="000638BE">
              <w:t>100</w:t>
            </w:r>
          </w:p>
        </w:tc>
        <w:tc>
          <w:tcPr>
            <w:tcW w:w="417" w:type="pct"/>
            <w:tcBorders>
              <w:top w:val="single" w:sz="8" w:space="0" w:color="999999"/>
            </w:tcBorders>
          </w:tcPr>
          <w:p w14:paraId="5C197751" w14:textId="43355BDD" w:rsidR="00C4527C" w:rsidRPr="000638BE" w:rsidRDefault="000638BE" w:rsidP="00730CF0">
            <w:pPr>
              <w:pStyle w:val="TableFiguresBold0"/>
            </w:pPr>
            <w:r w:rsidRPr="000638BE">
              <w:t>447</w:t>
            </w:r>
          </w:p>
        </w:tc>
        <w:tc>
          <w:tcPr>
            <w:tcW w:w="69" w:type="pct"/>
            <w:vAlign w:val="bottom"/>
          </w:tcPr>
          <w:p w14:paraId="58034048" w14:textId="77777777" w:rsidR="00C4527C" w:rsidRPr="000638BE" w:rsidRDefault="00C4527C" w:rsidP="00C4527C">
            <w:pPr>
              <w:pStyle w:val="TableFigures"/>
              <w:rPr>
                <w:b/>
              </w:rPr>
            </w:pPr>
          </w:p>
        </w:tc>
        <w:tc>
          <w:tcPr>
            <w:tcW w:w="416" w:type="pct"/>
            <w:tcBorders>
              <w:top w:val="single" w:sz="8" w:space="0" w:color="A6A6A6" w:themeColor="background1" w:themeShade="A6"/>
            </w:tcBorders>
            <w:vAlign w:val="bottom"/>
          </w:tcPr>
          <w:p w14:paraId="0FC5EC8A" w14:textId="7E9A975E" w:rsidR="00C4527C" w:rsidRPr="000638BE" w:rsidRDefault="000638BE" w:rsidP="00C4527C">
            <w:pPr>
              <w:pStyle w:val="TableFigures"/>
            </w:pPr>
            <w:r w:rsidRPr="000638BE">
              <w:t>305</w:t>
            </w:r>
          </w:p>
        </w:tc>
        <w:tc>
          <w:tcPr>
            <w:tcW w:w="416" w:type="pct"/>
            <w:tcBorders>
              <w:top w:val="single" w:sz="8" w:space="0" w:color="A6A6A6" w:themeColor="background1" w:themeShade="A6"/>
            </w:tcBorders>
            <w:vAlign w:val="bottom"/>
          </w:tcPr>
          <w:p w14:paraId="37103091" w14:textId="56279F8A" w:rsidR="00C4527C" w:rsidRPr="000638BE" w:rsidRDefault="000638BE" w:rsidP="00C4527C">
            <w:pPr>
              <w:pStyle w:val="TableFigures"/>
            </w:pPr>
            <w:r w:rsidRPr="000638BE">
              <w:t>90</w:t>
            </w:r>
          </w:p>
        </w:tc>
        <w:tc>
          <w:tcPr>
            <w:tcW w:w="487" w:type="pct"/>
            <w:tcBorders>
              <w:top w:val="single" w:sz="8" w:space="0" w:color="A6A6A6" w:themeColor="background1" w:themeShade="A6"/>
            </w:tcBorders>
            <w:vAlign w:val="bottom"/>
          </w:tcPr>
          <w:p w14:paraId="0323FAA1" w14:textId="030DA980" w:rsidR="00C4527C" w:rsidRPr="000638BE" w:rsidRDefault="000638BE" w:rsidP="00C4527C">
            <w:pPr>
              <w:pStyle w:val="TableFigures"/>
            </w:pPr>
            <w:r w:rsidRPr="000638BE">
              <w:t>395</w:t>
            </w:r>
          </w:p>
        </w:tc>
      </w:tr>
      <w:tr w:rsidR="000638BE" w:rsidRPr="000638BE" w14:paraId="4C89DF4B" w14:textId="77777777" w:rsidTr="000638BE">
        <w:trPr>
          <w:trHeight w:val="227"/>
        </w:trPr>
        <w:tc>
          <w:tcPr>
            <w:tcW w:w="2014" w:type="pct"/>
            <w:shd w:val="clear" w:color="auto" w:fill="auto"/>
            <w:vAlign w:val="bottom"/>
          </w:tcPr>
          <w:p w14:paraId="7A9EF2F2" w14:textId="77777777" w:rsidR="00C4527C" w:rsidRPr="000638BE" w:rsidRDefault="00C4527C" w:rsidP="00C4527C">
            <w:pPr>
              <w:pStyle w:val="Tabletext"/>
              <w:rPr>
                <w:szCs w:val="20"/>
              </w:rPr>
            </w:pPr>
            <w:r w:rsidRPr="000638BE">
              <w:rPr>
                <w:szCs w:val="20"/>
              </w:rPr>
              <w:t>Joint venture fee income</w:t>
            </w:r>
            <w:r w:rsidRPr="000638BE">
              <w:rPr>
                <w:szCs w:val="20"/>
                <w:vertAlign w:val="superscript"/>
              </w:rPr>
              <w:t>1</w:t>
            </w:r>
          </w:p>
        </w:tc>
        <w:tc>
          <w:tcPr>
            <w:tcW w:w="348" w:type="pct"/>
            <w:shd w:val="clear" w:color="auto" w:fill="auto"/>
            <w:vAlign w:val="bottom"/>
          </w:tcPr>
          <w:p w14:paraId="3EDB2E6B" w14:textId="2A9C5190" w:rsidR="00C4527C" w:rsidRPr="00B64915" w:rsidRDefault="00C4527C" w:rsidP="00C4527C">
            <w:pPr>
              <w:pStyle w:val="TableFigures"/>
            </w:pPr>
            <w:r w:rsidRPr="00B64915">
              <w:t>2</w:t>
            </w:r>
            <w:r w:rsidR="00D7207E">
              <w:t>,6</w:t>
            </w:r>
          </w:p>
        </w:tc>
        <w:tc>
          <w:tcPr>
            <w:tcW w:w="486" w:type="pct"/>
            <w:shd w:val="clear" w:color="auto" w:fill="auto"/>
          </w:tcPr>
          <w:p w14:paraId="79908620" w14:textId="2034B3B9" w:rsidR="00C4527C" w:rsidRPr="000638BE" w:rsidRDefault="000638BE" w:rsidP="00730CF0">
            <w:pPr>
              <w:pStyle w:val="TableFiguresBold0"/>
            </w:pPr>
            <w:r w:rsidRPr="000638BE">
              <w:t>52</w:t>
            </w:r>
          </w:p>
        </w:tc>
        <w:tc>
          <w:tcPr>
            <w:tcW w:w="347" w:type="pct"/>
            <w:shd w:val="clear" w:color="auto" w:fill="auto"/>
          </w:tcPr>
          <w:p w14:paraId="38766FDD" w14:textId="13AD2992" w:rsidR="00C4527C" w:rsidRPr="000638BE" w:rsidRDefault="000638BE" w:rsidP="00730CF0">
            <w:pPr>
              <w:pStyle w:val="TableFiguresBracketsBold"/>
            </w:pPr>
            <w:r w:rsidRPr="000638BE">
              <w:t>(24)</w:t>
            </w:r>
          </w:p>
        </w:tc>
        <w:tc>
          <w:tcPr>
            <w:tcW w:w="417" w:type="pct"/>
          </w:tcPr>
          <w:p w14:paraId="32AE3D0A" w14:textId="08F802E4" w:rsidR="00C4527C" w:rsidRPr="000638BE" w:rsidRDefault="000638BE" w:rsidP="00730CF0">
            <w:pPr>
              <w:pStyle w:val="TableFiguresBold0"/>
            </w:pPr>
            <w:r w:rsidRPr="000638BE">
              <w:t>28</w:t>
            </w:r>
          </w:p>
        </w:tc>
        <w:tc>
          <w:tcPr>
            <w:tcW w:w="69" w:type="pct"/>
            <w:vAlign w:val="bottom"/>
          </w:tcPr>
          <w:p w14:paraId="6168749C" w14:textId="77777777" w:rsidR="00C4527C" w:rsidRPr="000638BE" w:rsidRDefault="00C4527C" w:rsidP="00C4527C">
            <w:pPr>
              <w:pStyle w:val="TableFigures"/>
              <w:rPr>
                <w:b/>
              </w:rPr>
            </w:pPr>
          </w:p>
        </w:tc>
        <w:tc>
          <w:tcPr>
            <w:tcW w:w="416" w:type="pct"/>
            <w:vAlign w:val="bottom"/>
          </w:tcPr>
          <w:p w14:paraId="7F4E658D" w14:textId="0BAFCB47" w:rsidR="00C4527C" w:rsidRPr="000638BE" w:rsidRDefault="000638BE" w:rsidP="00C4527C">
            <w:pPr>
              <w:pStyle w:val="TableFigures"/>
            </w:pPr>
            <w:r w:rsidRPr="000638BE">
              <w:t>22</w:t>
            </w:r>
          </w:p>
        </w:tc>
        <w:tc>
          <w:tcPr>
            <w:tcW w:w="416" w:type="pct"/>
            <w:vAlign w:val="bottom"/>
          </w:tcPr>
          <w:p w14:paraId="7D9ACD1A" w14:textId="2D763729" w:rsidR="00C4527C" w:rsidRPr="000638BE" w:rsidRDefault="000638BE" w:rsidP="00C4527C">
            <w:pPr>
              <w:pStyle w:val="TableFiguresBrackets"/>
            </w:pPr>
            <w:r w:rsidRPr="000638BE">
              <w:t>(10)</w:t>
            </w:r>
          </w:p>
        </w:tc>
        <w:tc>
          <w:tcPr>
            <w:tcW w:w="487" w:type="pct"/>
            <w:vAlign w:val="bottom"/>
          </w:tcPr>
          <w:p w14:paraId="36BB5A74" w14:textId="2A6902F1" w:rsidR="00C4527C" w:rsidRPr="000638BE" w:rsidRDefault="000638BE" w:rsidP="00C4527C">
            <w:pPr>
              <w:pStyle w:val="TableFigures"/>
            </w:pPr>
            <w:r w:rsidRPr="000638BE">
              <w:t>12</w:t>
            </w:r>
          </w:p>
        </w:tc>
      </w:tr>
      <w:tr w:rsidR="000638BE" w:rsidRPr="000638BE" w14:paraId="2D394591" w14:textId="77777777" w:rsidTr="000638BE">
        <w:trPr>
          <w:trHeight w:val="227"/>
        </w:trPr>
        <w:tc>
          <w:tcPr>
            <w:tcW w:w="2014" w:type="pct"/>
            <w:tcBorders>
              <w:bottom w:val="single" w:sz="4" w:space="0" w:color="999999"/>
            </w:tcBorders>
            <w:shd w:val="clear" w:color="auto" w:fill="auto"/>
            <w:vAlign w:val="bottom"/>
          </w:tcPr>
          <w:p w14:paraId="60482134" w14:textId="77777777" w:rsidR="00C4527C" w:rsidRPr="000638BE" w:rsidRDefault="00C4527C" w:rsidP="00C4527C">
            <w:pPr>
              <w:pStyle w:val="Tabletext"/>
              <w:rPr>
                <w:szCs w:val="20"/>
              </w:rPr>
            </w:pPr>
            <w:r w:rsidRPr="000638BE">
              <w:rPr>
                <w:szCs w:val="20"/>
              </w:rPr>
              <w:t>Administration expenses</w:t>
            </w:r>
          </w:p>
        </w:tc>
        <w:tc>
          <w:tcPr>
            <w:tcW w:w="348" w:type="pct"/>
            <w:tcBorders>
              <w:bottom w:val="single" w:sz="4" w:space="0" w:color="999999"/>
            </w:tcBorders>
            <w:shd w:val="clear" w:color="auto" w:fill="auto"/>
            <w:vAlign w:val="bottom"/>
          </w:tcPr>
          <w:p w14:paraId="4A2EA361" w14:textId="18C2DE1C" w:rsidR="00C4527C" w:rsidRPr="00B64915" w:rsidRDefault="00C4527C" w:rsidP="00C4527C">
            <w:pPr>
              <w:pStyle w:val="TableFigures"/>
            </w:pPr>
            <w:r w:rsidRPr="00B64915">
              <w:t>2,6</w:t>
            </w:r>
          </w:p>
        </w:tc>
        <w:tc>
          <w:tcPr>
            <w:tcW w:w="486" w:type="pct"/>
            <w:tcBorders>
              <w:bottom w:val="single" w:sz="4" w:space="0" w:color="999999"/>
            </w:tcBorders>
            <w:shd w:val="clear" w:color="auto" w:fill="auto"/>
          </w:tcPr>
          <w:p w14:paraId="7A3E91C2" w14:textId="674A9A29" w:rsidR="00C4527C" w:rsidRPr="000638BE" w:rsidRDefault="000638BE" w:rsidP="00730CF0">
            <w:pPr>
              <w:pStyle w:val="TableFiguresBracketsBold"/>
            </w:pPr>
            <w:r w:rsidRPr="000638BE">
              <w:t>(59)</w:t>
            </w:r>
          </w:p>
        </w:tc>
        <w:tc>
          <w:tcPr>
            <w:tcW w:w="347" w:type="pct"/>
            <w:tcBorders>
              <w:bottom w:val="single" w:sz="4" w:space="0" w:color="999999"/>
            </w:tcBorders>
            <w:shd w:val="clear" w:color="auto" w:fill="auto"/>
          </w:tcPr>
          <w:p w14:paraId="4D6AB14B" w14:textId="76D314FC" w:rsidR="00C4527C" w:rsidRPr="000638BE" w:rsidRDefault="000638BE" w:rsidP="00730CF0">
            <w:pPr>
              <w:pStyle w:val="TableFiguresBracketsBold"/>
            </w:pPr>
            <w:r w:rsidRPr="000638BE">
              <w:t>(2)</w:t>
            </w:r>
          </w:p>
        </w:tc>
        <w:tc>
          <w:tcPr>
            <w:tcW w:w="417" w:type="pct"/>
            <w:tcBorders>
              <w:bottom w:val="single" w:sz="4" w:space="0" w:color="999999"/>
            </w:tcBorders>
          </w:tcPr>
          <w:p w14:paraId="112060CB" w14:textId="5EF01142" w:rsidR="00C4527C" w:rsidRPr="000638BE" w:rsidRDefault="000638BE" w:rsidP="00730CF0">
            <w:pPr>
              <w:pStyle w:val="TableFiguresBracketsBold"/>
            </w:pPr>
            <w:r w:rsidRPr="000638BE">
              <w:t>(61)</w:t>
            </w:r>
          </w:p>
        </w:tc>
        <w:tc>
          <w:tcPr>
            <w:tcW w:w="69" w:type="pct"/>
            <w:vAlign w:val="bottom"/>
          </w:tcPr>
          <w:p w14:paraId="222DF75B" w14:textId="77777777" w:rsidR="00C4527C" w:rsidRPr="000638BE" w:rsidRDefault="00C4527C" w:rsidP="00C4527C">
            <w:pPr>
              <w:pStyle w:val="TableFiguresBrackets"/>
              <w:rPr>
                <w:b/>
              </w:rPr>
            </w:pPr>
          </w:p>
        </w:tc>
        <w:tc>
          <w:tcPr>
            <w:tcW w:w="416" w:type="pct"/>
            <w:tcBorders>
              <w:bottom w:val="single" w:sz="4" w:space="0" w:color="A6A6A6" w:themeColor="background1" w:themeShade="A6"/>
            </w:tcBorders>
            <w:vAlign w:val="bottom"/>
          </w:tcPr>
          <w:p w14:paraId="58772CF5" w14:textId="7C437FC7" w:rsidR="00C4527C" w:rsidRPr="000638BE" w:rsidRDefault="000638BE" w:rsidP="00C4527C">
            <w:pPr>
              <w:pStyle w:val="TableFiguresBrackets"/>
            </w:pPr>
            <w:r w:rsidRPr="000638BE">
              <w:t>(52)</w:t>
            </w:r>
          </w:p>
        </w:tc>
        <w:tc>
          <w:tcPr>
            <w:tcW w:w="416" w:type="pct"/>
            <w:tcBorders>
              <w:bottom w:val="single" w:sz="4" w:space="0" w:color="A6A6A6" w:themeColor="background1" w:themeShade="A6"/>
            </w:tcBorders>
            <w:vAlign w:val="bottom"/>
          </w:tcPr>
          <w:p w14:paraId="6F04971B" w14:textId="182344E4" w:rsidR="00C4527C" w:rsidRPr="000638BE" w:rsidRDefault="000638BE" w:rsidP="00C4527C">
            <w:pPr>
              <w:pStyle w:val="TableFiguresBrackets"/>
            </w:pPr>
            <w:r w:rsidRPr="000638BE">
              <w:t>(2)</w:t>
            </w:r>
          </w:p>
        </w:tc>
        <w:tc>
          <w:tcPr>
            <w:tcW w:w="487" w:type="pct"/>
            <w:tcBorders>
              <w:bottom w:val="single" w:sz="4" w:space="0" w:color="A6A6A6" w:themeColor="background1" w:themeShade="A6"/>
            </w:tcBorders>
            <w:vAlign w:val="bottom"/>
          </w:tcPr>
          <w:p w14:paraId="1E25DA6D" w14:textId="60630F6B" w:rsidR="00C4527C" w:rsidRPr="000638BE" w:rsidRDefault="000638BE" w:rsidP="00C4527C">
            <w:pPr>
              <w:pStyle w:val="TableFiguresBrackets"/>
            </w:pPr>
            <w:r w:rsidRPr="000638BE">
              <w:t>(54)</w:t>
            </w:r>
          </w:p>
        </w:tc>
      </w:tr>
      <w:tr w:rsidR="000638BE" w:rsidRPr="000638BE" w14:paraId="548C3B7D" w14:textId="77777777" w:rsidTr="000638BE">
        <w:trPr>
          <w:trHeight w:val="227"/>
        </w:trPr>
        <w:tc>
          <w:tcPr>
            <w:tcW w:w="2014" w:type="pct"/>
            <w:tcBorders>
              <w:top w:val="single" w:sz="4" w:space="0" w:color="999999"/>
            </w:tcBorders>
            <w:shd w:val="clear" w:color="auto" w:fill="auto"/>
            <w:vAlign w:val="bottom"/>
          </w:tcPr>
          <w:p w14:paraId="092E8779" w14:textId="77777777" w:rsidR="00C4527C" w:rsidRPr="000638BE" w:rsidRDefault="00C4527C" w:rsidP="00C4527C">
            <w:pPr>
              <w:pStyle w:val="Tabletext"/>
              <w:rPr>
                <w:b/>
                <w:szCs w:val="20"/>
              </w:rPr>
            </w:pPr>
            <w:r w:rsidRPr="000638BE">
              <w:rPr>
                <w:b/>
                <w:szCs w:val="20"/>
              </w:rPr>
              <w:t>Adjusted operating profit before interest and tax</w:t>
            </w:r>
          </w:p>
        </w:tc>
        <w:tc>
          <w:tcPr>
            <w:tcW w:w="348" w:type="pct"/>
            <w:tcBorders>
              <w:top w:val="single" w:sz="4" w:space="0" w:color="999999"/>
            </w:tcBorders>
            <w:shd w:val="clear" w:color="auto" w:fill="auto"/>
            <w:vAlign w:val="bottom"/>
          </w:tcPr>
          <w:p w14:paraId="590FDE7C" w14:textId="77777777" w:rsidR="00C4527C" w:rsidRPr="00B64915" w:rsidRDefault="00C4527C" w:rsidP="00C4527C">
            <w:pPr>
              <w:pStyle w:val="TableFigures"/>
            </w:pPr>
          </w:p>
        </w:tc>
        <w:tc>
          <w:tcPr>
            <w:tcW w:w="486" w:type="pct"/>
            <w:tcBorders>
              <w:top w:val="single" w:sz="4" w:space="0" w:color="999999"/>
            </w:tcBorders>
            <w:shd w:val="clear" w:color="auto" w:fill="auto"/>
          </w:tcPr>
          <w:p w14:paraId="50D7175C" w14:textId="78B81353" w:rsidR="00C4527C" w:rsidRPr="000638BE" w:rsidRDefault="000638BE" w:rsidP="00730CF0">
            <w:pPr>
              <w:pStyle w:val="TableFiguresBold0"/>
            </w:pPr>
            <w:r w:rsidRPr="000638BE">
              <w:t>340</w:t>
            </w:r>
          </w:p>
        </w:tc>
        <w:tc>
          <w:tcPr>
            <w:tcW w:w="347" w:type="pct"/>
            <w:tcBorders>
              <w:top w:val="single" w:sz="4" w:space="0" w:color="999999"/>
            </w:tcBorders>
            <w:shd w:val="clear" w:color="auto" w:fill="auto"/>
          </w:tcPr>
          <w:p w14:paraId="66A7F5DE" w14:textId="04775404" w:rsidR="00C4527C" w:rsidRPr="000638BE" w:rsidRDefault="000638BE" w:rsidP="00730CF0">
            <w:pPr>
              <w:pStyle w:val="TableFiguresBold0"/>
            </w:pPr>
            <w:r w:rsidRPr="000638BE">
              <w:t>74</w:t>
            </w:r>
          </w:p>
        </w:tc>
        <w:tc>
          <w:tcPr>
            <w:tcW w:w="417" w:type="pct"/>
            <w:tcBorders>
              <w:top w:val="single" w:sz="4" w:space="0" w:color="999999"/>
            </w:tcBorders>
          </w:tcPr>
          <w:p w14:paraId="5490307F" w14:textId="79C00795" w:rsidR="00C4527C" w:rsidRPr="000638BE" w:rsidRDefault="000638BE" w:rsidP="00730CF0">
            <w:pPr>
              <w:pStyle w:val="TableFiguresBold0"/>
            </w:pPr>
            <w:r w:rsidRPr="000638BE">
              <w:t>414</w:t>
            </w:r>
          </w:p>
        </w:tc>
        <w:tc>
          <w:tcPr>
            <w:tcW w:w="69" w:type="pct"/>
            <w:vAlign w:val="bottom"/>
          </w:tcPr>
          <w:p w14:paraId="3AA152BA" w14:textId="43D837E7" w:rsidR="00C4527C" w:rsidRPr="000638BE" w:rsidRDefault="00C4527C" w:rsidP="000638BE">
            <w:pPr>
              <w:pStyle w:val="TableFigures"/>
              <w:jc w:val="center"/>
              <w:rPr>
                <w:b/>
              </w:rPr>
            </w:pPr>
          </w:p>
        </w:tc>
        <w:tc>
          <w:tcPr>
            <w:tcW w:w="416" w:type="pct"/>
            <w:tcBorders>
              <w:top w:val="single" w:sz="4" w:space="0" w:color="A6A6A6" w:themeColor="background1" w:themeShade="A6"/>
            </w:tcBorders>
            <w:vAlign w:val="bottom"/>
          </w:tcPr>
          <w:p w14:paraId="59EF7433" w14:textId="7F5489F1" w:rsidR="00C4527C" w:rsidRPr="000638BE" w:rsidRDefault="000638BE" w:rsidP="00C4527C">
            <w:pPr>
              <w:pStyle w:val="TableFigures"/>
            </w:pPr>
            <w:r w:rsidRPr="000638BE">
              <w:t>275</w:t>
            </w:r>
          </w:p>
        </w:tc>
        <w:tc>
          <w:tcPr>
            <w:tcW w:w="416" w:type="pct"/>
            <w:tcBorders>
              <w:top w:val="single" w:sz="4" w:space="0" w:color="A6A6A6" w:themeColor="background1" w:themeShade="A6"/>
            </w:tcBorders>
            <w:vAlign w:val="bottom"/>
          </w:tcPr>
          <w:p w14:paraId="52499F12" w14:textId="498B9637" w:rsidR="00C4527C" w:rsidRPr="000638BE" w:rsidRDefault="000638BE" w:rsidP="00C4527C">
            <w:pPr>
              <w:pStyle w:val="TableFigures"/>
            </w:pPr>
            <w:r w:rsidRPr="000638BE">
              <w:t>78</w:t>
            </w:r>
          </w:p>
        </w:tc>
        <w:tc>
          <w:tcPr>
            <w:tcW w:w="487" w:type="pct"/>
            <w:tcBorders>
              <w:top w:val="single" w:sz="4" w:space="0" w:color="A6A6A6" w:themeColor="background1" w:themeShade="A6"/>
            </w:tcBorders>
            <w:vAlign w:val="bottom"/>
          </w:tcPr>
          <w:p w14:paraId="6D684782" w14:textId="3992308E" w:rsidR="00C4527C" w:rsidRPr="000638BE" w:rsidRDefault="000638BE" w:rsidP="00C4527C">
            <w:pPr>
              <w:pStyle w:val="TableFigures"/>
            </w:pPr>
            <w:r w:rsidRPr="000638BE">
              <w:t>353</w:t>
            </w:r>
          </w:p>
        </w:tc>
      </w:tr>
      <w:tr w:rsidR="000638BE" w:rsidRPr="000638BE" w14:paraId="6CE9A188" w14:textId="77777777" w:rsidTr="000638BE">
        <w:trPr>
          <w:trHeight w:val="227"/>
        </w:trPr>
        <w:tc>
          <w:tcPr>
            <w:tcW w:w="2014" w:type="pct"/>
            <w:tcBorders>
              <w:bottom w:val="single" w:sz="4" w:space="0" w:color="999999"/>
            </w:tcBorders>
            <w:shd w:val="clear" w:color="auto" w:fill="auto"/>
            <w:vAlign w:val="bottom"/>
          </w:tcPr>
          <w:p w14:paraId="22D30E97" w14:textId="77777777" w:rsidR="00C4527C" w:rsidRPr="000638BE" w:rsidRDefault="00C4527C" w:rsidP="00C4527C">
            <w:pPr>
              <w:pStyle w:val="Tabletext"/>
              <w:rPr>
                <w:szCs w:val="20"/>
              </w:rPr>
            </w:pPr>
            <w:r w:rsidRPr="000638BE">
              <w:rPr>
                <w:szCs w:val="20"/>
              </w:rPr>
              <w:t>Net finance costs (including adjustments)</w:t>
            </w:r>
          </w:p>
        </w:tc>
        <w:tc>
          <w:tcPr>
            <w:tcW w:w="348" w:type="pct"/>
            <w:tcBorders>
              <w:bottom w:val="single" w:sz="4" w:space="0" w:color="999999"/>
            </w:tcBorders>
            <w:shd w:val="clear" w:color="auto" w:fill="auto"/>
            <w:vAlign w:val="bottom"/>
          </w:tcPr>
          <w:p w14:paraId="15E38B14" w14:textId="06CF9D56" w:rsidR="00C4527C" w:rsidRPr="00B64915" w:rsidRDefault="00C4527C" w:rsidP="00C4527C">
            <w:pPr>
              <w:pStyle w:val="TableFigures"/>
            </w:pPr>
            <w:r w:rsidRPr="00B64915">
              <w:t>2,6</w:t>
            </w:r>
          </w:p>
        </w:tc>
        <w:tc>
          <w:tcPr>
            <w:tcW w:w="486" w:type="pct"/>
            <w:tcBorders>
              <w:bottom w:val="single" w:sz="4" w:space="0" w:color="999999"/>
            </w:tcBorders>
            <w:shd w:val="clear" w:color="auto" w:fill="auto"/>
          </w:tcPr>
          <w:p w14:paraId="555B3809" w14:textId="5CCB5165" w:rsidR="00C4527C" w:rsidRPr="000638BE" w:rsidRDefault="000638BE" w:rsidP="00730CF0">
            <w:pPr>
              <w:pStyle w:val="TableFiguresBracketsBold"/>
            </w:pPr>
            <w:r w:rsidRPr="000638BE">
              <w:t>(40)</w:t>
            </w:r>
          </w:p>
        </w:tc>
        <w:tc>
          <w:tcPr>
            <w:tcW w:w="347" w:type="pct"/>
            <w:tcBorders>
              <w:bottom w:val="single" w:sz="4" w:space="0" w:color="999999"/>
            </w:tcBorders>
            <w:shd w:val="clear" w:color="auto" w:fill="auto"/>
          </w:tcPr>
          <w:p w14:paraId="27818CD5" w14:textId="19869F78" w:rsidR="00C4527C" w:rsidRPr="000638BE" w:rsidRDefault="000638BE" w:rsidP="00730CF0">
            <w:pPr>
              <w:pStyle w:val="TableFiguresBracketsBold"/>
            </w:pPr>
            <w:r w:rsidRPr="000638BE">
              <w:t>(13)</w:t>
            </w:r>
          </w:p>
        </w:tc>
        <w:tc>
          <w:tcPr>
            <w:tcW w:w="417" w:type="pct"/>
            <w:tcBorders>
              <w:bottom w:val="single" w:sz="4" w:space="0" w:color="999999"/>
            </w:tcBorders>
          </w:tcPr>
          <w:p w14:paraId="30049FDF" w14:textId="1451893F" w:rsidR="00C4527C" w:rsidRPr="000638BE" w:rsidRDefault="000638BE" w:rsidP="00730CF0">
            <w:pPr>
              <w:pStyle w:val="TableFiguresBracketsBold"/>
            </w:pPr>
            <w:r w:rsidRPr="000638BE">
              <w:t>(53)</w:t>
            </w:r>
          </w:p>
        </w:tc>
        <w:tc>
          <w:tcPr>
            <w:tcW w:w="69" w:type="pct"/>
            <w:vAlign w:val="bottom"/>
          </w:tcPr>
          <w:p w14:paraId="3C75F558" w14:textId="77777777" w:rsidR="00C4527C" w:rsidRPr="000638BE" w:rsidRDefault="00C4527C" w:rsidP="00C4527C">
            <w:pPr>
              <w:pStyle w:val="TableFiguresBrackets"/>
              <w:rPr>
                <w:b/>
              </w:rPr>
            </w:pPr>
          </w:p>
        </w:tc>
        <w:tc>
          <w:tcPr>
            <w:tcW w:w="416" w:type="pct"/>
            <w:tcBorders>
              <w:bottom w:val="single" w:sz="4" w:space="0" w:color="A6A6A6" w:themeColor="background1" w:themeShade="A6"/>
            </w:tcBorders>
            <w:vAlign w:val="bottom"/>
          </w:tcPr>
          <w:p w14:paraId="145207D0" w14:textId="4330FACF" w:rsidR="00C4527C" w:rsidRPr="000638BE" w:rsidRDefault="000638BE" w:rsidP="00C4527C">
            <w:pPr>
              <w:pStyle w:val="TableFiguresBrackets"/>
            </w:pPr>
            <w:r w:rsidRPr="000638BE">
              <w:t>(40)</w:t>
            </w:r>
          </w:p>
        </w:tc>
        <w:tc>
          <w:tcPr>
            <w:tcW w:w="416" w:type="pct"/>
            <w:tcBorders>
              <w:bottom w:val="single" w:sz="4" w:space="0" w:color="A6A6A6" w:themeColor="background1" w:themeShade="A6"/>
            </w:tcBorders>
            <w:vAlign w:val="bottom"/>
          </w:tcPr>
          <w:p w14:paraId="2A027E0C" w14:textId="69165C83" w:rsidR="00C4527C" w:rsidRPr="000638BE" w:rsidRDefault="000638BE" w:rsidP="00C4527C">
            <w:pPr>
              <w:pStyle w:val="TableFiguresBrackets"/>
            </w:pPr>
            <w:r w:rsidRPr="000638BE">
              <w:t>(12)</w:t>
            </w:r>
          </w:p>
        </w:tc>
        <w:tc>
          <w:tcPr>
            <w:tcW w:w="487" w:type="pct"/>
            <w:tcBorders>
              <w:bottom w:val="single" w:sz="4" w:space="0" w:color="A6A6A6" w:themeColor="background1" w:themeShade="A6"/>
            </w:tcBorders>
            <w:vAlign w:val="bottom"/>
          </w:tcPr>
          <w:p w14:paraId="3CAA50C6" w14:textId="7A5AA3AA" w:rsidR="00C4527C" w:rsidRPr="000638BE" w:rsidRDefault="000638BE" w:rsidP="00C4527C">
            <w:pPr>
              <w:pStyle w:val="TableFiguresBrackets"/>
            </w:pPr>
            <w:r w:rsidRPr="000638BE">
              <w:t>(52)</w:t>
            </w:r>
          </w:p>
        </w:tc>
      </w:tr>
      <w:tr w:rsidR="000638BE" w:rsidRPr="000638BE" w14:paraId="27BA839B" w14:textId="77777777" w:rsidTr="000638BE">
        <w:trPr>
          <w:trHeight w:val="227"/>
        </w:trPr>
        <w:tc>
          <w:tcPr>
            <w:tcW w:w="2014" w:type="pct"/>
            <w:tcBorders>
              <w:top w:val="single" w:sz="4" w:space="0" w:color="999999"/>
            </w:tcBorders>
            <w:shd w:val="clear" w:color="auto" w:fill="auto"/>
            <w:vAlign w:val="bottom"/>
          </w:tcPr>
          <w:p w14:paraId="59E6C3EF" w14:textId="77777777" w:rsidR="00C4527C" w:rsidRPr="000638BE" w:rsidRDefault="00C4527C" w:rsidP="00C4527C">
            <w:pPr>
              <w:pStyle w:val="TabletextBold"/>
              <w:rPr>
                <w:szCs w:val="20"/>
              </w:rPr>
            </w:pPr>
            <w:r w:rsidRPr="000638BE">
              <w:rPr>
                <w:szCs w:val="20"/>
              </w:rPr>
              <w:t>Adjusted profit before tax</w:t>
            </w:r>
          </w:p>
        </w:tc>
        <w:tc>
          <w:tcPr>
            <w:tcW w:w="348" w:type="pct"/>
            <w:tcBorders>
              <w:top w:val="single" w:sz="4" w:space="0" w:color="999999"/>
            </w:tcBorders>
            <w:shd w:val="clear" w:color="auto" w:fill="auto"/>
            <w:vAlign w:val="bottom"/>
          </w:tcPr>
          <w:p w14:paraId="04F78676" w14:textId="77777777" w:rsidR="00C4527C" w:rsidRPr="00B64915" w:rsidRDefault="00C4527C" w:rsidP="00C4527C">
            <w:pPr>
              <w:pStyle w:val="TableFigures"/>
            </w:pPr>
          </w:p>
        </w:tc>
        <w:tc>
          <w:tcPr>
            <w:tcW w:w="486" w:type="pct"/>
            <w:tcBorders>
              <w:top w:val="single" w:sz="4" w:space="0" w:color="999999"/>
            </w:tcBorders>
            <w:shd w:val="clear" w:color="auto" w:fill="auto"/>
          </w:tcPr>
          <w:p w14:paraId="26EE2028" w14:textId="685F867E" w:rsidR="00C4527C" w:rsidRPr="000638BE" w:rsidRDefault="000638BE" w:rsidP="00730CF0">
            <w:pPr>
              <w:pStyle w:val="TableFiguresBold0"/>
            </w:pPr>
            <w:r w:rsidRPr="000638BE">
              <w:t>300</w:t>
            </w:r>
          </w:p>
        </w:tc>
        <w:tc>
          <w:tcPr>
            <w:tcW w:w="347" w:type="pct"/>
            <w:tcBorders>
              <w:top w:val="single" w:sz="4" w:space="0" w:color="999999"/>
            </w:tcBorders>
            <w:shd w:val="clear" w:color="auto" w:fill="auto"/>
          </w:tcPr>
          <w:p w14:paraId="1854565B" w14:textId="282CC86A" w:rsidR="00C4527C" w:rsidRPr="000638BE" w:rsidRDefault="000638BE" w:rsidP="00730CF0">
            <w:pPr>
              <w:pStyle w:val="TableFiguresBold0"/>
            </w:pPr>
            <w:r w:rsidRPr="000638BE">
              <w:t>61</w:t>
            </w:r>
          </w:p>
        </w:tc>
        <w:tc>
          <w:tcPr>
            <w:tcW w:w="417" w:type="pct"/>
            <w:tcBorders>
              <w:top w:val="single" w:sz="4" w:space="0" w:color="999999"/>
            </w:tcBorders>
          </w:tcPr>
          <w:p w14:paraId="7681A0E5" w14:textId="13E93A22" w:rsidR="00C4527C" w:rsidRPr="000638BE" w:rsidRDefault="000638BE" w:rsidP="00730CF0">
            <w:pPr>
              <w:pStyle w:val="TableFiguresBold0"/>
            </w:pPr>
            <w:r w:rsidRPr="000638BE">
              <w:t>361</w:t>
            </w:r>
          </w:p>
        </w:tc>
        <w:tc>
          <w:tcPr>
            <w:tcW w:w="69" w:type="pct"/>
            <w:vAlign w:val="bottom"/>
          </w:tcPr>
          <w:p w14:paraId="6606681A" w14:textId="77777777" w:rsidR="00C4527C" w:rsidRPr="000638BE" w:rsidRDefault="00C4527C" w:rsidP="00C4527C">
            <w:pPr>
              <w:pStyle w:val="TableFigures"/>
              <w:rPr>
                <w:b/>
              </w:rPr>
            </w:pPr>
          </w:p>
        </w:tc>
        <w:tc>
          <w:tcPr>
            <w:tcW w:w="416" w:type="pct"/>
            <w:tcBorders>
              <w:top w:val="single" w:sz="4" w:space="0" w:color="A6A6A6" w:themeColor="background1" w:themeShade="A6"/>
            </w:tcBorders>
            <w:vAlign w:val="bottom"/>
          </w:tcPr>
          <w:p w14:paraId="1ED4917A" w14:textId="76401657" w:rsidR="00C4527C" w:rsidRPr="000638BE" w:rsidRDefault="000638BE" w:rsidP="00C4527C">
            <w:pPr>
              <w:pStyle w:val="TableFigures"/>
            </w:pPr>
            <w:r w:rsidRPr="000638BE">
              <w:t>235</w:t>
            </w:r>
          </w:p>
        </w:tc>
        <w:tc>
          <w:tcPr>
            <w:tcW w:w="416" w:type="pct"/>
            <w:tcBorders>
              <w:top w:val="single" w:sz="4" w:space="0" w:color="A6A6A6" w:themeColor="background1" w:themeShade="A6"/>
            </w:tcBorders>
            <w:vAlign w:val="bottom"/>
          </w:tcPr>
          <w:p w14:paraId="5BDDBB9A" w14:textId="020365E8" w:rsidR="00C4527C" w:rsidRPr="000638BE" w:rsidRDefault="000638BE" w:rsidP="00C4527C">
            <w:pPr>
              <w:pStyle w:val="TableFigures"/>
            </w:pPr>
            <w:r w:rsidRPr="000638BE">
              <w:t>66</w:t>
            </w:r>
          </w:p>
        </w:tc>
        <w:tc>
          <w:tcPr>
            <w:tcW w:w="487" w:type="pct"/>
            <w:tcBorders>
              <w:top w:val="single" w:sz="4" w:space="0" w:color="A6A6A6" w:themeColor="background1" w:themeShade="A6"/>
            </w:tcBorders>
            <w:vAlign w:val="bottom"/>
          </w:tcPr>
          <w:p w14:paraId="6472EB52" w14:textId="4C33C6E0" w:rsidR="00C4527C" w:rsidRPr="000638BE" w:rsidRDefault="000638BE" w:rsidP="00C4527C">
            <w:pPr>
              <w:pStyle w:val="TableFigures"/>
            </w:pPr>
            <w:r w:rsidRPr="000638BE">
              <w:t>301</w:t>
            </w:r>
          </w:p>
        </w:tc>
      </w:tr>
      <w:tr w:rsidR="000638BE" w:rsidRPr="000638BE" w14:paraId="42FCB159" w14:textId="77777777" w:rsidTr="000638BE">
        <w:trPr>
          <w:trHeight w:val="227"/>
        </w:trPr>
        <w:tc>
          <w:tcPr>
            <w:tcW w:w="2014" w:type="pct"/>
            <w:tcBorders>
              <w:bottom w:val="single" w:sz="4" w:space="0" w:color="999999"/>
            </w:tcBorders>
            <w:shd w:val="clear" w:color="auto" w:fill="auto"/>
            <w:vAlign w:val="bottom"/>
          </w:tcPr>
          <w:p w14:paraId="39578A7B" w14:textId="77777777" w:rsidR="00C4527C" w:rsidRPr="000638BE" w:rsidRDefault="00C4527C" w:rsidP="00C4527C">
            <w:pPr>
              <w:pStyle w:val="TabletextBold"/>
              <w:rPr>
                <w:b w:val="0"/>
                <w:szCs w:val="20"/>
              </w:rPr>
            </w:pPr>
            <w:r w:rsidRPr="000638BE">
              <w:rPr>
                <w:b w:val="0"/>
                <w:szCs w:val="20"/>
              </w:rPr>
              <w:t>Tax on adjusted profit</w:t>
            </w:r>
          </w:p>
        </w:tc>
        <w:tc>
          <w:tcPr>
            <w:tcW w:w="348" w:type="pct"/>
            <w:tcBorders>
              <w:bottom w:val="single" w:sz="4" w:space="0" w:color="999999"/>
            </w:tcBorders>
            <w:shd w:val="clear" w:color="auto" w:fill="auto"/>
            <w:vAlign w:val="bottom"/>
          </w:tcPr>
          <w:p w14:paraId="6E685ADC" w14:textId="65D39274" w:rsidR="00C4527C" w:rsidRPr="00B64915" w:rsidRDefault="00C4527C" w:rsidP="00C4527C">
            <w:pPr>
              <w:pStyle w:val="TableFigures"/>
            </w:pPr>
            <w:r w:rsidRPr="00B64915">
              <w:t>2,6</w:t>
            </w:r>
          </w:p>
        </w:tc>
        <w:tc>
          <w:tcPr>
            <w:tcW w:w="486" w:type="pct"/>
            <w:tcBorders>
              <w:bottom w:val="single" w:sz="4" w:space="0" w:color="999999"/>
            </w:tcBorders>
            <w:shd w:val="clear" w:color="auto" w:fill="auto"/>
          </w:tcPr>
          <w:p w14:paraId="3472A362" w14:textId="02534347" w:rsidR="00C4527C" w:rsidRPr="000638BE" w:rsidRDefault="000638BE" w:rsidP="00730CF0">
            <w:pPr>
              <w:pStyle w:val="TableFiguresBracketsBold"/>
            </w:pPr>
            <w:r w:rsidRPr="000638BE">
              <w:t>(8)</w:t>
            </w:r>
          </w:p>
        </w:tc>
        <w:tc>
          <w:tcPr>
            <w:tcW w:w="347" w:type="pct"/>
            <w:tcBorders>
              <w:bottom w:val="single" w:sz="4" w:space="0" w:color="999999"/>
            </w:tcBorders>
            <w:shd w:val="clear" w:color="auto" w:fill="auto"/>
          </w:tcPr>
          <w:p w14:paraId="2CF2AB03" w14:textId="3F28EE32" w:rsidR="00C4527C" w:rsidRPr="000638BE" w:rsidRDefault="000638BE" w:rsidP="00730CF0">
            <w:pPr>
              <w:pStyle w:val="TableFiguresBracketsBold"/>
            </w:pPr>
            <w:r w:rsidRPr="000638BE">
              <w:t>(5)</w:t>
            </w:r>
          </w:p>
        </w:tc>
        <w:tc>
          <w:tcPr>
            <w:tcW w:w="417" w:type="pct"/>
            <w:tcBorders>
              <w:bottom w:val="single" w:sz="4" w:space="0" w:color="999999"/>
            </w:tcBorders>
          </w:tcPr>
          <w:p w14:paraId="749765B5" w14:textId="4C427E52" w:rsidR="00C4527C" w:rsidRPr="000638BE" w:rsidRDefault="000638BE" w:rsidP="00730CF0">
            <w:pPr>
              <w:pStyle w:val="TableFiguresBracketsBold"/>
            </w:pPr>
            <w:r w:rsidRPr="000638BE">
              <w:t>(13)</w:t>
            </w:r>
          </w:p>
        </w:tc>
        <w:tc>
          <w:tcPr>
            <w:tcW w:w="69" w:type="pct"/>
            <w:vAlign w:val="bottom"/>
          </w:tcPr>
          <w:p w14:paraId="6F25C5DD" w14:textId="77777777" w:rsidR="00C4527C" w:rsidRPr="000638BE" w:rsidRDefault="00C4527C" w:rsidP="00C4527C">
            <w:pPr>
              <w:pStyle w:val="TableFiguresBrackets"/>
              <w:rPr>
                <w:b/>
              </w:rPr>
            </w:pPr>
          </w:p>
        </w:tc>
        <w:tc>
          <w:tcPr>
            <w:tcW w:w="416" w:type="pct"/>
            <w:tcBorders>
              <w:bottom w:val="single" w:sz="4" w:space="0" w:color="808080" w:themeColor="background1" w:themeShade="80"/>
            </w:tcBorders>
            <w:vAlign w:val="bottom"/>
          </w:tcPr>
          <w:p w14:paraId="1724ABE5" w14:textId="757D0863" w:rsidR="00C4527C" w:rsidRPr="000638BE" w:rsidRDefault="000638BE" w:rsidP="00C4527C">
            <w:pPr>
              <w:pStyle w:val="TableFiguresBrackets"/>
            </w:pPr>
            <w:r w:rsidRPr="000638BE">
              <w:t>(4)</w:t>
            </w:r>
          </w:p>
        </w:tc>
        <w:tc>
          <w:tcPr>
            <w:tcW w:w="416" w:type="pct"/>
            <w:tcBorders>
              <w:bottom w:val="single" w:sz="4" w:space="0" w:color="808080" w:themeColor="background1" w:themeShade="80"/>
            </w:tcBorders>
            <w:vAlign w:val="bottom"/>
          </w:tcPr>
          <w:p w14:paraId="74E3265D" w14:textId="4F789CCF" w:rsidR="00C4527C" w:rsidRPr="000638BE" w:rsidRDefault="000638BE" w:rsidP="00C4527C">
            <w:pPr>
              <w:pStyle w:val="TableFiguresBrackets"/>
            </w:pPr>
            <w:r w:rsidRPr="000638BE">
              <w:t>(5)</w:t>
            </w:r>
          </w:p>
        </w:tc>
        <w:tc>
          <w:tcPr>
            <w:tcW w:w="487" w:type="pct"/>
            <w:tcBorders>
              <w:bottom w:val="single" w:sz="4" w:space="0" w:color="808080" w:themeColor="background1" w:themeShade="80"/>
            </w:tcBorders>
            <w:vAlign w:val="bottom"/>
          </w:tcPr>
          <w:p w14:paraId="4943A423" w14:textId="452C7102" w:rsidR="00C4527C" w:rsidRPr="000638BE" w:rsidRDefault="000638BE" w:rsidP="00C4527C">
            <w:pPr>
              <w:pStyle w:val="TableFiguresBrackets"/>
            </w:pPr>
            <w:r w:rsidRPr="000638BE">
              <w:t>(9)</w:t>
            </w:r>
          </w:p>
        </w:tc>
      </w:tr>
      <w:tr w:rsidR="000638BE" w:rsidRPr="000638BE" w14:paraId="3C46C865" w14:textId="77777777" w:rsidTr="000638BE">
        <w:trPr>
          <w:trHeight w:val="227"/>
        </w:trPr>
        <w:tc>
          <w:tcPr>
            <w:tcW w:w="2014" w:type="pct"/>
            <w:tcBorders>
              <w:top w:val="single" w:sz="4" w:space="0" w:color="999999"/>
              <w:bottom w:val="single" w:sz="8" w:space="0" w:color="999999"/>
            </w:tcBorders>
            <w:shd w:val="clear" w:color="auto" w:fill="auto"/>
            <w:vAlign w:val="bottom"/>
          </w:tcPr>
          <w:p w14:paraId="732C8CFA" w14:textId="5E9015CB" w:rsidR="00C4527C" w:rsidRPr="000638BE" w:rsidRDefault="00C4527C" w:rsidP="00C4527C">
            <w:pPr>
              <w:pStyle w:val="TabletextBold"/>
              <w:rPr>
                <w:szCs w:val="20"/>
              </w:rPr>
            </w:pPr>
            <w:r w:rsidRPr="000638BE">
              <w:rPr>
                <w:szCs w:val="20"/>
              </w:rPr>
              <w:t>Adjusted/EPRA earnings</w:t>
            </w:r>
            <w:r w:rsidR="00BA6394" w:rsidRPr="000638BE">
              <w:rPr>
                <w:szCs w:val="20"/>
              </w:rPr>
              <w:t xml:space="preserve"> before non-controlling interests</w:t>
            </w:r>
          </w:p>
        </w:tc>
        <w:tc>
          <w:tcPr>
            <w:tcW w:w="348" w:type="pct"/>
            <w:tcBorders>
              <w:top w:val="single" w:sz="4" w:space="0" w:color="999999"/>
              <w:bottom w:val="single" w:sz="8" w:space="0" w:color="999999"/>
            </w:tcBorders>
            <w:shd w:val="clear" w:color="auto" w:fill="auto"/>
            <w:vAlign w:val="bottom"/>
          </w:tcPr>
          <w:p w14:paraId="0F29575F" w14:textId="77777777" w:rsidR="00C4527C" w:rsidRPr="00B64915" w:rsidRDefault="00C4527C" w:rsidP="00C4527C">
            <w:pPr>
              <w:pStyle w:val="TableFiguresBracketsBold"/>
            </w:pPr>
          </w:p>
        </w:tc>
        <w:tc>
          <w:tcPr>
            <w:tcW w:w="486" w:type="pct"/>
            <w:tcBorders>
              <w:top w:val="single" w:sz="4" w:space="0" w:color="999999"/>
              <w:bottom w:val="single" w:sz="8" w:space="0" w:color="999999"/>
            </w:tcBorders>
            <w:shd w:val="clear" w:color="auto" w:fill="auto"/>
            <w:vAlign w:val="bottom"/>
          </w:tcPr>
          <w:p w14:paraId="4009976D" w14:textId="67F750C4" w:rsidR="00C4527C" w:rsidRPr="000638BE" w:rsidRDefault="000638BE" w:rsidP="00730CF0">
            <w:pPr>
              <w:pStyle w:val="TableFiguresBold0"/>
            </w:pPr>
            <w:r w:rsidRPr="000638BE">
              <w:t>292</w:t>
            </w:r>
          </w:p>
        </w:tc>
        <w:tc>
          <w:tcPr>
            <w:tcW w:w="347" w:type="pct"/>
            <w:tcBorders>
              <w:top w:val="single" w:sz="4" w:space="0" w:color="999999"/>
              <w:bottom w:val="single" w:sz="8" w:space="0" w:color="999999"/>
            </w:tcBorders>
            <w:shd w:val="clear" w:color="auto" w:fill="auto"/>
            <w:vAlign w:val="bottom"/>
          </w:tcPr>
          <w:p w14:paraId="4B03081D" w14:textId="696D9DDA" w:rsidR="00C4527C" w:rsidRPr="000638BE" w:rsidRDefault="000638BE" w:rsidP="00730CF0">
            <w:pPr>
              <w:pStyle w:val="TableFiguresBold0"/>
            </w:pPr>
            <w:r w:rsidRPr="000638BE">
              <w:t>56</w:t>
            </w:r>
          </w:p>
        </w:tc>
        <w:tc>
          <w:tcPr>
            <w:tcW w:w="417" w:type="pct"/>
            <w:tcBorders>
              <w:top w:val="single" w:sz="4" w:space="0" w:color="999999"/>
              <w:bottom w:val="single" w:sz="8" w:space="0" w:color="999999"/>
            </w:tcBorders>
            <w:vAlign w:val="bottom"/>
          </w:tcPr>
          <w:p w14:paraId="4E5B205E" w14:textId="0EDE152C" w:rsidR="00C4527C" w:rsidRPr="000638BE" w:rsidRDefault="000638BE" w:rsidP="00730CF0">
            <w:pPr>
              <w:pStyle w:val="TableFiguresBold0"/>
            </w:pPr>
            <w:r w:rsidRPr="000638BE">
              <w:t>348</w:t>
            </w:r>
          </w:p>
        </w:tc>
        <w:tc>
          <w:tcPr>
            <w:tcW w:w="69" w:type="pct"/>
            <w:vAlign w:val="bottom"/>
          </w:tcPr>
          <w:p w14:paraId="18F59C34" w14:textId="77777777" w:rsidR="00C4527C" w:rsidRPr="000638BE" w:rsidRDefault="00C4527C" w:rsidP="00C4527C">
            <w:pPr>
              <w:pStyle w:val="TableFigures"/>
              <w:rPr>
                <w:b/>
              </w:rPr>
            </w:pPr>
          </w:p>
        </w:tc>
        <w:tc>
          <w:tcPr>
            <w:tcW w:w="416" w:type="pct"/>
            <w:tcBorders>
              <w:top w:val="single" w:sz="4" w:space="0" w:color="808080" w:themeColor="background1" w:themeShade="80"/>
              <w:bottom w:val="single" w:sz="8" w:space="0" w:color="808080" w:themeColor="background1" w:themeShade="80"/>
            </w:tcBorders>
            <w:vAlign w:val="bottom"/>
          </w:tcPr>
          <w:p w14:paraId="21763981" w14:textId="3B5A88D6" w:rsidR="00C4527C" w:rsidRPr="000638BE" w:rsidRDefault="000638BE" w:rsidP="00C4527C">
            <w:pPr>
              <w:pStyle w:val="TableFigures"/>
            </w:pPr>
            <w:r w:rsidRPr="000638BE">
              <w:t>231</w:t>
            </w:r>
          </w:p>
        </w:tc>
        <w:tc>
          <w:tcPr>
            <w:tcW w:w="416" w:type="pct"/>
            <w:tcBorders>
              <w:top w:val="single" w:sz="4" w:space="0" w:color="808080" w:themeColor="background1" w:themeShade="80"/>
              <w:bottom w:val="single" w:sz="8" w:space="0" w:color="808080" w:themeColor="background1" w:themeShade="80"/>
            </w:tcBorders>
            <w:vAlign w:val="bottom"/>
          </w:tcPr>
          <w:p w14:paraId="4F88CFB2" w14:textId="1BF4ADE4" w:rsidR="00C4527C" w:rsidRPr="000638BE" w:rsidRDefault="000638BE" w:rsidP="00C4527C">
            <w:pPr>
              <w:pStyle w:val="TableFigures"/>
            </w:pPr>
            <w:r w:rsidRPr="000638BE">
              <w:t>61</w:t>
            </w:r>
          </w:p>
        </w:tc>
        <w:tc>
          <w:tcPr>
            <w:tcW w:w="487" w:type="pct"/>
            <w:tcBorders>
              <w:top w:val="single" w:sz="4" w:space="0" w:color="808080" w:themeColor="background1" w:themeShade="80"/>
              <w:bottom w:val="single" w:sz="8" w:space="0" w:color="808080" w:themeColor="background1" w:themeShade="80"/>
            </w:tcBorders>
            <w:vAlign w:val="bottom"/>
          </w:tcPr>
          <w:p w14:paraId="4E94C498" w14:textId="5E82B0CE" w:rsidR="00C4527C" w:rsidRPr="000638BE" w:rsidRDefault="000638BE" w:rsidP="00C4527C">
            <w:pPr>
              <w:pStyle w:val="TableFigures"/>
            </w:pPr>
            <w:r w:rsidRPr="000638BE">
              <w:t>292</w:t>
            </w:r>
          </w:p>
        </w:tc>
      </w:tr>
      <w:tr w:rsidR="000638BE" w:rsidRPr="000638BE" w14:paraId="0D3E9B05" w14:textId="77777777" w:rsidTr="000638BE">
        <w:trPr>
          <w:trHeight w:val="227"/>
        </w:trPr>
        <w:tc>
          <w:tcPr>
            <w:tcW w:w="2014" w:type="pct"/>
            <w:tcBorders>
              <w:top w:val="single" w:sz="8" w:space="0" w:color="999999"/>
              <w:bottom w:val="single" w:sz="4" w:space="0" w:color="999999"/>
            </w:tcBorders>
            <w:shd w:val="clear" w:color="auto" w:fill="auto"/>
            <w:vAlign w:val="bottom"/>
          </w:tcPr>
          <w:p w14:paraId="0282A7FB" w14:textId="77777777" w:rsidR="00C4527C" w:rsidRPr="000638BE" w:rsidRDefault="00C4527C" w:rsidP="00C4527C">
            <w:pPr>
              <w:pStyle w:val="Tabletext"/>
            </w:pPr>
            <w:r w:rsidRPr="000638BE">
              <w:t>Non-controlling interest on adjusted profit</w:t>
            </w:r>
          </w:p>
        </w:tc>
        <w:tc>
          <w:tcPr>
            <w:tcW w:w="348" w:type="pct"/>
            <w:tcBorders>
              <w:top w:val="single" w:sz="8" w:space="0" w:color="999999"/>
              <w:bottom w:val="single" w:sz="4" w:space="0" w:color="999999"/>
            </w:tcBorders>
            <w:shd w:val="clear" w:color="auto" w:fill="auto"/>
            <w:vAlign w:val="bottom"/>
          </w:tcPr>
          <w:p w14:paraId="69730120" w14:textId="00A65E69" w:rsidR="00C4527C" w:rsidRPr="00B64915" w:rsidRDefault="00C4527C" w:rsidP="00C4527C">
            <w:pPr>
              <w:pStyle w:val="TableFigures"/>
            </w:pPr>
            <w:r w:rsidRPr="00B64915">
              <w:t>2,6</w:t>
            </w:r>
          </w:p>
        </w:tc>
        <w:tc>
          <w:tcPr>
            <w:tcW w:w="486" w:type="pct"/>
            <w:tcBorders>
              <w:top w:val="single" w:sz="8" w:space="0" w:color="999999"/>
              <w:bottom w:val="single" w:sz="4" w:space="0" w:color="999999"/>
            </w:tcBorders>
            <w:shd w:val="clear" w:color="auto" w:fill="auto"/>
          </w:tcPr>
          <w:p w14:paraId="7BFF2AA0" w14:textId="79E74F5E" w:rsidR="00C4527C" w:rsidRPr="000638BE" w:rsidRDefault="000638BE" w:rsidP="00B64915">
            <w:pPr>
              <w:pStyle w:val="TableFiguresBold0"/>
            </w:pPr>
            <w:r w:rsidRPr="000638BE">
              <w:t>–</w:t>
            </w:r>
          </w:p>
        </w:tc>
        <w:tc>
          <w:tcPr>
            <w:tcW w:w="347" w:type="pct"/>
            <w:tcBorders>
              <w:top w:val="single" w:sz="8" w:space="0" w:color="999999"/>
              <w:bottom w:val="single" w:sz="4" w:space="0" w:color="999999"/>
            </w:tcBorders>
            <w:shd w:val="clear" w:color="auto" w:fill="auto"/>
          </w:tcPr>
          <w:p w14:paraId="07133297" w14:textId="6B2E9B33" w:rsidR="00C4527C" w:rsidRPr="00FD1A13" w:rsidRDefault="00C4527C">
            <w:pPr>
              <w:pStyle w:val="TableFiguresBold0"/>
            </w:pPr>
            <w:r w:rsidRPr="00FD1A13">
              <w:t>–</w:t>
            </w:r>
          </w:p>
        </w:tc>
        <w:tc>
          <w:tcPr>
            <w:tcW w:w="417" w:type="pct"/>
            <w:tcBorders>
              <w:top w:val="single" w:sz="8" w:space="0" w:color="999999"/>
              <w:bottom w:val="single" w:sz="4" w:space="0" w:color="999999"/>
            </w:tcBorders>
          </w:tcPr>
          <w:p w14:paraId="06888514" w14:textId="64C3C346" w:rsidR="00C4527C" w:rsidRPr="000638BE" w:rsidRDefault="000638BE" w:rsidP="00B64915">
            <w:pPr>
              <w:pStyle w:val="TableFiguresBold0"/>
            </w:pPr>
            <w:r w:rsidRPr="000638BE">
              <w:t>–</w:t>
            </w:r>
          </w:p>
        </w:tc>
        <w:tc>
          <w:tcPr>
            <w:tcW w:w="69" w:type="pct"/>
            <w:vAlign w:val="bottom"/>
          </w:tcPr>
          <w:p w14:paraId="3E6608E9" w14:textId="77777777" w:rsidR="00C4527C" w:rsidRPr="000638BE" w:rsidRDefault="00C4527C" w:rsidP="00730CF0">
            <w:pPr>
              <w:pStyle w:val="TableFiguresBrackets"/>
            </w:pPr>
          </w:p>
        </w:tc>
        <w:tc>
          <w:tcPr>
            <w:tcW w:w="416" w:type="pct"/>
            <w:tcBorders>
              <w:top w:val="single" w:sz="8" w:space="0" w:color="808080" w:themeColor="background1" w:themeShade="80"/>
              <w:bottom w:val="single" w:sz="4" w:space="0" w:color="808080" w:themeColor="background1" w:themeShade="80"/>
            </w:tcBorders>
            <w:vAlign w:val="bottom"/>
          </w:tcPr>
          <w:p w14:paraId="6B70B8C5" w14:textId="0C4EF16C" w:rsidR="00C4527C" w:rsidRPr="000638BE" w:rsidRDefault="000638BE" w:rsidP="00B64915">
            <w:pPr>
              <w:pStyle w:val="TableFigures"/>
            </w:pPr>
            <w:r w:rsidRPr="000638BE">
              <w:t>–</w:t>
            </w:r>
          </w:p>
        </w:tc>
        <w:tc>
          <w:tcPr>
            <w:tcW w:w="416" w:type="pct"/>
            <w:tcBorders>
              <w:top w:val="single" w:sz="8" w:space="0" w:color="808080" w:themeColor="background1" w:themeShade="80"/>
              <w:bottom w:val="single" w:sz="4" w:space="0" w:color="808080" w:themeColor="background1" w:themeShade="80"/>
            </w:tcBorders>
            <w:vAlign w:val="bottom"/>
          </w:tcPr>
          <w:p w14:paraId="5E6D4D82" w14:textId="5F978E15" w:rsidR="00C4527C" w:rsidRPr="000638BE" w:rsidRDefault="00C4527C" w:rsidP="00C4527C">
            <w:pPr>
              <w:pStyle w:val="TableFigures"/>
            </w:pPr>
            <w:r w:rsidRPr="000638BE">
              <w:t>–</w:t>
            </w:r>
          </w:p>
        </w:tc>
        <w:tc>
          <w:tcPr>
            <w:tcW w:w="487" w:type="pct"/>
            <w:tcBorders>
              <w:top w:val="single" w:sz="8" w:space="0" w:color="808080" w:themeColor="background1" w:themeShade="80"/>
              <w:bottom w:val="single" w:sz="4" w:space="0" w:color="808080" w:themeColor="background1" w:themeShade="80"/>
            </w:tcBorders>
            <w:vAlign w:val="bottom"/>
          </w:tcPr>
          <w:p w14:paraId="22435C74" w14:textId="7EAA4FD4" w:rsidR="00C4527C" w:rsidRPr="000638BE" w:rsidRDefault="000638BE" w:rsidP="00B64915">
            <w:pPr>
              <w:pStyle w:val="TableFigures"/>
            </w:pPr>
            <w:r w:rsidRPr="000638BE">
              <w:t>–</w:t>
            </w:r>
          </w:p>
        </w:tc>
      </w:tr>
      <w:tr w:rsidR="000638BE" w:rsidRPr="000638BE" w14:paraId="5F64B5C3" w14:textId="77777777" w:rsidTr="000638BE">
        <w:trPr>
          <w:trHeight w:val="227"/>
        </w:trPr>
        <w:tc>
          <w:tcPr>
            <w:tcW w:w="2014" w:type="pct"/>
            <w:tcBorders>
              <w:top w:val="single" w:sz="4" w:space="0" w:color="999999"/>
            </w:tcBorders>
            <w:shd w:val="clear" w:color="auto" w:fill="auto"/>
            <w:vAlign w:val="bottom"/>
          </w:tcPr>
          <w:p w14:paraId="35CDD03B" w14:textId="39CCAB04" w:rsidR="00C4527C" w:rsidRPr="000638BE" w:rsidRDefault="00C4527C" w:rsidP="00C4527C">
            <w:pPr>
              <w:pStyle w:val="TabletextBold"/>
            </w:pPr>
            <w:r w:rsidRPr="000638BE">
              <w:t>Adjusted</w:t>
            </w:r>
            <w:r w:rsidR="00187473" w:rsidRPr="000638BE">
              <w:t xml:space="preserve">/EPRA </w:t>
            </w:r>
            <w:r w:rsidRPr="000638BE">
              <w:t xml:space="preserve">earnings after </w:t>
            </w:r>
            <w:r w:rsidR="000638BE" w:rsidRPr="000638BE">
              <w:t xml:space="preserve">tax and           </w:t>
            </w:r>
            <w:r w:rsidRPr="000638BE">
              <w:t xml:space="preserve">non-controlling interests </w:t>
            </w:r>
          </w:p>
        </w:tc>
        <w:tc>
          <w:tcPr>
            <w:tcW w:w="348" w:type="pct"/>
            <w:tcBorders>
              <w:top w:val="single" w:sz="4" w:space="0" w:color="999999"/>
            </w:tcBorders>
            <w:shd w:val="clear" w:color="auto" w:fill="auto"/>
            <w:vAlign w:val="bottom"/>
          </w:tcPr>
          <w:p w14:paraId="33BA30DD" w14:textId="77777777" w:rsidR="00C4527C" w:rsidRPr="00B64915" w:rsidRDefault="00C4527C" w:rsidP="00C4527C">
            <w:pPr>
              <w:pStyle w:val="TableFiguresBracketsBold"/>
            </w:pPr>
          </w:p>
        </w:tc>
        <w:tc>
          <w:tcPr>
            <w:tcW w:w="486" w:type="pct"/>
            <w:tcBorders>
              <w:top w:val="single" w:sz="4" w:space="0" w:color="999999"/>
            </w:tcBorders>
            <w:shd w:val="clear" w:color="auto" w:fill="auto"/>
            <w:vAlign w:val="bottom"/>
          </w:tcPr>
          <w:p w14:paraId="08F1686D" w14:textId="6DA0F080" w:rsidR="00C4527C" w:rsidRPr="000638BE" w:rsidRDefault="000638BE" w:rsidP="00730CF0">
            <w:pPr>
              <w:pStyle w:val="TableFiguresBold0"/>
            </w:pPr>
            <w:r w:rsidRPr="000638BE">
              <w:t>292</w:t>
            </w:r>
          </w:p>
        </w:tc>
        <w:tc>
          <w:tcPr>
            <w:tcW w:w="347" w:type="pct"/>
            <w:tcBorders>
              <w:top w:val="single" w:sz="4" w:space="0" w:color="999999"/>
            </w:tcBorders>
            <w:shd w:val="clear" w:color="auto" w:fill="auto"/>
            <w:vAlign w:val="bottom"/>
          </w:tcPr>
          <w:p w14:paraId="303FE4C8" w14:textId="3790017D" w:rsidR="00C4527C" w:rsidRPr="000638BE" w:rsidRDefault="000638BE" w:rsidP="00730CF0">
            <w:pPr>
              <w:pStyle w:val="TableFiguresBold0"/>
            </w:pPr>
            <w:r w:rsidRPr="000638BE">
              <w:t>56</w:t>
            </w:r>
          </w:p>
        </w:tc>
        <w:tc>
          <w:tcPr>
            <w:tcW w:w="417" w:type="pct"/>
            <w:tcBorders>
              <w:top w:val="single" w:sz="4" w:space="0" w:color="999999"/>
            </w:tcBorders>
            <w:vAlign w:val="bottom"/>
          </w:tcPr>
          <w:p w14:paraId="1E389590" w14:textId="37E642FB" w:rsidR="00C4527C" w:rsidRPr="000638BE" w:rsidRDefault="000638BE" w:rsidP="00730CF0">
            <w:pPr>
              <w:pStyle w:val="TableFiguresBold0"/>
            </w:pPr>
            <w:r w:rsidRPr="000638BE">
              <w:t>348</w:t>
            </w:r>
          </w:p>
        </w:tc>
        <w:tc>
          <w:tcPr>
            <w:tcW w:w="69" w:type="pct"/>
            <w:vAlign w:val="bottom"/>
          </w:tcPr>
          <w:p w14:paraId="7BCE8508" w14:textId="77777777" w:rsidR="00C4527C" w:rsidRPr="000638BE" w:rsidRDefault="00C4527C" w:rsidP="00C4527C">
            <w:pPr>
              <w:pStyle w:val="TableFigures"/>
              <w:rPr>
                <w:b/>
              </w:rPr>
            </w:pPr>
          </w:p>
        </w:tc>
        <w:tc>
          <w:tcPr>
            <w:tcW w:w="416" w:type="pct"/>
            <w:tcBorders>
              <w:top w:val="single" w:sz="4" w:space="0" w:color="808080" w:themeColor="background1" w:themeShade="80"/>
            </w:tcBorders>
            <w:vAlign w:val="bottom"/>
          </w:tcPr>
          <w:p w14:paraId="3CD28E4D" w14:textId="41FE9A31" w:rsidR="00C4527C" w:rsidRPr="000638BE" w:rsidRDefault="000638BE" w:rsidP="00C4527C">
            <w:pPr>
              <w:pStyle w:val="TableFigures"/>
            </w:pPr>
            <w:r w:rsidRPr="000638BE">
              <w:t>231</w:t>
            </w:r>
          </w:p>
        </w:tc>
        <w:tc>
          <w:tcPr>
            <w:tcW w:w="416" w:type="pct"/>
            <w:tcBorders>
              <w:top w:val="single" w:sz="4" w:space="0" w:color="808080" w:themeColor="background1" w:themeShade="80"/>
            </w:tcBorders>
            <w:vAlign w:val="bottom"/>
          </w:tcPr>
          <w:p w14:paraId="74A9E654" w14:textId="3D6E547C" w:rsidR="00C4527C" w:rsidRPr="000638BE" w:rsidRDefault="000638BE" w:rsidP="00C4527C">
            <w:pPr>
              <w:pStyle w:val="TableFigures"/>
            </w:pPr>
            <w:r w:rsidRPr="000638BE">
              <w:t>61</w:t>
            </w:r>
          </w:p>
        </w:tc>
        <w:tc>
          <w:tcPr>
            <w:tcW w:w="487" w:type="pct"/>
            <w:tcBorders>
              <w:top w:val="single" w:sz="4" w:space="0" w:color="808080" w:themeColor="background1" w:themeShade="80"/>
            </w:tcBorders>
            <w:vAlign w:val="bottom"/>
          </w:tcPr>
          <w:p w14:paraId="34F613DC" w14:textId="73D24921" w:rsidR="00C4527C" w:rsidRPr="000638BE" w:rsidRDefault="000638BE" w:rsidP="00C4527C">
            <w:pPr>
              <w:pStyle w:val="TableFigures"/>
            </w:pPr>
            <w:r w:rsidRPr="000638BE">
              <w:t>292</w:t>
            </w:r>
          </w:p>
        </w:tc>
      </w:tr>
      <w:tr w:rsidR="000638BE" w:rsidRPr="000638BE" w14:paraId="02A8FDAB" w14:textId="77777777" w:rsidTr="000638BE">
        <w:trPr>
          <w:trHeight w:val="227"/>
        </w:trPr>
        <w:tc>
          <w:tcPr>
            <w:tcW w:w="2014" w:type="pct"/>
            <w:shd w:val="clear" w:color="auto" w:fill="auto"/>
            <w:vAlign w:val="bottom"/>
          </w:tcPr>
          <w:p w14:paraId="359DE7B0" w14:textId="77777777" w:rsidR="00C4527C" w:rsidRPr="000638BE" w:rsidRDefault="00C4527C" w:rsidP="00C4527C">
            <w:pPr>
              <w:pStyle w:val="TabletextBold"/>
              <w:rPr>
                <w:b w:val="0"/>
                <w:szCs w:val="20"/>
              </w:rPr>
            </w:pPr>
            <w:r w:rsidRPr="000638BE">
              <w:rPr>
                <w:b w:val="0"/>
                <w:szCs w:val="20"/>
              </w:rPr>
              <w:t>Number of shares, million</w:t>
            </w:r>
          </w:p>
        </w:tc>
        <w:tc>
          <w:tcPr>
            <w:tcW w:w="348" w:type="pct"/>
            <w:shd w:val="clear" w:color="auto" w:fill="auto"/>
            <w:vAlign w:val="bottom"/>
          </w:tcPr>
          <w:p w14:paraId="05CE095B" w14:textId="098095B3" w:rsidR="00C4527C" w:rsidRPr="00B64915" w:rsidRDefault="00C4527C" w:rsidP="00C4527C">
            <w:pPr>
              <w:pStyle w:val="TableFiguresBracketsBold"/>
              <w:rPr>
                <w:b w:val="0"/>
              </w:rPr>
            </w:pPr>
            <w:r w:rsidRPr="00B64915">
              <w:rPr>
                <w:b w:val="0"/>
              </w:rPr>
              <w:t>11</w:t>
            </w:r>
          </w:p>
        </w:tc>
        <w:tc>
          <w:tcPr>
            <w:tcW w:w="486" w:type="pct"/>
            <w:shd w:val="clear" w:color="auto" w:fill="auto"/>
            <w:vAlign w:val="bottom"/>
          </w:tcPr>
          <w:p w14:paraId="4C49A74C" w14:textId="77777777" w:rsidR="00C4527C" w:rsidRPr="000638BE" w:rsidRDefault="00C4527C" w:rsidP="00C4527C">
            <w:pPr>
              <w:pStyle w:val="TableFiguresBold0"/>
            </w:pPr>
          </w:p>
        </w:tc>
        <w:tc>
          <w:tcPr>
            <w:tcW w:w="347" w:type="pct"/>
            <w:shd w:val="clear" w:color="auto" w:fill="auto"/>
            <w:vAlign w:val="bottom"/>
          </w:tcPr>
          <w:p w14:paraId="40A3F423" w14:textId="77777777" w:rsidR="00C4527C" w:rsidRPr="000638BE" w:rsidRDefault="00C4527C" w:rsidP="00C4527C">
            <w:pPr>
              <w:pStyle w:val="TableFiguresBold0"/>
            </w:pPr>
          </w:p>
        </w:tc>
        <w:tc>
          <w:tcPr>
            <w:tcW w:w="417" w:type="pct"/>
            <w:vAlign w:val="bottom"/>
          </w:tcPr>
          <w:p w14:paraId="6CD9C146" w14:textId="1477F593" w:rsidR="00C4527C" w:rsidRPr="000638BE" w:rsidRDefault="000638BE" w:rsidP="00C4527C">
            <w:pPr>
              <w:pStyle w:val="TableFiguresBold0"/>
            </w:pPr>
            <w:r w:rsidRPr="000638BE">
              <w:t>1,197.7</w:t>
            </w:r>
          </w:p>
        </w:tc>
        <w:tc>
          <w:tcPr>
            <w:tcW w:w="69" w:type="pct"/>
            <w:vAlign w:val="bottom"/>
          </w:tcPr>
          <w:p w14:paraId="78D87D1B" w14:textId="77777777" w:rsidR="00C4527C" w:rsidRPr="000638BE" w:rsidRDefault="00C4527C" w:rsidP="00C4527C">
            <w:pPr>
              <w:pStyle w:val="TableFigures"/>
              <w:rPr>
                <w:b/>
              </w:rPr>
            </w:pPr>
          </w:p>
        </w:tc>
        <w:tc>
          <w:tcPr>
            <w:tcW w:w="416" w:type="pct"/>
            <w:vAlign w:val="bottom"/>
          </w:tcPr>
          <w:p w14:paraId="24447D8E" w14:textId="77777777" w:rsidR="00C4527C" w:rsidRPr="000638BE" w:rsidRDefault="00C4527C" w:rsidP="00C4527C">
            <w:pPr>
              <w:pStyle w:val="TableFigures"/>
            </w:pPr>
          </w:p>
        </w:tc>
        <w:tc>
          <w:tcPr>
            <w:tcW w:w="416" w:type="pct"/>
            <w:vAlign w:val="bottom"/>
          </w:tcPr>
          <w:p w14:paraId="72917717" w14:textId="77777777" w:rsidR="00C4527C" w:rsidRPr="000638BE" w:rsidRDefault="00C4527C" w:rsidP="00C4527C">
            <w:pPr>
              <w:pStyle w:val="TableFigures"/>
            </w:pPr>
          </w:p>
        </w:tc>
        <w:tc>
          <w:tcPr>
            <w:tcW w:w="487" w:type="pct"/>
            <w:vAlign w:val="bottom"/>
          </w:tcPr>
          <w:p w14:paraId="5192AAA3" w14:textId="685D50F2" w:rsidR="00C4527C" w:rsidRPr="000638BE" w:rsidRDefault="000638BE" w:rsidP="00C4527C">
            <w:pPr>
              <w:pStyle w:val="TableFigures"/>
            </w:pPr>
            <w:r w:rsidRPr="000638BE">
              <w:t>1,149.8</w:t>
            </w:r>
          </w:p>
        </w:tc>
      </w:tr>
      <w:tr w:rsidR="000638BE" w:rsidRPr="000638BE" w14:paraId="0AA24A57" w14:textId="77777777" w:rsidTr="000638BE">
        <w:trPr>
          <w:trHeight w:val="227"/>
        </w:trPr>
        <w:tc>
          <w:tcPr>
            <w:tcW w:w="2014" w:type="pct"/>
            <w:tcBorders>
              <w:bottom w:val="single" w:sz="4" w:space="0" w:color="BFBFBF" w:themeColor="background1" w:themeShade="BF"/>
            </w:tcBorders>
            <w:shd w:val="clear" w:color="auto" w:fill="auto"/>
            <w:vAlign w:val="bottom"/>
          </w:tcPr>
          <w:p w14:paraId="2818436B" w14:textId="190B7EEE" w:rsidR="00C4527C" w:rsidRPr="000638BE" w:rsidRDefault="00C4527C" w:rsidP="00C4527C">
            <w:pPr>
              <w:pStyle w:val="TabletextBold"/>
            </w:pPr>
            <w:r w:rsidRPr="000638BE">
              <w:t xml:space="preserve">Adjusted/EPRA EPS, pence per share </w:t>
            </w:r>
          </w:p>
        </w:tc>
        <w:tc>
          <w:tcPr>
            <w:tcW w:w="348" w:type="pct"/>
            <w:tcBorders>
              <w:bottom w:val="single" w:sz="4" w:space="0" w:color="BFBFBF" w:themeColor="background1" w:themeShade="BF"/>
            </w:tcBorders>
            <w:shd w:val="clear" w:color="auto" w:fill="auto"/>
            <w:vAlign w:val="bottom"/>
          </w:tcPr>
          <w:p w14:paraId="45DF1F7D" w14:textId="35BBD81D" w:rsidR="00C4527C" w:rsidRPr="00B64915" w:rsidRDefault="00C4527C" w:rsidP="00C4527C">
            <w:pPr>
              <w:pStyle w:val="TableFiguresBracketsBold"/>
              <w:rPr>
                <w:b w:val="0"/>
              </w:rPr>
            </w:pPr>
          </w:p>
        </w:tc>
        <w:tc>
          <w:tcPr>
            <w:tcW w:w="486" w:type="pct"/>
            <w:tcBorders>
              <w:bottom w:val="single" w:sz="4" w:space="0" w:color="BFBFBF" w:themeColor="background1" w:themeShade="BF"/>
            </w:tcBorders>
            <w:shd w:val="clear" w:color="auto" w:fill="auto"/>
            <w:vAlign w:val="bottom"/>
          </w:tcPr>
          <w:p w14:paraId="1BC7D10F" w14:textId="77777777" w:rsidR="00C4527C" w:rsidRPr="000638BE" w:rsidRDefault="00C4527C" w:rsidP="00C4527C">
            <w:pPr>
              <w:pStyle w:val="TableFiguresBold0"/>
            </w:pPr>
          </w:p>
        </w:tc>
        <w:tc>
          <w:tcPr>
            <w:tcW w:w="347" w:type="pct"/>
            <w:tcBorders>
              <w:bottom w:val="single" w:sz="4" w:space="0" w:color="BFBFBF" w:themeColor="background1" w:themeShade="BF"/>
            </w:tcBorders>
            <w:shd w:val="clear" w:color="auto" w:fill="auto"/>
            <w:vAlign w:val="bottom"/>
          </w:tcPr>
          <w:p w14:paraId="5BABED56" w14:textId="77777777" w:rsidR="00C4527C" w:rsidRPr="000638BE" w:rsidRDefault="00C4527C" w:rsidP="00C4527C">
            <w:pPr>
              <w:pStyle w:val="TableFiguresBold0"/>
            </w:pPr>
          </w:p>
        </w:tc>
        <w:tc>
          <w:tcPr>
            <w:tcW w:w="417" w:type="pct"/>
            <w:tcBorders>
              <w:bottom w:val="single" w:sz="4" w:space="0" w:color="BFBFBF" w:themeColor="background1" w:themeShade="BF"/>
            </w:tcBorders>
            <w:vAlign w:val="bottom"/>
          </w:tcPr>
          <w:p w14:paraId="6DBCE19E" w14:textId="77360CFE" w:rsidR="00C4527C" w:rsidRPr="000638BE" w:rsidRDefault="000638BE" w:rsidP="00C4527C">
            <w:pPr>
              <w:pStyle w:val="TableFiguresBold0"/>
            </w:pPr>
            <w:r w:rsidRPr="000638BE">
              <w:t>29.1</w:t>
            </w:r>
          </w:p>
        </w:tc>
        <w:tc>
          <w:tcPr>
            <w:tcW w:w="69" w:type="pct"/>
            <w:tcBorders>
              <w:bottom w:val="single" w:sz="4" w:space="0" w:color="BFBFBF" w:themeColor="background1" w:themeShade="BF"/>
            </w:tcBorders>
            <w:vAlign w:val="bottom"/>
          </w:tcPr>
          <w:p w14:paraId="02286163" w14:textId="77777777" w:rsidR="00C4527C" w:rsidRPr="000638BE" w:rsidRDefault="00C4527C" w:rsidP="00C4527C">
            <w:pPr>
              <w:pStyle w:val="TableFigures"/>
              <w:rPr>
                <w:b/>
              </w:rPr>
            </w:pPr>
          </w:p>
        </w:tc>
        <w:tc>
          <w:tcPr>
            <w:tcW w:w="416" w:type="pct"/>
            <w:tcBorders>
              <w:bottom w:val="single" w:sz="4" w:space="0" w:color="BFBFBF" w:themeColor="background1" w:themeShade="BF"/>
            </w:tcBorders>
            <w:vAlign w:val="bottom"/>
          </w:tcPr>
          <w:p w14:paraId="622CD786" w14:textId="77777777" w:rsidR="00C4527C" w:rsidRPr="000638BE" w:rsidRDefault="00C4527C" w:rsidP="00C4527C">
            <w:pPr>
              <w:pStyle w:val="TableFigures"/>
            </w:pPr>
          </w:p>
        </w:tc>
        <w:tc>
          <w:tcPr>
            <w:tcW w:w="416" w:type="pct"/>
            <w:tcBorders>
              <w:bottom w:val="single" w:sz="4" w:space="0" w:color="BFBFBF" w:themeColor="background1" w:themeShade="BF"/>
            </w:tcBorders>
            <w:vAlign w:val="bottom"/>
          </w:tcPr>
          <w:p w14:paraId="6D55113C" w14:textId="77777777" w:rsidR="00C4527C" w:rsidRPr="000638BE" w:rsidRDefault="00C4527C" w:rsidP="00C4527C">
            <w:pPr>
              <w:pStyle w:val="TableFigures"/>
            </w:pPr>
          </w:p>
        </w:tc>
        <w:tc>
          <w:tcPr>
            <w:tcW w:w="487" w:type="pct"/>
            <w:tcBorders>
              <w:bottom w:val="single" w:sz="4" w:space="0" w:color="BFBFBF" w:themeColor="background1" w:themeShade="BF"/>
            </w:tcBorders>
            <w:vAlign w:val="bottom"/>
          </w:tcPr>
          <w:p w14:paraId="73832EAB" w14:textId="46AE9FC4" w:rsidR="00C4527C" w:rsidRPr="000638BE" w:rsidRDefault="000638BE" w:rsidP="00C4527C">
            <w:pPr>
              <w:pStyle w:val="TableFigures"/>
            </w:pPr>
            <w:r w:rsidRPr="000638BE">
              <w:t>25.4</w:t>
            </w:r>
          </w:p>
        </w:tc>
      </w:tr>
      <w:tr w:rsidR="000638BE" w:rsidRPr="000638BE" w14:paraId="0014B1AC" w14:textId="77777777" w:rsidTr="000638BE">
        <w:trPr>
          <w:trHeight w:val="227"/>
        </w:trPr>
        <w:tc>
          <w:tcPr>
            <w:tcW w:w="2014" w:type="pct"/>
            <w:tcBorders>
              <w:top w:val="single" w:sz="4" w:space="0" w:color="BFBFBF" w:themeColor="background1" w:themeShade="BF"/>
            </w:tcBorders>
            <w:shd w:val="clear" w:color="auto" w:fill="auto"/>
            <w:vAlign w:val="bottom"/>
          </w:tcPr>
          <w:p w14:paraId="0F0A9498" w14:textId="5FEE1F73" w:rsidR="00C4527C" w:rsidRPr="000638BE" w:rsidRDefault="00C4527C" w:rsidP="00C4527C">
            <w:pPr>
              <w:pStyle w:val="TabletextBold"/>
              <w:rPr>
                <w:b w:val="0"/>
                <w:szCs w:val="20"/>
              </w:rPr>
            </w:pPr>
            <w:r w:rsidRPr="000638BE">
              <w:rPr>
                <w:b w:val="0"/>
                <w:szCs w:val="20"/>
              </w:rPr>
              <w:t>Number of shares</w:t>
            </w:r>
            <w:r w:rsidR="00187473" w:rsidRPr="000638BE">
              <w:rPr>
                <w:b w:val="0"/>
                <w:szCs w:val="20"/>
              </w:rPr>
              <w:t>, million</w:t>
            </w:r>
          </w:p>
        </w:tc>
        <w:tc>
          <w:tcPr>
            <w:tcW w:w="348" w:type="pct"/>
            <w:tcBorders>
              <w:top w:val="single" w:sz="4" w:space="0" w:color="BFBFBF" w:themeColor="background1" w:themeShade="BF"/>
            </w:tcBorders>
            <w:shd w:val="clear" w:color="auto" w:fill="auto"/>
            <w:vAlign w:val="bottom"/>
          </w:tcPr>
          <w:p w14:paraId="23F34C69" w14:textId="24FBA64F" w:rsidR="00C4527C" w:rsidRPr="00B64915" w:rsidRDefault="00C4527C" w:rsidP="00C4527C">
            <w:pPr>
              <w:pStyle w:val="TableFiguresBracketsBold"/>
              <w:rPr>
                <w:b w:val="0"/>
              </w:rPr>
            </w:pPr>
            <w:r w:rsidRPr="00B64915">
              <w:rPr>
                <w:b w:val="0"/>
              </w:rPr>
              <w:t>11</w:t>
            </w:r>
          </w:p>
        </w:tc>
        <w:tc>
          <w:tcPr>
            <w:tcW w:w="486" w:type="pct"/>
            <w:tcBorders>
              <w:top w:val="single" w:sz="4" w:space="0" w:color="BFBFBF" w:themeColor="background1" w:themeShade="BF"/>
            </w:tcBorders>
            <w:shd w:val="clear" w:color="auto" w:fill="auto"/>
            <w:vAlign w:val="bottom"/>
          </w:tcPr>
          <w:p w14:paraId="47C70CAB" w14:textId="77777777" w:rsidR="00C4527C" w:rsidRPr="000638BE" w:rsidRDefault="00C4527C" w:rsidP="00C4527C">
            <w:pPr>
              <w:pStyle w:val="TableFiguresBold0"/>
            </w:pPr>
          </w:p>
        </w:tc>
        <w:tc>
          <w:tcPr>
            <w:tcW w:w="347" w:type="pct"/>
            <w:tcBorders>
              <w:top w:val="single" w:sz="4" w:space="0" w:color="BFBFBF" w:themeColor="background1" w:themeShade="BF"/>
            </w:tcBorders>
            <w:shd w:val="clear" w:color="auto" w:fill="auto"/>
            <w:vAlign w:val="bottom"/>
          </w:tcPr>
          <w:p w14:paraId="3A3DE2A0" w14:textId="77777777" w:rsidR="00C4527C" w:rsidRPr="000638BE" w:rsidRDefault="00C4527C" w:rsidP="00C4527C">
            <w:pPr>
              <w:pStyle w:val="TableFiguresBold0"/>
            </w:pPr>
          </w:p>
        </w:tc>
        <w:tc>
          <w:tcPr>
            <w:tcW w:w="417" w:type="pct"/>
            <w:tcBorders>
              <w:top w:val="single" w:sz="4" w:space="0" w:color="BFBFBF" w:themeColor="background1" w:themeShade="BF"/>
            </w:tcBorders>
            <w:vAlign w:val="bottom"/>
          </w:tcPr>
          <w:p w14:paraId="732BDA2E" w14:textId="6F01D239" w:rsidR="00C4527C" w:rsidRPr="000638BE" w:rsidRDefault="000638BE" w:rsidP="00C4527C">
            <w:pPr>
              <w:pStyle w:val="TableFiguresBold0"/>
            </w:pPr>
            <w:r w:rsidRPr="000638BE">
              <w:t>1,201.0</w:t>
            </w:r>
          </w:p>
        </w:tc>
        <w:tc>
          <w:tcPr>
            <w:tcW w:w="69" w:type="pct"/>
            <w:tcBorders>
              <w:top w:val="single" w:sz="4" w:space="0" w:color="BFBFBF" w:themeColor="background1" w:themeShade="BF"/>
            </w:tcBorders>
            <w:vAlign w:val="bottom"/>
          </w:tcPr>
          <w:p w14:paraId="745E108B" w14:textId="77777777" w:rsidR="00C4527C" w:rsidRPr="000638BE" w:rsidRDefault="00C4527C" w:rsidP="00C4527C">
            <w:pPr>
              <w:pStyle w:val="TableFigures"/>
              <w:rPr>
                <w:b/>
              </w:rPr>
            </w:pPr>
          </w:p>
        </w:tc>
        <w:tc>
          <w:tcPr>
            <w:tcW w:w="416" w:type="pct"/>
            <w:tcBorders>
              <w:top w:val="single" w:sz="4" w:space="0" w:color="BFBFBF" w:themeColor="background1" w:themeShade="BF"/>
            </w:tcBorders>
            <w:vAlign w:val="bottom"/>
          </w:tcPr>
          <w:p w14:paraId="57AD8BD2" w14:textId="77777777" w:rsidR="00C4527C" w:rsidRPr="000638BE" w:rsidRDefault="00C4527C" w:rsidP="00C4527C">
            <w:pPr>
              <w:pStyle w:val="TableFigures"/>
            </w:pPr>
          </w:p>
        </w:tc>
        <w:tc>
          <w:tcPr>
            <w:tcW w:w="416" w:type="pct"/>
            <w:tcBorders>
              <w:top w:val="single" w:sz="4" w:space="0" w:color="BFBFBF" w:themeColor="background1" w:themeShade="BF"/>
            </w:tcBorders>
            <w:vAlign w:val="bottom"/>
          </w:tcPr>
          <w:p w14:paraId="37D9E3B6" w14:textId="77777777" w:rsidR="00C4527C" w:rsidRPr="000638BE" w:rsidRDefault="00C4527C" w:rsidP="00C4527C">
            <w:pPr>
              <w:pStyle w:val="TableFigures"/>
            </w:pPr>
          </w:p>
        </w:tc>
        <w:tc>
          <w:tcPr>
            <w:tcW w:w="487" w:type="pct"/>
            <w:tcBorders>
              <w:top w:val="single" w:sz="4" w:space="0" w:color="BFBFBF" w:themeColor="background1" w:themeShade="BF"/>
            </w:tcBorders>
            <w:vAlign w:val="bottom"/>
          </w:tcPr>
          <w:p w14:paraId="3D019096" w14:textId="0695FB0D" w:rsidR="00C4527C" w:rsidRPr="000638BE" w:rsidRDefault="000638BE" w:rsidP="00C4527C">
            <w:pPr>
              <w:pStyle w:val="TableFigures"/>
            </w:pPr>
            <w:r w:rsidRPr="000638BE">
              <w:t>1,154.5</w:t>
            </w:r>
          </w:p>
        </w:tc>
      </w:tr>
      <w:tr w:rsidR="000638BE" w:rsidRPr="000638BE" w14:paraId="716833CC" w14:textId="77777777" w:rsidTr="000638BE">
        <w:trPr>
          <w:trHeight w:val="227"/>
        </w:trPr>
        <w:tc>
          <w:tcPr>
            <w:tcW w:w="2014" w:type="pct"/>
            <w:tcBorders>
              <w:bottom w:val="single" w:sz="8" w:space="0" w:color="808080" w:themeColor="background1" w:themeShade="80"/>
            </w:tcBorders>
            <w:shd w:val="clear" w:color="auto" w:fill="auto"/>
            <w:vAlign w:val="bottom"/>
          </w:tcPr>
          <w:p w14:paraId="34F0CB88" w14:textId="631664F3" w:rsidR="00C4527C" w:rsidRPr="000638BE" w:rsidRDefault="00C4527C" w:rsidP="00C4527C">
            <w:pPr>
              <w:pStyle w:val="TabletextBold"/>
              <w:rPr>
                <w:b w:val="0"/>
                <w:szCs w:val="20"/>
              </w:rPr>
            </w:pPr>
            <w:r w:rsidRPr="000638BE">
              <w:rPr>
                <w:szCs w:val="20"/>
              </w:rPr>
              <w:t>Adjusted/EPRA EPS, pence per share – diluted</w:t>
            </w:r>
          </w:p>
        </w:tc>
        <w:tc>
          <w:tcPr>
            <w:tcW w:w="348" w:type="pct"/>
            <w:tcBorders>
              <w:bottom w:val="single" w:sz="8" w:space="0" w:color="808080" w:themeColor="background1" w:themeShade="80"/>
            </w:tcBorders>
            <w:shd w:val="clear" w:color="auto" w:fill="auto"/>
            <w:vAlign w:val="bottom"/>
          </w:tcPr>
          <w:p w14:paraId="14BCF528" w14:textId="77777777" w:rsidR="00C4527C" w:rsidRPr="00B64915" w:rsidRDefault="00C4527C" w:rsidP="00C4527C">
            <w:pPr>
              <w:pStyle w:val="TableFiguresBracketsBold"/>
              <w:rPr>
                <w:b w:val="0"/>
              </w:rPr>
            </w:pPr>
          </w:p>
        </w:tc>
        <w:tc>
          <w:tcPr>
            <w:tcW w:w="486" w:type="pct"/>
            <w:tcBorders>
              <w:bottom w:val="single" w:sz="8" w:space="0" w:color="808080" w:themeColor="background1" w:themeShade="80"/>
            </w:tcBorders>
            <w:shd w:val="clear" w:color="auto" w:fill="auto"/>
            <w:vAlign w:val="bottom"/>
          </w:tcPr>
          <w:p w14:paraId="3015AAFE" w14:textId="77777777" w:rsidR="00C4527C" w:rsidRPr="000638BE" w:rsidRDefault="00C4527C" w:rsidP="00C4527C">
            <w:pPr>
              <w:pStyle w:val="TableFiguresBold0"/>
            </w:pPr>
          </w:p>
        </w:tc>
        <w:tc>
          <w:tcPr>
            <w:tcW w:w="347" w:type="pct"/>
            <w:tcBorders>
              <w:bottom w:val="single" w:sz="8" w:space="0" w:color="808080" w:themeColor="background1" w:themeShade="80"/>
            </w:tcBorders>
            <w:shd w:val="clear" w:color="auto" w:fill="auto"/>
            <w:vAlign w:val="bottom"/>
          </w:tcPr>
          <w:p w14:paraId="4A4D933C" w14:textId="77777777" w:rsidR="00C4527C" w:rsidRPr="000638BE" w:rsidRDefault="00C4527C" w:rsidP="00C4527C">
            <w:pPr>
              <w:pStyle w:val="TableFiguresBold0"/>
            </w:pPr>
          </w:p>
        </w:tc>
        <w:tc>
          <w:tcPr>
            <w:tcW w:w="417" w:type="pct"/>
            <w:tcBorders>
              <w:bottom w:val="single" w:sz="8" w:space="0" w:color="808080" w:themeColor="background1" w:themeShade="80"/>
            </w:tcBorders>
            <w:vAlign w:val="bottom"/>
          </w:tcPr>
          <w:p w14:paraId="1D165125" w14:textId="4ACA331A" w:rsidR="00C4527C" w:rsidRPr="000638BE" w:rsidRDefault="000638BE" w:rsidP="00C4527C">
            <w:pPr>
              <w:pStyle w:val="TableFiguresBold0"/>
            </w:pPr>
            <w:r w:rsidRPr="000638BE">
              <w:t>29.0</w:t>
            </w:r>
          </w:p>
        </w:tc>
        <w:tc>
          <w:tcPr>
            <w:tcW w:w="69" w:type="pct"/>
            <w:tcBorders>
              <w:bottom w:val="single" w:sz="8" w:space="0" w:color="808080" w:themeColor="background1" w:themeShade="80"/>
            </w:tcBorders>
            <w:vAlign w:val="bottom"/>
          </w:tcPr>
          <w:p w14:paraId="7C33C4F1" w14:textId="77777777" w:rsidR="00C4527C" w:rsidRPr="000638BE" w:rsidRDefault="00C4527C" w:rsidP="00C4527C">
            <w:pPr>
              <w:pStyle w:val="TableFigures"/>
              <w:rPr>
                <w:b/>
              </w:rPr>
            </w:pPr>
          </w:p>
        </w:tc>
        <w:tc>
          <w:tcPr>
            <w:tcW w:w="416" w:type="pct"/>
            <w:tcBorders>
              <w:bottom w:val="single" w:sz="8" w:space="0" w:color="808080" w:themeColor="background1" w:themeShade="80"/>
            </w:tcBorders>
            <w:vAlign w:val="bottom"/>
          </w:tcPr>
          <w:p w14:paraId="69173CD9" w14:textId="77777777" w:rsidR="00C4527C" w:rsidRPr="000638BE" w:rsidRDefault="00C4527C" w:rsidP="00C4527C">
            <w:pPr>
              <w:pStyle w:val="TableFigures"/>
            </w:pPr>
          </w:p>
        </w:tc>
        <w:tc>
          <w:tcPr>
            <w:tcW w:w="416" w:type="pct"/>
            <w:tcBorders>
              <w:bottom w:val="single" w:sz="8" w:space="0" w:color="808080" w:themeColor="background1" w:themeShade="80"/>
            </w:tcBorders>
            <w:vAlign w:val="bottom"/>
          </w:tcPr>
          <w:p w14:paraId="3B862EDE" w14:textId="77777777" w:rsidR="00C4527C" w:rsidRPr="000638BE" w:rsidRDefault="00C4527C" w:rsidP="00C4527C">
            <w:pPr>
              <w:pStyle w:val="TableFigures"/>
            </w:pPr>
          </w:p>
        </w:tc>
        <w:tc>
          <w:tcPr>
            <w:tcW w:w="487" w:type="pct"/>
            <w:tcBorders>
              <w:bottom w:val="single" w:sz="8" w:space="0" w:color="808080" w:themeColor="background1" w:themeShade="80"/>
            </w:tcBorders>
            <w:vAlign w:val="bottom"/>
          </w:tcPr>
          <w:p w14:paraId="25C0D2EA" w14:textId="674379B9" w:rsidR="00C4527C" w:rsidRPr="000638BE" w:rsidRDefault="000638BE" w:rsidP="00C4527C">
            <w:pPr>
              <w:pStyle w:val="TableFigures"/>
            </w:pPr>
            <w:r w:rsidRPr="000638BE">
              <w:t>25.3</w:t>
            </w:r>
          </w:p>
        </w:tc>
      </w:tr>
    </w:tbl>
    <w:p w14:paraId="5B10C5FE" w14:textId="77777777" w:rsidR="005E793C" w:rsidRPr="000638BE" w:rsidRDefault="005E793C" w:rsidP="005E793C">
      <w:pPr>
        <w:pStyle w:val="FootnotesNoSpace"/>
        <w:rPr>
          <w:i w:val="0"/>
        </w:rPr>
      </w:pPr>
    </w:p>
    <w:p w14:paraId="69C7E39B" w14:textId="45A6EC0F" w:rsidR="005E793C" w:rsidRPr="000638BE" w:rsidRDefault="005E793C" w:rsidP="00B8294D">
      <w:pPr>
        <w:pStyle w:val="FootnotesNoSpace"/>
        <w:rPr>
          <w:highlight w:val="yellow"/>
        </w:rPr>
      </w:pPr>
      <w:r w:rsidRPr="000638BE">
        <w:rPr>
          <w:i w:val="0"/>
        </w:rPr>
        <w:t xml:space="preserve">1 </w:t>
      </w:r>
      <w:r w:rsidR="00B8294D" w:rsidRPr="000638BE">
        <w:t xml:space="preserve">Joint venture fee income includes the cost of such fees borne by the joint ventures which are shown </w:t>
      </w:r>
      <w:r w:rsidR="00B8294D" w:rsidRPr="00D7207E">
        <w:t xml:space="preserve">in </w:t>
      </w:r>
      <w:r w:rsidR="00B8294D" w:rsidRPr="00B64915">
        <w:t xml:space="preserve">Note </w:t>
      </w:r>
      <w:r w:rsidR="008D2C8F" w:rsidRPr="00B64915">
        <w:t>6</w:t>
      </w:r>
      <w:r w:rsidR="00B8294D" w:rsidRPr="00D7207E">
        <w:t xml:space="preserve"> within</w:t>
      </w:r>
      <w:r w:rsidR="00B8294D" w:rsidRPr="000638BE">
        <w:t xml:space="preserve"> net rental income.</w:t>
      </w:r>
    </w:p>
    <w:p w14:paraId="5A522CD7" w14:textId="77777777" w:rsidR="00187473" w:rsidRPr="000638BE" w:rsidRDefault="00187473" w:rsidP="002A206B">
      <w:pPr>
        <w:pStyle w:val="Normal1"/>
        <w:spacing w:after="0" w:line="240" w:lineRule="auto"/>
        <w:rPr>
          <w:sz w:val="18"/>
          <w:szCs w:val="18"/>
        </w:rPr>
      </w:pPr>
    </w:p>
    <w:p w14:paraId="3747F8BB" w14:textId="2A13F2B1" w:rsidR="006D102B" w:rsidRPr="000638BE" w:rsidRDefault="00187473" w:rsidP="00187473">
      <w:pPr>
        <w:pStyle w:val="Normal1"/>
      </w:pPr>
      <w:r w:rsidRPr="000638BE">
        <w:t xml:space="preserve">As discussed </w:t>
      </w:r>
      <w:r w:rsidRPr="00D7207E">
        <w:t xml:space="preserve">in </w:t>
      </w:r>
      <w:r w:rsidRPr="00B64915">
        <w:t>Note 2 there</w:t>
      </w:r>
      <w:r w:rsidRPr="00D7207E">
        <w:t xml:space="preserve"> were</w:t>
      </w:r>
      <w:r w:rsidRPr="000638BE">
        <w:t xml:space="preserve"> no non-EPRA adjustments to underlying profit made in the current or prior period, therefore Adjusted earnings is equal to EPRA earnings in the table above.</w:t>
      </w:r>
    </w:p>
    <w:p w14:paraId="6D6F91E6" w14:textId="70D1AF88" w:rsidR="005E793C" w:rsidRPr="000638BE" w:rsidRDefault="005E793C" w:rsidP="000638BE">
      <w:pPr>
        <w:pStyle w:val="Heading2"/>
        <w:ind w:left="-142"/>
        <w:rPr>
          <w:sz w:val="20"/>
        </w:rPr>
      </w:pPr>
      <w:r w:rsidRPr="000638BE">
        <w:rPr>
          <w:sz w:val="20"/>
        </w:rPr>
        <w:t>TABLE 3: BALANCE SHEET, PROPORTIONAL CONSOLIDATION</w:t>
      </w:r>
    </w:p>
    <w:tbl>
      <w:tblPr>
        <w:tblW w:w="4876" w:type="pct"/>
        <w:tblInd w:w="-142" w:type="dxa"/>
        <w:tblLayout w:type="fixed"/>
        <w:tblCellMar>
          <w:left w:w="0" w:type="dxa"/>
          <w:right w:w="0" w:type="dxa"/>
        </w:tblCellMar>
        <w:tblLook w:val="01E0" w:firstRow="1" w:lastRow="1" w:firstColumn="1" w:lastColumn="1" w:noHBand="0" w:noVBand="0"/>
      </w:tblPr>
      <w:tblGrid>
        <w:gridCol w:w="3261"/>
        <w:gridCol w:w="710"/>
        <w:gridCol w:w="143"/>
        <w:gridCol w:w="851"/>
        <w:gridCol w:w="992"/>
        <w:gridCol w:w="992"/>
        <w:gridCol w:w="143"/>
        <w:gridCol w:w="992"/>
        <w:gridCol w:w="992"/>
        <w:gridCol w:w="1131"/>
      </w:tblGrid>
      <w:tr w:rsidR="005F6D8A" w:rsidRPr="0082319A" w14:paraId="6196F572" w14:textId="77777777" w:rsidTr="00735AFD">
        <w:trPr>
          <w:trHeight w:val="249"/>
        </w:trPr>
        <w:tc>
          <w:tcPr>
            <w:tcW w:w="1597" w:type="pct"/>
            <w:shd w:val="clear" w:color="auto" w:fill="auto"/>
            <w:vAlign w:val="bottom"/>
          </w:tcPr>
          <w:p w14:paraId="6C3D0D3A" w14:textId="77777777" w:rsidR="00A644DD" w:rsidRPr="0082319A" w:rsidRDefault="00A644DD" w:rsidP="00E30618">
            <w:pPr>
              <w:pStyle w:val="TabletextBold"/>
            </w:pPr>
          </w:p>
        </w:tc>
        <w:tc>
          <w:tcPr>
            <w:tcW w:w="348" w:type="pct"/>
            <w:shd w:val="clear" w:color="auto" w:fill="auto"/>
            <w:vAlign w:val="bottom"/>
          </w:tcPr>
          <w:p w14:paraId="7D3160D4" w14:textId="77777777" w:rsidR="00A644DD" w:rsidRPr="0082319A" w:rsidRDefault="00A644DD" w:rsidP="00E30618">
            <w:pPr>
              <w:pStyle w:val="TableColHeadsBold0"/>
              <w:rPr>
                <w:highlight w:val="yellow"/>
              </w:rPr>
            </w:pPr>
          </w:p>
        </w:tc>
        <w:tc>
          <w:tcPr>
            <w:tcW w:w="70" w:type="pct"/>
          </w:tcPr>
          <w:p w14:paraId="6A5CA178" w14:textId="77777777" w:rsidR="00A644DD" w:rsidRPr="0082319A" w:rsidRDefault="00A644DD" w:rsidP="00E30618">
            <w:pPr>
              <w:pStyle w:val="TableColHeads"/>
              <w:jc w:val="center"/>
            </w:pPr>
          </w:p>
        </w:tc>
        <w:tc>
          <w:tcPr>
            <w:tcW w:w="1389" w:type="pct"/>
            <w:gridSpan w:val="3"/>
            <w:tcBorders>
              <w:bottom w:val="single" w:sz="4" w:space="0" w:color="A6A6A6" w:themeColor="background1" w:themeShade="A6"/>
            </w:tcBorders>
            <w:shd w:val="clear" w:color="auto" w:fill="auto"/>
            <w:vAlign w:val="bottom"/>
          </w:tcPr>
          <w:p w14:paraId="7EAB6D8E" w14:textId="35DE3FF1" w:rsidR="00A644DD" w:rsidRPr="0082319A" w:rsidRDefault="000638BE" w:rsidP="00E30618">
            <w:pPr>
              <w:pStyle w:val="Tabletext"/>
              <w:jc w:val="center"/>
              <w:rPr>
                <w:b/>
                <w:bCs/>
              </w:rPr>
            </w:pPr>
            <w:r w:rsidRPr="0082319A">
              <w:rPr>
                <w:b/>
                <w:bCs/>
              </w:rPr>
              <w:t>2021</w:t>
            </w:r>
          </w:p>
        </w:tc>
        <w:tc>
          <w:tcPr>
            <w:tcW w:w="70" w:type="pct"/>
          </w:tcPr>
          <w:p w14:paraId="376AAF84" w14:textId="596C8F04" w:rsidR="00A644DD" w:rsidRPr="0082319A" w:rsidRDefault="00A644DD" w:rsidP="00E30618">
            <w:pPr>
              <w:pStyle w:val="Tabletext"/>
              <w:jc w:val="center"/>
            </w:pPr>
          </w:p>
        </w:tc>
        <w:tc>
          <w:tcPr>
            <w:tcW w:w="1526" w:type="pct"/>
            <w:gridSpan w:val="3"/>
            <w:tcBorders>
              <w:bottom w:val="single" w:sz="4" w:space="0" w:color="A6A6A6" w:themeColor="background1" w:themeShade="A6"/>
            </w:tcBorders>
          </w:tcPr>
          <w:p w14:paraId="1196CF2F" w14:textId="4DB870E2" w:rsidR="00A644DD" w:rsidRPr="0082319A" w:rsidRDefault="000638BE" w:rsidP="00E30618">
            <w:pPr>
              <w:pStyle w:val="Tabletext"/>
              <w:jc w:val="center"/>
            </w:pPr>
            <w:r w:rsidRPr="0082319A">
              <w:rPr>
                <w:rStyle w:val="TableColHeadsBoldChar"/>
              </w:rPr>
              <w:t>2020</w:t>
            </w:r>
          </w:p>
        </w:tc>
      </w:tr>
      <w:tr w:rsidR="005F6D8A" w:rsidRPr="0082319A" w14:paraId="69FD2741" w14:textId="77777777" w:rsidTr="00735AFD">
        <w:trPr>
          <w:trHeight w:val="488"/>
        </w:trPr>
        <w:tc>
          <w:tcPr>
            <w:tcW w:w="1597" w:type="pct"/>
            <w:tcBorders>
              <w:bottom w:val="single" w:sz="8" w:space="0" w:color="808080" w:themeColor="background1" w:themeShade="80"/>
            </w:tcBorders>
            <w:shd w:val="clear" w:color="auto" w:fill="auto"/>
            <w:vAlign w:val="bottom"/>
          </w:tcPr>
          <w:p w14:paraId="7752F92B" w14:textId="77777777" w:rsidR="005E793C" w:rsidRPr="0082319A" w:rsidRDefault="005E793C" w:rsidP="00E30618">
            <w:pPr>
              <w:pStyle w:val="TabletextBold"/>
            </w:pPr>
          </w:p>
        </w:tc>
        <w:tc>
          <w:tcPr>
            <w:tcW w:w="348" w:type="pct"/>
            <w:tcBorders>
              <w:bottom w:val="single" w:sz="8" w:space="0" w:color="808080" w:themeColor="background1" w:themeShade="80"/>
            </w:tcBorders>
            <w:shd w:val="clear" w:color="auto" w:fill="auto"/>
            <w:vAlign w:val="bottom"/>
          </w:tcPr>
          <w:p w14:paraId="452DCFE5" w14:textId="77777777" w:rsidR="005E793C" w:rsidRPr="00B64915" w:rsidRDefault="005E793C" w:rsidP="00E30618">
            <w:pPr>
              <w:pStyle w:val="TableFiguresBracketsBold"/>
              <w:rPr>
                <w:b w:val="0"/>
              </w:rPr>
            </w:pPr>
            <w:r w:rsidRPr="00B64915">
              <w:rPr>
                <w:b w:val="0"/>
              </w:rPr>
              <w:t>Notes</w:t>
            </w:r>
          </w:p>
        </w:tc>
        <w:tc>
          <w:tcPr>
            <w:tcW w:w="70" w:type="pct"/>
            <w:tcBorders>
              <w:bottom w:val="single" w:sz="8" w:space="0" w:color="808080" w:themeColor="background1" w:themeShade="80"/>
            </w:tcBorders>
          </w:tcPr>
          <w:p w14:paraId="098D65FA" w14:textId="77777777" w:rsidR="005E793C" w:rsidRPr="0082319A" w:rsidRDefault="005E793C" w:rsidP="00E30618">
            <w:pPr>
              <w:pStyle w:val="TableColHeadsBold0"/>
            </w:pPr>
          </w:p>
        </w:tc>
        <w:tc>
          <w:tcPr>
            <w:tcW w:w="417" w:type="pct"/>
            <w:tcBorders>
              <w:top w:val="single" w:sz="4" w:space="0" w:color="A6A6A6" w:themeColor="background1" w:themeShade="A6"/>
              <w:bottom w:val="single" w:sz="8" w:space="0" w:color="808080" w:themeColor="background1" w:themeShade="80"/>
            </w:tcBorders>
            <w:shd w:val="clear" w:color="auto" w:fill="auto"/>
            <w:vAlign w:val="bottom"/>
          </w:tcPr>
          <w:p w14:paraId="108DDCDF" w14:textId="77777777" w:rsidR="005E793C" w:rsidRPr="0082319A" w:rsidRDefault="005E793C" w:rsidP="00E30618">
            <w:pPr>
              <w:pStyle w:val="TableColHeadsBold0"/>
            </w:pPr>
            <w:r w:rsidRPr="0082319A">
              <w:t xml:space="preserve">Group </w:t>
            </w:r>
          </w:p>
          <w:p w14:paraId="2D5F2191" w14:textId="77777777" w:rsidR="005E793C" w:rsidRPr="0082319A" w:rsidRDefault="005E793C" w:rsidP="00E30618">
            <w:pPr>
              <w:pStyle w:val="TableColHeadsBold0"/>
            </w:pPr>
            <w:r w:rsidRPr="0082319A">
              <w:t>£m</w:t>
            </w:r>
          </w:p>
        </w:tc>
        <w:tc>
          <w:tcPr>
            <w:tcW w:w="486" w:type="pct"/>
            <w:tcBorders>
              <w:top w:val="single" w:sz="4" w:space="0" w:color="A6A6A6" w:themeColor="background1" w:themeShade="A6"/>
              <w:bottom w:val="single" w:sz="8" w:space="0" w:color="808080" w:themeColor="background1" w:themeShade="80"/>
            </w:tcBorders>
            <w:vAlign w:val="bottom"/>
          </w:tcPr>
          <w:p w14:paraId="35978740" w14:textId="77777777" w:rsidR="005E793C" w:rsidRPr="0082319A" w:rsidRDefault="005E793C" w:rsidP="00E30618">
            <w:pPr>
              <w:pStyle w:val="TableColHeadsBold0"/>
            </w:pPr>
            <w:r w:rsidRPr="0082319A">
              <w:t xml:space="preserve">JV </w:t>
            </w:r>
          </w:p>
          <w:p w14:paraId="112C7859" w14:textId="77777777" w:rsidR="005E793C" w:rsidRPr="0082319A" w:rsidRDefault="005E793C" w:rsidP="00E30618">
            <w:pPr>
              <w:pStyle w:val="TableColHeadsBold0"/>
            </w:pPr>
            <w:r w:rsidRPr="0082319A">
              <w:t>£m</w:t>
            </w:r>
          </w:p>
        </w:tc>
        <w:tc>
          <w:tcPr>
            <w:tcW w:w="486" w:type="pct"/>
            <w:tcBorders>
              <w:top w:val="single" w:sz="4" w:space="0" w:color="A6A6A6" w:themeColor="background1" w:themeShade="A6"/>
              <w:bottom w:val="single" w:sz="8" w:space="0" w:color="808080" w:themeColor="background1" w:themeShade="80"/>
            </w:tcBorders>
            <w:vAlign w:val="bottom"/>
          </w:tcPr>
          <w:p w14:paraId="7211967E" w14:textId="77777777" w:rsidR="005E793C" w:rsidRPr="0082319A" w:rsidRDefault="005E793C" w:rsidP="00E30618">
            <w:pPr>
              <w:pStyle w:val="TableColHeadsBold0"/>
            </w:pPr>
            <w:r w:rsidRPr="0082319A">
              <w:t xml:space="preserve">Total </w:t>
            </w:r>
          </w:p>
          <w:p w14:paraId="27C74767" w14:textId="77777777" w:rsidR="005E793C" w:rsidRPr="0082319A" w:rsidRDefault="005E793C" w:rsidP="00E30618">
            <w:pPr>
              <w:pStyle w:val="TableColHeadsBold0"/>
            </w:pPr>
            <w:r w:rsidRPr="0082319A">
              <w:t>£m</w:t>
            </w:r>
          </w:p>
        </w:tc>
        <w:tc>
          <w:tcPr>
            <w:tcW w:w="70" w:type="pct"/>
          </w:tcPr>
          <w:p w14:paraId="230AF5FD" w14:textId="77777777" w:rsidR="005E793C" w:rsidRPr="0082319A" w:rsidRDefault="005E793C" w:rsidP="00E30618">
            <w:pPr>
              <w:pStyle w:val="TableColHeadsBold0"/>
            </w:pPr>
          </w:p>
        </w:tc>
        <w:tc>
          <w:tcPr>
            <w:tcW w:w="486" w:type="pct"/>
            <w:tcBorders>
              <w:top w:val="single" w:sz="4" w:space="0" w:color="A6A6A6" w:themeColor="background1" w:themeShade="A6"/>
              <w:bottom w:val="single" w:sz="8" w:space="0" w:color="808080" w:themeColor="background1" w:themeShade="80"/>
            </w:tcBorders>
            <w:vAlign w:val="bottom"/>
          </w:tcPr>
          <w:p w14:paraId="768BADE5" w14:textId="77777777" w:rsidR="005E793C" w:rsidRPr="0082319A" w:rsidRDefault="005E793C" w:rsidP="00E30618">
            <w:pPr>
              <w:pStyle w:val="TableColHeadsBold0"/>
              <w:rPr>
                <w:b w:val="0"/>
              </w:rPr>
            </w:pPr>
            <w:r w:rsidRPr="0082319A">
              <w:rPr>
                <w:b w:val="0"/>
              </w:rPr>
              <w:t xml:space="preserve">Group </w:t>
            </w:r>
          </w:p>
          <w:p w14:paraId="679B12DD" w14:textId="77777777" w:rsidR="005E793C" w:rsidRPr="0082319A" w:rsidRDefault="005E793C" w:rsidP="00E30618">
            <w:pPr>
              <w:pStyle w:val="TableColHeadsBold0"/>
              <w:rPr>
                <w:b w:val="0"/>
              </w:rPr>
            </w:pPr>
            <w:r w:rsidRPr="0082319A">
              <w:rPr>
                <w:b w:val="0"/>
              </w:rPr>
              <w:t>£m</w:t>
            </w:r>
          </w:p>
        </w:tc>
        <w:tc>
          <w:tcPr>
            <w:tcW w:w="486" w:type="pct"/>
            <w:tcBorders>
              <w:top w:val="single" w:sz="4" w:space="0" w:color="A6A6A6" w:themeColor="background1" w:themeShade="A6"/>
              <w:bottom w:val="single" w:sz="8" w:space="0" w:color="808080" w:themeColor="background1" w:themeShade="80"/>
            </w:tcBorders>
            <w:vAlign w:val="bottom"/>
          </w:tcPr>
          <w:p w14:paraId="432F9F0C" w14:textId="77777777" w:rsidR="005E793C" w:rsidRPr="0082319A" w:rsidRDefault="005E793C" w:rsidP="00E30618">
            <w:pPr>
              <w:pStyle w:val="TableColHeadsBold0"/>
              <w:rPr>
                <w:b w:val="0"/>
              </w:rPr>
            </w:pPr>
            <w:r w:rsidRPr="0082319A">
              <w:rPr>
                <w:b w:val="0"/>
              </w:rPr>
              <w:t xml:space="preserve">JV </w:t>
            </w:r>
          </w:p>
          <w:p w14:paraId="14F56561" w14:textId="77777777" w:rsidR="005E793C" w:rsidRPr="0082319A" w:rsidRDefault="005E793C" w:rsidP="00E30618">
            <w:pPr>
              <w:pStyle w:val="TableColHeadsBold0"/>
              <w:rPr>
                <w:b w:val="0"/>
              </w:rPr>
            </w:pPr>
            <w:r w:rsidRPr="0082319A">
              <w:rPr>
                <w:b w:val="0"/>
              </w:rPr>
              <w:t>£m</w:t>
            </w:r>
          </w:p>
        </w:tc>
        <w:tc>
          <w:tcPr>
            <w:tcW w:w="554" w:type="pct"/>
            <w:tcBorders>
              <w:top w:val="single" w:sz="4" w:space="0" w:color="A6A6A6" w:themeColor="background1" w:themeShade="A6"/>
              <w:bottom w:val="single" w:sz="8" w:space="0" w:color="808080" w:themeColor="background1" w:themeShade="80"/>
            </w:tcBorders>
            <w:vAlign w:val="bottom"/>
          </w:tcPr>
          <w:p w14:paraId="253F01CC" w14:textId="77777777" w:rsidR="005E793C" w:rsidRPr="0082319A" w:rsidRDefault="005E793C" w:rsidP="00E30618">
            <w:pPr>
              <w:pStyle w:val="TableColHeadsBold0"/>
              <w:rPr>
                <w:b w:val="0"/>
              </w:rPr>
            </w:pPr>
            <w:r w:rsidRPr="0082319A">
              <w:rPr>
                <w:b w:val="0"/>
              </w:rPr>
              <w:t xml:space="preserve">Total </w:t>
            </w:r>
          </w:p>
          <w:p w14:paraId="7D34B47D" w14:textId="77777777" w:rsidR="005E793C" w:rsidRPr="0082319A" w:rsidRDefault="005E793C" w:rsidP="00E30618">
            <w:pPr>
              <w:pStyle w:val="TableColHeadsBold0"/>
              <w:rPr>
                <w:b w:val="0"/>
              </w:rPr>
            </w:pPr>
            <w:r w:rsidRPr="0082319A">
              <w:rPr>
                <w:b w:val="0"/>
              </w:rPr>
              <w:t>£m</w:t>
            </w:r>
          </w:p>
        </w:tc>
      </w:tr>
      <w:tr w:rsidR="005F6D8A" w:rsidRPr="0082319A" w14:paraId="55A14F31" w14:textId="77777777" w:rsidTr="00735AFD">
        <w:trPr>
          <w:trHeight w:val="226"/>
        </w:trPr>
        <w:tc>
          <w:tcPr>
            <w:tcW w:w="1597" w:type="pct"/>
            <w:tcBorders>
              <w:top w:val="single" w:sz="8" w:space="0" w:color="808080" w:themeColor="background1" w:themeShade="80"/>
            </w:tcBorders>
            <w:vAlign w:val="bottom"/>
          </w:tcPr>
          <w:p w14:paraId="2FD7CE98" w14:textId="77777777" w:rsidR="006D102B" w:rsidRPr="0082319A" w:rsidRDefault="006D102B" w:rsidP="006D102B">
            <w:pPr>
              <w:pStyle w:val="Tabletext"/>
              <w:rPr>
                <w:szCs w:val="20"/>
              </w:rPr>
            </w:pPr>
            <w:r w:rsidRPr="0082319A">
              <w:rPr>
                <w:szCs w:val="20"/>
              </w:rPr>
              <w:t>Investment properties</w:t>
            </w:r>
          </w:p>
        </w:tc>
        <w:tc>
          <w:tcPr>
            <w:tcW w:w="348" w:type="pct"/>
            <w:tcBorders>
              <w:top w:val="single" w:sz="8" w:space="0" w:color="808080" w:themeColor="background1" w:themeShade="80"/>
            </w:tcBorders>
            <w:shd w:val="clear" w:color="auto" w:fill="auto"/>
            <w:vAlign w:val="bottom"/>
          </w:tcPr>
          <w:p w14:paraId="051D58DE" w14:textId="2FBAC422" w:rsidR="006D102B" w:rsidRPr="00B64915" w:rsidRDefault="006D102B" w:rsidP="006D102B">
            <w:pPr>
              <w:pStyle w:val="TableFigures"/>
            </w:pPr>
            <w:r w:rsidRPr="00B64915">
              <w:t>12,6</w:t>
            </w:r>
          </w:p>
        </w:tc>
        <w:tc>
          <w:tcPr>
            <w:tcW w:w="70" w:type="pct"/>
            <w:tcBorders>
              <w:top w:val="single" w:sz="8" w:space="0" w:color="808080" w:themeColor="background1" w:themeShade="80"/>
            </w:tcBorders>
            <w:vAlign w:val="bottom"/>
          </w:tcPr>
          <w:p w14:paraId="51E6E03D" w14:textId="77777777" w:rsidR="006D102B" w:rsidRPr="0082319A" w:rsidRDefault="006D102B" w:rsidP="006D102B">
            <w:pPr>
              <w:pStyle w:val="TableFiguresBracketsBold"/>
              <w:rPr>
                <w:b w:val="0"/>
              </w:rPr>
            </w:pPr>
          </w:p>
        </w:tc>
        <w:tc>
          <w:tcPr>
            <w:tcW w:w="417" w:type="pct"/>
            <w:tcBorders>
              <w:top w:val="single" w:sz="8" w:space="0" w:color="808080" w:themeColor="background1" w:themeShade="80"/>
            </w:tcBorders>
            <w:shd w:val="clear" w:color="auto" w:fill="auto"/>
          </w:tcPr>
          <w:p w14:paraId="213568B7" w14:textId="09718796" w:rsidR="006D102B" w:rsidRPr="00FD1A13" w:rsidRDefault="000638BE">
            <w:pPr>
              <w:pStyle w:val="TableFiguresBold0"/>
            </w:pPr>
            <w:r w:rsidRPr="00FD1A13">
              <w:t>15,492</w:t>
            </w:r>
          </w:p>
        </w:tc>
        <w:tc>
          <w:tcPr>
            <w:tcW w:w="486" w:type="pct"/>
            <w:tcBorders>
              <w:top w:val="single" w:sz="8" w:space="0" w:color="808080" w:themeColor="background1" w:themeShade="80"/>
            </w:tcBorders>
            <w:shd w:val="clear" w:color="auto" w:fill="auto"/>
          </w:tcPr>
          <w:p w14:paraId="18FF052E" w14:textId="4DB5BEA9" w:rsidR="006D102B" w:rsidRPr="00FD1A13" w:rsidRDefault="000638BE">
            <w:pPr>
              <w:pStyle w:val="TableFiguresBold0"/>
            </w:pPr>
            <w:r w:rsidRPr="00FD1A13">
              <w:t>2,909</w:t>
            </w:r>
          </w:p>
        </w:tc>
        <w:tc>
          <w:tcPr>
            <w:tcW w:w="486" w:type="pct"/>
            <w:tcBorders>
              <w:top w:val="single" w:sz="8" w:space="0" w:color="808080" w:themeColor="background1" w:themeShade="80"/>
            </w:tcBorders>
          </w:tcPr>
          <w:p w14:paraId="0A76813E" w14:textId="5FAB0C7B" w:rsidR="006D102B" w:rsidRPr="00FD1A13" w:rsidRDefault="000638BE">
            <w:pPr>
              <w:pStyle w:val="TableFiguresBold0"/>
            </w:pPr>
            <w:r w:rsidRPr="00FD1A13">
              <w:t>18,401</w:t>
            </w:r>
          </w:p>
        </w:tc>
        <w:tc>
          <w:tcPr>
            <w:tcW w:w="70" w:type="pct"/>
            <w:vAlign w:val="bottom"/>
          </w:tcPr>
          <w:p w14:paraId="7F48DE98" w14:textId="77777777" w:rsidR="006D102B" w:rsidRPr="0082319A" w:rsidRDefault="006D102B" w:rsidP="006D102B">
            <w:pPr>
              <w:pStyle w:val="TableFigures"/>
              <w:rPr>
                <w:b/>
              </w:rPr>
            </w:pPr>
          </w:p>
        </w:tc>
        <w:tc>
          <w:tcPr>
            <w:tcW w:w="486" w:type="pct"/>
            <w:tcBorders>
              <w:top w:val="single" w:sz="8" w:space="0" w:color="808080" w:themeColor="background1" w:themeShade="80"/>
            </w:tcBorders>
            <w:vAlign w:val="bottom"/>
          </w:tcPr>
          <w:p w14:paraId="29905A77" w14:textId="652FAE56" w:rsidR="006D102B" w:rsidRPr="00FD1A13" w:rsidRDefault="000638BE">
            <w:pPr>
              <w:pStyle w:val="TableFigures"/>
            </w:pPr>
            <w:r w:rsidRPr="00FD1A13">
              <w:t>10,671</w:t>
            </w:r>
          </w:p>
        </w:tc>
        <w:tc>
          <w:tcPr>
            <w:tcW w:w="486" w:type="pct"/>
            <w:tcBorders>
              <w:top w:val="single" w:sz="8" w:space="0" w:color="808080" w:themeColor="background1" w:themeShade="80"/>
            </w:tcBorders>
            <w:vAlign w:val="bottom"/>
          </w:tcPr>
          <w:p w14:paraId="21EB5AC7" w14:textId="58DE3DAE" w:rsidR="006D102B" w:rsidRPr="00FD1A13" w:rsidRDefault="000638BE">
            <w:pPr>
              <w:pStyle w:val="TableFigures"/>
            </w:pPr>
            <w:r w:rsidRPr="00FD1A13">
              <w:t>2,348</w:t>
            </w:r>
          </w:p>
        </w:tc>
        <w:tc>
          <w:tcPr>
            <w:tcW w:w="554" w:type="pct"/>
            <w:tcBorders>
              <w:top w:val="single" w:sz="8" w:space="0" w:color="808080" w:themeColor="background1" w:themeShade="80"/>
            </w:tcBorders>
            <w:vAlign w:val="bottom"/>
          </w:tcPr>
          <w:p w14:paraId="5D064C13" w14:textId="26C2C8B9" w:rsidR="006D102B" w:rsidRPr="00FD1A13" w:rsidRDefault="000638BE">
            <w:pPr>
              <w:pStyle w:val="TableFigures"/>
            </w:pPr>
            <w:r w:rsidRPr="00FD1A13">
              <w:t>13,019</w:t>
            </w:r>
          </w:p>
        </w:tc>
      </w:tr>
      <w:tr w:rsidR="005F6D8A" w:rsidRPr="0082319A" w14:paraId="6504D6B7" w14:textId="77777777" w:rsidTr="00735AFD">
        <w:trPr>
          <w:trHeight w:val="226"/>
        </w:trPr>
        <w:tc>
          <w:tcPr>
            <w:tcW w:w="1597" w:type="pct"/>
            <w:tcBorders>
              <w:bottom w:val="single" w:sz="4" w:space="0" w:color="808080" w:themeColor="background1" w:themeShade="80"/>
            </w:tcBorders>
            <w:vAlign w:val="bottom"/>
          </w:tcPr>
          <w:p w14:paraId="2867DFEC" w14:textId="77777777" w:rsidR="006D102B" w:rsidRPr="0082319A" w:rsidRDefault="006D102B" w:rsidP="006D102B">
            <w:pPr>
              <w:pStyle w:val="Tabletext"/>
              <w:rPr>
                <w:szCs w:val="20"/>
              </w:rPr>
            </w:pPr>
            <w:r w:rsidRPr="0082319A">
              <w:rPr>
                <w:szCs w:val="20"/>
              </w:rPr>
              <w:t>Trading properties</w:t>
            </w:r>
          </w:p>
        </w:tc>
        <w:tc>
          <w:tcPr>
            <w:tcW w:w="348" w:type="pct"/>
            <w:tcBorders>
              <w:bottom w:val="single" w:sz="4" w:space="0" w:color="808080" w:themeColor="background1" w:themeShade="80"/>
            </w:tcBorders>
            <w:shd w:val="clear" w:color="auto" w:fill="auto"/>
            <w:vAlign w:val="bottom"/>
          </w:tcPr>
          <w:p w14:paraId="34062166" w14:textId="2B03072C" w:rsidR="006D102B" w:rsidRPr="00B64915" w:rsidRDefault="006D102B" w:rsidP="006D102B">
            <w:pPr>
              <w:pStyle w:val="TableFigures"/>
            </w:pPr>
            <w:r w:rsidRPr="00B64915">
              <w:t>12,6</w:t>
            </w:r>
          </w:p>
        </w:tc>
        <w:tc>
          <w:tcPr>
            <w:tcW w:w="70" w:type="pct"/>
            <w:tcBorders>
              <w:bottom w:val="single" w:sz="4" w:space="0" w:color="808080" w:themeColor="background1" w:themeShade="80"/>
            </w:tcBorders>
            <w:vAlign w:val="bottom"/>
          </w:tcPr>
          <w:p w14:paraId="6A3C1687" w14:textId="1A019262" w:rsidR="006D102B" w:rsidRPr="0082319A" w:rsidRDefault="006D102B" w:rsidP="006D102B">
            <w:pPr>
              <w:pStyle w:val="TableFiguresBracketsBold"/>
              <w:rPr>
                <w:b w:val="0"/>
              </w:rPr>
            </w:pPr>
          </w:p>
        </w:tc>
        <w:tc>
          <w:tcPr>
            <w:tcW w:w="417" w:type="pct"/>
            <w:tcBorders>
              <w:bottom w:val="single" w:sz="4" w:space="0" w:color="808080" w:themeColor="background1" w:themeShade="80"/>
            </w:tcBorders>
            <w:shd w:val="clear" w:color="auto" w:fill="auto"/>
          </w:tcPr>
          <w:p w14:paraId="1E391608" w14:textId="0C7488CC" w:rsidR="006D102B" w:rsidRPr="00FD1A13" w:rsidRDefault="000638BE">
            <w:pPr>
              <w:pStyle w:val="TableFiguresBold0"/>
            </w:pPr>
            <w:r w:rsidRPr="00FD1A13">
              <w:t>45</w:t>
            </w:r>
          </w:p>
        </w:tc>
        <w:tc>
          <w:tcPr>
            <w:tcW w:w="486" w:type="pct"/>
            <w:tcBorders>
              <w:bottom w:val="single" w:sz="4" w:space="0" w:color="808080" w:themeColor="background1" w:themeShade="80"/>
            </w:tcBorders>
            <w:shd w:val="clear" w:color="auto" w:fill="auto"/>
          </w:tcPr>
          <w:p w14:paraId="0F0EF458" w14:textId="1BE8A2D8" w:rsidR="006D102B" w:rsidRPr="00FD1A13" w:rsidRDefault="006D102B">
            <w:pPr>
              <w:pStyle w:val="TableFiguresBold0"/>
            </w:pPr>
            <w:r w:rsidRPr="00B64915">
              <w:t>–</w:t>
            </w:r>
          </w:p>
        </w:tc>
        <w:tc>
          <w:tcPr>
            <w:tcW w:w="486" w:type="pct"/>
            <w:tcBorders>
              <w:bottom w:val="single" w:sz="4" w:space="0" w:color="808080" w:themeColor="background1" w:themeShade="80"/>
            </w:tcBorders>
          </w:tcPr>
          <w:p w14:paraId="4BC099BA" w14:textId="21147C00" w:rsidR="006D102B" w:rsidRPr="00FD1A13" w:rsidRDefault="000638BE">
            <w:pPr>
              <w:pStyle w:val="TableFiguresBold0"/>
            </w:pPr>
            <w:r w:rsidRPr="00FD1A13">
              <w:t>45</w:t>
            </w:r>
          </w:p>
        </w:tc>
        <w:tc>
          <w:tcPr>
            <w:tcW w:w="70" w:type="pct"/>
            <w:vAlign w:val="bottom"/>
          </w:tcPr>
          <w:p w14:paraId="36D65288" w14:textId="77777777" w:rsidR="006D102B" w:rsidRPr="0082319A" w:rsidRDefault="006D102B" w:rsidP="006D102B">
            <w:pPr>
              <w:pStyle w:val="TableFigures"/>
              <w:rPr>
                <w:b/>
              </w:rPr>
            </w:pPr>
          </w:p>
        </w:tc>
        <w:tc>
          <w:tcPr>
            <w:tcW w:w="486" w:type="pct"/>
            <w:tcBorders>
              <w:bottom w:val="single" w:sz="4" w:space="0" w:color="808080" w:themeColor="background1" w:themeShade="80"/>
            </w:tcBorders>
            <w:vAlign w:val="bottom"/>
          </w:tcPr>
          <w:p w14:paraId="5728FCB4" w14:textId="3A729059" w:rsidR="006D102B" w:rsidRPr="00FD1A13" w:rsidRDefault="000638BE">
            <w:pPr>
              <w:pStyle w:val="TableFigures"/>
            </w:pPr>
            <w:r w:rsidRPr="00FD1A13">
              <w:t>52</w:t>
            </w:r>
          </w:p>
        </w:tc>
        <w:tc>
          <w:tcPr>
            <w:tcW w:w="486" w:type="pct"/>
            <w:tcBorders>
              <w:bottom w:val="single" w:sz="4" w:space="0" w:color="808080" w:themeColor="background1" w:themeShade="80"/>
            </w:tcBorders>
            <w:vAlign w:val="bottom"/>
          </w:tcPr>
          <w:p w14:paraId="5A73624D" w14:textId="3E1F737C" w:rsidR="006D102B" w:rsidRPr="00FD1A13" w:rsidRDefault="000638BE">
            <w:pPr>
              <w:pStyle w:val="TableFigures"/>
            </w:pPr>
            <w:r w:rsidRPr="00FD1A13">
              <w:t>–</w:t>
            </w:r>
          </w:p>
        </w:tc>
        <w:tc>
          <w:tcPr>
            <w:tcW w:w="554" w:type="pct"/>
            <w:tcBorders>
              <w:bottom w:val="single" w:sz="4" w:space="0" w:color="808080" w:themeColor="background1" w:themeShade="80"/>
            </w:tcBorders>
            <w:vAlign w:val="bottom"/>
          </w:tcPr>
          <w:p w14:paraId="178F06CE" w14:textId="2BA6B694" w:rsidR="006D102B" w:rsidRPr="00FD1A13" w:rsidRDefault="000638BE">
            <w:pPr>
              <w:pStyle w:val="TableFigures"/>
            </w:pPr>
            <w:r w:rsidRPr="00FD1A13">
              <w:t>52</w:t>
            </w:r>
          </w:p>
        </w:tc>
      </w:tr>
      <w:tr w:rsidR="005F6D8A" w:rsidRPr="0082319A" w14:paraId="75FFBC36" w14:textId="77777777" w:rsidTr="00735AFD">
        <w:trPr>
          <w:trHeight w:val="226"/>
        </w:trPr>
        <w:tc>
          <w:tcPr>
            <w:tcW w:w="1597" w:type="pct"/>
            <w:tcBorders>
              <w:top w:val="single" w:sz="4" w:space="0" w:color="808080" w:themeColor="background1" w:themeShade="80"/>
            </w:tcBorders>
            <w:vAlign w:val="bottom"/>
          </w:tcPr>
          <w:p w14:paraId="05AE0812" w14:textId="77777777" w:rsidR="006D102B" w:rsidRPr="0082319A" w:rsidRDefault="006D102B" w:rsidP="006D102B">
            <w:pPr>
              <w:pStyle w:val="Tabletext"/>
              <w:rPr>
                <w:b/>
                <w:szCs w:val="20"/>
              </w:rPr>
            </w:pPr>
            <w:r w:rsidRPr="0082319A">
              <w:rPr>
                <w:b/>
                <w:szCs w:val="20"/>
              </w:rPr>
              <w:t>Total properties</w:t>
            </w:r>
          </w:p>
        </w:tc>
        <w:tc>
          <w:tcPr>
            <w:tcW w:w="348" w:type="pct"/>
            <w:tcBorders>
              <w:top w:val="single" w:sz="4" w:space="0" w:color="808080" w:themeColor="background1" w:themeShade="80"/>
            </w:tcBorders>
            <w:shd w:val="clear" w:color="auto" w:fill="auto"/>
            <w:vAlign w:val="bottom"/>
          </w:tcPr>
          <w:p w14:paraId="00784900" w14:textId="77777777" w:rsidR="006D102B" w:rsidRPr="00B64915" w:rsidRDefault="006D102B" w:rsidP="006D102B">
            <w:pPr>
              <w:pStyle w:val="TableFigures"/>
            </w:pPr>
          </w:p>
        </w:tc>
        <w:tc>
          <w:tcPr>
            <w:tcW w:w="70" w:type="pct"/>
            <w:tcBorders>
              <w:top w:val="single" w:sz="4" w:space="0" w:color="808080" w:themeColor="background1" w:themeShade="80"/>
            </w:tcBorders>
            <w:vAlign w:val="bottom"/>
          </w:tcPr>
          <w:p w14:paraId="219529CB" w14:textId="77777777" w:rsidR="006D102B" w:rsidRPr="0082319A" w:rsidRDefault="006D102B" w:rsidP="006D102B">
            <w:pPr>
              <w:pStyle w:val="TableFiguresBracketsBold"/>
              <w:rPr>
                <w:b w:val="0"/>
              </w:rPr>
            </w:pPr>
          </w:p>
        </w:tc>
        <w:tc>
          <w:tcPr>
            <w:tcW w:w="417" w:type="pct"/>
            <w:tcBorders>
              <w:top w:val="single" w:sz="4" w:space="0" w:color="808080" w:themeColor="background1" w:themeShade="80"/>
            </w:tcBorders>
            <w:shd w:val="clear" w:color="auto" w:fill="auto"/>
          </w:tcPr>
          <w:p w14:paraId="72710B57" w14:textId="146B79C1" w:rsidR="006D102B" w:rsidRPr="00FD1A13" w:rsidRDefault="000638BE">
            <w:pPr>
              <w:pStyle w:val="TableFiguresBold0"/>
            </w:pPr>
            <w:r w:rsidRPr="00FD1A13">
              <w:t>15,537</w:t>
            </w:r>
          </w:p>
        </w:tc>
        <w:tc>
          <w:tcPr>
            <w:tcW w:w="486" w:type="pct"/>
            <w:tcBorders>
              <w:top w:val="single" w:sz="4" w:space="0" w:color="808080" w:themeColor="background1" w:themeShade="80"/>
            </w:tcBorders>
            <w:shd w:val="clear" w:color="auto" w:fill="auto"/>
          </w:tcPr>
          <w:p w14:paraId="75CCEF97" w14:textId="309510CA" w:rsidR="006D102B" w:rsidRPr="00FD1A13" w:rsidRDefault="000638BE">
            <w:pPr>
              <w:pStyle w:val="TableFiguresBold0"/>
            </w:pPr>
            <w:r w:rsidRPr="00FD1A13">
              <w:t>2,909</w:t>
            </w:r>
          </w:p>
        </w:tc>
        <w:tc>
          <w:tcPr>
            <w:tcW w:w="486" w:type="pct"/>
            <w:tcBorders>
              <w:top w:val="single" w:sz="4" w:space="0" w:color="808080" w:themeColor="background1" w:themeShade="80"/>
            </w:tcBorders>
          </w:tcPr>
          <w:p w14:paraId="52107A80" w14:textId="7E5A2B60" w:rsidR="006D102B" w:rsidRPr="00FD1A13" w:rsidRDefault="000638BE">
            <w:pPr>
              <w:pStyle w:val="TableFiguresBold0"/>
            </w:pPr>
            <w:r w:rsidRPr="00FD1A13">
              <w:t>18,446</w:t>
            </w:r>
          </w:p>
        </w:tc>
        <w:tc>
          <w:tcPr>
            <w:tcW w:w="70" w:type="pct"/>
            <w:vAlign w:val="bottom"/>
          </w:tcPr>
          <w:p w14:paraId="5D386A13" w14:textId="77777777" w:rsidR="006D102B" w:rsidRPr="0082319A" w:rsidRDefault="006D102B" w:rsidP="006D102B">
            <w:pPr>
              <w:pStyle w:val="TableFigures"/>
              <w:rPr>
                <w:b/>
              </w:rPr>
            </w:pPr>
          </w:p>
        </w:tc>
        <w:tc>
          <w:tcPr>
            <w:tcW w:w="486" w:type="pct"/>
            <w:tcBorders>
              <w:top w:val="single" w:sz="4" w:space="0" w:color="808080" w:themeColor="background1" w:themeShade="80"/>
            </w:tcBorders>
            <w:vAlign w:val="bottom"/>
          </w:tcPr>
          <w:p w14:paraId="584A321E" w14:textId="5630A3FF" w:rsidR="006D102B" w:rsidRPr="00FD1A13" w:rsidRDefault="000638BE">
            <w:pPr>
              <w:pStyle w:val="TableFigures"/>
            </w:pPr>
            <w:r w:rsidRPr="00FD1A13">
              <w:t>10,723</w:t>
            </w:r>
          </w:p>
        </w:tc>
        <w:tc>
          <w:tcPr>
            <w:tcW w:w="486" w:type="pct"/>
            <w:tcBorders>
              <w:top w:val="single" w:sz="4" w:space="0" w:color="808080" w:themeColor="background1" w:themeShade="80"/>
            </w:tcBorders>
            <w:vAlign w:val="bottom"/>
          </w:tcPr>
          <w:p w14:paraId="31719339" w14:textId="74E0BC07" w:rsidR="006D102B" w:rsidRPr="00FD1A13" w:rsidRDefault="000638BE">
            <w:pPr>
              <w:pStyle w:val="TableFigures"/>
            </w:pPr>
            <w:r w:rsidRPr="00FD1A13">
              <w:t>2,348</w:t>
            </w:r>
          </w:p>
        </w:tc>
        <w:tc>
          <w:tcPr>
            <w:tcW w:w="554" w:type="pct"/>
            <w:tcBorders>
              <w:top w:val="single" w:sz="4" w:space="0" w:color="808080" w:themeColor="background1" w:themeShade="80"/>
            </w:tcBorders>
            <w:vAlign w:val="bottom"/>
          </w:tcPr>
          <w:p w14:paraId="6D29C1E1" w14:textId="6F90CB3D" w:rsidR="006D102B" w:rsidRPr="00FD1A13" w:rsidRDefault="000638BE">
            <w:pPr>
              <w:pStyle w:val="TableFigures"/>
            </w:pPr>
            <w:r w:rsidRPr="00FD1A13">
              <w:t>13,071</w:t>
            </w:r>
          </w:p>
        </w:tc>
      </w:tr>
      <w:tr w:rsidR="005F6D8A" w:rsidRPr="0082319A" w14:paraId="18BA68AC" w14:textId="77777777" w:rsidTr="00735AFD">
        <w:trPr>
          <w:trHeight w:val="226"/>
        </w:trPr>
        <w:tc>
          <w:tcPr>
            <w:tcW w:w="1597" w:type="pct"/>
            <w:shd w:val="clear" w:color="auto" w:fill="auto"/>
            <w:vAlign w:val="bottom"/>
          </w:tcPr>
          <w:p w14:paraId="6EE45DF9" w14:textId="77777777" w:rsidR="006D102B" w:rsidRPr="0082319A" w:rsidRDefault="006D102B" w:rsidP="006D102B">
            <w:pPr>
              <w:pStyle w:val="Tabletext"/>
              <w:rPr>
                <w:szCs w:val="20"/>
              </w:rPr>
            </w:pPr>
            <w:r w:rsidRPr="0082319A">
              <w:rPr>
                <w:szCs w:val="20"/>
              </w:rPr>
              <w:t>Investment in joint ventures</w:t>
            </w:r>
          </w:p>
        </w:tc>
        <w:tc>
          <w:tcPr>
            <w:tcW w:w="348" w:type="pct"/>
            <w:shd w:val="clear" w:color="auto" w:fill="auto"/>
            <w:vAlign w:val="bottom"/>
          </w:tcPr>
          <w:p w14:paraId="49F60B1F" w14:textId="2E36ED04" w:rsidR="006D102B" w:rsidRPr="00B64915" w:rsidRDefault="006D102B" w:rsidP="006D102B">
            <w:pPr>
              <w:pStyle w:val="TableFigures"/>
            </w:pPr>
            <w:r w:rsidRPr="00B64915">
              <w:t>6</w:t>
            </w:r>
          </w:p>
        </w:tc>
        <w:tc>
          <w:tcPr>
            <w:tcW w:w="70" w:type="pct"/>
            <w:vAlign w:val="bottom"/>
          </w:tcPr>
          <w:p w14:paraId="7F15933A" w14:textId="77777777" w:rsidR="006D102B" w:rsidRPr="0082319A" w:rsidRDefault="006D102B" w:rsidP="006D102B">
            <w:pPr>
              <w:pStyle w:val="TableFiguresBracketsBold"/>
              <w:rPr>
                <w:b w:val="0"/>
              </w:rPr>
            </w:pPr>
          </w:p>
        </w:tc>
        <w:tc>
          <w:tcPr>
            <w:tcW w:w="417" w:type="pct"/>
            <w:shd w:val="clear" w:color="auto" w:fill="auto"/>
          </w:tcPr>
          <w:p w14:paraId="79BE18A5" w14:textId="02B23878" w:rsidR="006D102B" w:rsidRPr="0082319A" w:rsidRDefault="000638BE" w:rsidP="006D102B">
            <w:pPr>
              <w:pStyle w:val="TableFiguresBold0"/>
            </w:pPr>
            <w:r w:rsidRPr="0082319A">
              <w:t>1,795</w:t>
            </w:r>
          </w:p>
        </w:tc>
        <w:tc>
          <w:tcPr>
            <w:tcW w:w="486" w:type="pct"/>
            <w:shd w:val="clear" w:color="auto" w:fill="auto"/>
          </w:tcPr>
          <w:p w14:paraId="0CC46675" w14:textId="05BC09C0" w:rsidR="006D102B" w:rsidRPr="0082319A" w:rsidRDefault="000638BE" w:rsidP="00981466">
            <w:pPr>
              <w:pStyle w:val="TableFiguresBracketsBold"/>
            </w:pPr>
            <w:r w:rsidRPr="0082319A">
              <w:t>(1,795)</w:t>
            </w:r>
          </w:p>
        </w:tc>
        <w:tc>
          <w:tcPr>
            <w:tcW w:w="486" w:type="pct"/>
          </w:tcPr>
          <w:p w14:paraId="659B5B5C" w14:textId="33418402" w:rsidR="006D102B" w:rsidRPr="00FD1A13" w:rsidRDefault="006D102B">
            <w:pPr>
              <w:pStyle w:val="TableFiguresBold0"/>
            </w:pPr>
            <w:r w:rsidRPr="00B64915">
              <w:t>–</w:t>
            </w:r>
          </w:p>
        </w:tc>
        <w:tc>
          <w:tcPr>
            <w:tcW w:w="70" w:type="pct"/>
            <w:vAlign w:val="bottom"/>
          </w:tcPr>
          <w:p w14:paraId="140CD5DB" w14:textId="77777777" w:rsidR="006D102B" w:rsidRPr="0082319A" w:rsidRDefault="006D102B" w:rsidP="006D102B">
            <w:pPr>
              <w:pStyle w:val="TableFiguresBracketsBold"/>
              <w:rPr>
                <w:b w:val="0"/>
              </w:rPr>
            </w:pPr>
          </w:p>
        </w:tc>
        <w:tc>
          <w:tcPr>
            <w:tcW w:w="486" w:type="pct"/>
            <w:vAlign w:val="bottom"/>
          </w:tcPr>
          <w:p w14:paraId="4B74E895" w14:textId="7200EDC9" w:rsidR="006D102B" w:rsidRPr="0082319A" w:rsidRDefault="000638BE" w:rsidP="006D102B">
            <w:pPr>
              <w:pStyle w:val="TableFigures"/>
            </w:pPr>
            <w:r w:rsidRPr="0082319A">
              <w:t>1,423</w:t>
            </w:r>
          </w:p>
        </w:tc>
        <w:tc>
          <w:tcPr>
            <w:tcW w:w="486" w:type="pct"/>
            <w:vAlign w:val="bottom"/>
          </w:tcPr>
          <w:p w14:paraId="5F0B748B" w14:textId="7696989D" w:rsidR="006D102B" w:rsidRPr="0082319A" w:rsidRDefault="000638BE" w:rsidP="006D102B">
            <w:pPr>
              <w:pStyle w:val="TableFiguresBrackets"/>
            </w:pPr>
            <w:r w:rsidRPr="0082319A">
              <w:t>(1,423)</w:t>
            </w:r>
          </w:p>
        </w:tc>
        <w:tc>
          <w:tcPr>
            <w:tcW w:w="554" w:type="pct"/>
            <w:vAlign w:val="bottom"/>
          </w:tcPr>
          <w:p w14:paraId="5582DF39" w14:textId="57A0B8C5" w:rsidR="006D102B" w:rsidRPr="0082319A" w:rsidRDefault="006D102B" w:rsidP="006D102B">
            <w:pPr>
              <w:pStyle w:val="TableFigures"/>
            </w:pPr>
            <w:r w:rsidRPr="0082319A">
              <w:t>–</w:t>
            </w:r>
          </w:p>
        </w:tc>
      </w:tr>
      <w:tr w:rsidR="005F6D8A" w:rsidRPr="0082319A" w14:paraId="5682C620" w14:textId="77777777" w:rsidTr="00735AFD">
        <w:trPr>
          <w:trHeight w:val="226"/>
        </w:trPr>
        <w:tc>
          <w:tcPr>
            <w:tcW w:w="1597" w:type="pct"/>
            <w:shd w:val="clear" w:color="auto" w:fill="auto"/>
            <w:vAlign w:val="bottom"/>
          </w:tcPr>
          <w:p w14:paraId="424E5597" w14:textId="77777777" w:rsidR="006D102B" w:rsidRPr="0082319A" w:rsidRDefault="006D102B" w:rsidP="006D102B">
            <w:pPr>
              <w:pStyle w:val="Tabletext"/>
              <w:rPr>
                <w:szCs w:val="20"/>
              </w:rPr>
            </w:pPr>
            <w:r w:rsidRPr="0082319A">
              <w:rPr>
                <w:szCs w:val="20"/>
              </w:rPr>
              <w:t>Other net liabilities</w:t>
            </w:r>
          </w:p>
        </w:tc>
        <w:tc>
          <w:tcPr>
            <w:tcW w:w="348" w:type="pct"/>
            <w:shd w:val="clear" w:color="auto" w:fill="auto"/>
            <w:vAlign w:val="bottom"/>
          </w:tcPr>
          <w:p w14:paraId="52366A28" w14:textId="77777777" w:rsidR="006D102B" w:rsidRPr="00B64915" w:rsidRDefault="006D102B" w:rsidP="006D102B">
            <w:pPr>
              <w:pStyle w:val="TableFigures"/>
            </w:pPr>
          </w:p>
        </w:tc>
        <w:tc>
          <w:tcPr>
            <w:tcW w:w="70" w:type="pct"/>
            <w:vAlign w:val="bottom"/>
          </w:tcPr>
          <w:p w14:paraId="0C935461" w14:textId="77777777" w:rsidR="006D102B" w:rsidRPr="0082319A" w:rsidRDefault="006D102B" w:rsidP="006D102B">
            <w:pPr>
              <w:pStyle w:val="TableFiguresBracketsBold"/>
              <w:rPr>
                <w:b w:val="0"/>
              </w:rPr>
            </w:pPr>
          </w:p>
        </w:tc>
        <w:tc>
          <w:tcPr>
            <w:tcW w:w="417" w:type="pct"/>
            <w:shd w:val="clear" w:color="auto" w:fill="auto"/>
          </w:tcPr>
          <w:p w14:paraId="0B18CA88" w14:textId="2D8175A7" w:rsidR="006D102B" w:rsidRPr="0082319A" w:rsidRDefault="000638BE" w:rsidP="00981466">
            <w:pPr>
              <w:pStyle w:val="TableFiguresBracketsBold"/>
            </w:pPr>
            <w:r w:rsidRPr="0082319A">
              <w:t>(535)</w:t>
            </w:r>
          </w:p>
        </w:tc>
        <w:tc>
          <w:tcPr>
            <w:tcW w:w="486" w:type="pct"/>
            <w:shd w:val="clear" w:color="auto" w:fill="auto"/>
          </w:tcPr>
          <w:p w14:paraId="511E8D36" w14:textId="04623E2D" w:rsidR="006D102B" w:rsidRPr="0082319A" w:rsidRDefault="000638BE" w:rsidP="00981466">
            <w:pPr>
              <w:pStyle w:val="TableFiguresBracketsBold"/>
            </w:pPr>
            <w:r w:rsidRPr="0082319A">
              <w:t>(274)</w:t>
            </w:r>
          </w:p>
        </w:tc>
        <w:tc>
          <w:tcPr>
            <w:tcW w:w="486" w:type="pct"/>
          </w:tcPr>
          <w:p w14:paraId="1C1C273D" w14:textId="489E7C9A" w:rsidR="006D102B" w:rsidRPr="0082319A" w:rsidRDefault="000638BE" w:rsidP="00981466">
            <w:pPr>
              <w:pStyle w:val="TableFiguresBracketsBold"/>
            </w:pPr>
            <w:r w:rsidRPr="0082319A">
              <w:t>(809)</w:t>
            </w:r>
          </w:p>
        </w:tc>
        <w:tc>
          <w:tcPr>
            <w:tcW w:w="70" w:type="pct"/>
            <w:vAlign w:val="bottom"/>
          </w:tcPr>
          <w:p w14:paraId="7F1A01BC" w14:textId="77777777" w:rsidR="006D102B" w:rsidRPr="0082319A" w:rsidRDefault="006D102B" w:rsidP="006D102B">
            <w:pPr>
              <w:pStyle w:val="TableFiguresBrackets"/>
              <w:rPr>
                <w:b/>
              </w:rPr>
            </w:pPr>
          </w:p>
        </w:tc>
        <w:tc>
          <w:tcPr>
            <w:tcW w:w="486" w:type="pct"/>
            <w:vAlign w:val="bottom"/>
          </w:tcPr>
          <w:p w14:paraId="23C17A71" w14:textId="79FEE039" w:rsidR="006D102B" w:rsidRPr="0082319A" w:rsidRDefault="000638BE" w:rsidP="006D102B">
            <w:pPr>
              <w:pStyle w:val="TableFiguresBrackets"/>
            </w:pPr>
            <w:r w:rsidRPr="0082319A">
              <w:t>(162)</w:t>
            </w:r>
          </w:p>
        </w:tc>
        <w:tc>
          <w:tcPr>
            <w:tcW w:w="486" w:type="pct"/>
            <w:vAlign w:val="bottom"/>
          </w:tcPr>
          <w:p w14:paraId="5082FF51" w14:textId="252F0BB5" w:rsidR="006D102B" w:rsidRPr="0082319A" w:rsidRDefault="000638BE" w:rsidP="006D102B">
            <w:pPr>
              <w:pStyle w:val="TableFiguresBrackets"/>
            </w:pPr>
            <w:r w:rsidRPr="0082319A">
              <w:t>(162)</w:t>
            </w:r>
          </w:p>
        </w:tc>
        <w:tc>
          <w:tcPr>
            <w:tcW w:w="554" w:type="pct"/>
            <w:vAlign w:val="bottom"/>
          </w:tcPr>
          <w:p w14:paraId="4C899E17" w14:textId="0424FDCD" w:rsidR="006D102B" w:rsidRPr="0082319A" w:rsidRDefault="000638BE" w:rsidP="006D102B">
            <w:pPr>
              <w:pStyle w:val="TableFiguresBrackets"/>
            </w:pPr>
            <w:r w:rsidRPr="0082319A">
              <w:t>(324)</w:t>
            </w:r>
          </w:p>
        </w:tc>
      </w:tr>
      <w:tr w:rsidR="005F6D8A" w:rsidRPr="0082319A" w14:paraId="71CF0EC4" w14:textId="77777777" w:rsidTr="00735AFD">
        <w:trPr>
          <w:trHeight w:val="226"/>
        </w:trPr>
        <w:tc>
          <w:tcPr>
            <w:tcW w:w="1597" w:type="pct"/>
            <w:tcBorders>
              <w:bottom w:val="single" w:sz="4" w:space="0" w:color="808080" w:themeColor="background1" w:themeShade="80"/>
            </w:tcBorders>
            <w:shd w:val="clear" w:color="auto" w:fill="auto"/>
            <w:vAlign w:val="bottom"/>
          </w:tcPr>
          <w:p w14:paraId="71F7976F" w14:textId="77777777" w:rsidR="006D102B" w:rsidRPr="0082319A" w:rsidRDefault="006D102B" w:rsidP="006D102B">
            <w:pPr>
              <w:pStyle w:val="Tabletext"/>
              <w:rPr>
                <w:szCs w:val="20"/>
              </w:rPr>
            </w:pPr>
            <w:r w:rsidRPr="0082319A">
              <w:rPr>
                <w:szCs w:val="20"/>
              </w:rPr>
              <w:t>Net borrowings</w:t>
            </w:r>
          </w:p>
        </w:tc>
        <w:tc>
          <w:tcPr>
            <w:tcW w:w="348" w:type="pct"/>
            <w:tcBorders>
              <w:bottom w:val="single" w:sz="4" w:space="0" w:color="808080" w:themeColor="background1" w:themeShade="80"/>
            </w:tcBorders>
            <w:shd w:val="clear" w:color="auto" w:fill="auto"/>
            <w:vAlign w:val="bottom"/>
          </w:tcPr>
          <w:p w14:paraId="4279670C" w14:textId="140C8E9D" w:rsidR="006D102B" w:rsidRPr="00B64915" w:rsidRDefault="006D102B" w:rsidP="006D102B">
            <w:pPr>
              <w:pStyle w:val="TableFigures"/>
            </w:pPr>
            <w:r w:rsidRPr="00B64915">
              <w:t>13,6</w:t>
            </w:r>
          </w:p>
        </w:tc>
        <w:tc>
          <w:tcPr>
            <w:tcW w:w="70" w:type="pct"/>
            <w:tcBorders>
              <w:bottom w:val="single" w:sz="4" w:space="0" w:color="808080" w:themeColor="background1" w:themeShade="80"/>
            </w:tcBorders>
            <w:vAlign w:val="bottom"/>
          </w:tcPr>
          <w:p w14:paraId="46731C96" w14:textId="622E5230" w:rsidR="006D102B" w:rsidRPr="0082319A" w:rsidRDefault="006D102B" w:rsidP="006D102B">
            <w:pPr>
              <w:pStyle w:val="TableFiguresBracketsBold"/>
              <w:rPr>
                <w:b w:val="0"/>
              </w:rPr>
            </w:pPr>
          </w:p>
        </w:tc>
        <w:tc>
          <w:tcPr>
            <w:tcW w:w="417" w:type="pct"/>
            <w:tcBorders>
              <w:bottom w:val="single" w:sz="4" w:space="0" w:color="808080" w:themeColor="background1" w:themeShade="80"/>
            </w:tcBorders>
            <w:shd w:val="clear" w:color="auto" w:fill="auto"/>
          </w:tcPr>
          <w:p w14:paraId="491C8F8B" w14:textId="408BFCA8" w:rsidR="006D102B" w:rsidRPr="0082319A" w:rsidRDefault="00FF04DA" w:rsidP="00981466">
            <w:pPr>
              <w:pStyle w:val="TableFiguresBracketsBold"/>
            </w:pPr>
            <w:r>
              <w:t>(</w:t>
            </w:r>
            <w:r w:rsidR="000638BE" w:rsidRPr="0082319A">
              <w:t>3,361)</w:t>
            </w:r>
          </w:p>
        </w:tc>
        <w:tc>
          <w:tcPr>
            <w:tcW w:w="486" w:type="pct"/>
            <w:tcBorders>
              <w:bottom w:val="single" w:sz="4" w:space="0" w:color="808080" w:themeColor="background1" w:themeShade="80"/>
            </w:tcBorders>
            <w:shd w:val="clear" w:color="auto" w:fill="auto"/>
          </w:tcPr>
          <w:p w14:paraId="67BB944C" w14:textId="285726F4" w:rsidR="006D102B" w:rsidRPr="0082319A" w:rsidRDefault="000638BE" w:rsidP="00981466">
            <w:pPr>
              <w:pStyle w:val="TableFiguresBracketsBold"/>
            </w:pPr>
            <w:r w:rsidRPr="0082319A">
              <w:t>(840)</w:t>
            </w:r>
          </w:p>
        </w:tc>
        <w:tc>
          <w:tcPr>
            <w:tcW w:w="486" w:type="pct"/>
            <w:tcBorders>
              <w:bottom w:val="single" w:sz="4" w:space="0" w:color="808080" w:themeColor="background1" w:themeShade="80"/>
            </w:tcBorders>
          </w:tcPr>
          <w:p w14:paraId="2235086B" w14:textId="1E7C6E13" w:rsidR="006D102B" w:rsidRPr="0082319A" w:rsidRDefault="000638BE" w:rsidP="00981466">
            <w:pPr>
              <w:pStyle w:val="TableFiguresBracketsBold"/>
            </w:pPr>
            <w:r w:rsidRPr="0082319A">
              <w:t>(4,201)</w:t>
            </w:r>
          </w:p>
        </w:tc>
        <w:tc>
          <w:tcPr>
            <w:tcW w:w="70" w:type="pct"/>
            <w:vAlign w:val="bottom"/>
          </w:tcPr>
          <w:p w14:paraId="6790BE6B" w14:textId="77777777" w:rsidR="006D102B" w:rsidRPr="0082319A" w:rsidRDefault="006D102B" w:rsidP="006D102B">
            <w:pPr>
              <w:pStyle w:val="TableFiguresBrackets"/>
              <w:rPr>
                <w:b/>
              </w:rPr>
            </w:pPr>
          </w:p>
        </w:tc>
        <w:tc>
          <w:tcPr>
            <w:tcW w:w="486" w:type="pct"/>
            <w:tcBorders>
              <w:bottom w:val="single" w:sz="4" w:space="0" w:color="808080" w:themeColor="background1" w:themeShade="80"/>
            </w:tcBorders>
            <w:vAlign w:val="bottom"/>
          </w:tcPr>
          <w:p w14:paraId="36E60F00" w14:textId="5C2A2BE9" w:rsidR="006D102B" w:rsidRPr="0082319A" w:rsidRDefault="000638BE" w:rsidP="006D102B">
            <w:pPr>
              <w:pStyle w:val="TableFiguresBrackets"/>
            </w:pPr>
            <w:r w:rsidRPr="0082319A">
              <w:t>(2,325)</w:t>
            </w:r>
          </w:p>
        </w:tc>
        <w:tc>
          <w:tcPr>
            <w:tcW w:w="486" w:type="pct"/>
            <w:tcBorders>
              <w:bottom w:val="single" w:sz="4" w:space="0" w:color="808080" w:themeColor="background1" w:themeShade="80"/>
            </w:tcBorders>
            <w:vAlign w:val="bottom"/>
          </w:tcPr>
          <w:p w14:paraId="32DA3DB4" w14:textId="4BFE7BE2" w:rsidR="006D102B" w:rsidRPr="0082319A" w:rsidRDefault="000638BE" w:rsidP="006D102B">
            <w:pPr>
              <w:pStyle w:val="TableFiguresBrackets"/>
            </w:pPr>
            <w:r w:rsidRPr="0082319A">
              <w:t>(763)</w:t>
            </w:r>
          </w:p>
        </w:tc>
        <w:tc>
          <w:tcPr>
            <w:tcW w:w="554" w:type="pct"/>
            <w:tcBorders>
              <w:bottom w:val="single" w:sz="4" w:space="0" w:color="808080" w:themeColor="background1" w:themeShade="80"/>
            </w:tcBorders>
            <w:vAlign w:val="bottom"/>
          </w:tcPr>
          <w:p w14:paraId="797DFFE6" w14:textId="460402AB" w:rsidR="006D102B" w:rsidRPr="0082319A" w:rsidRDefault="000638BE" w:rsidP="006D102B">
            <w:pPr>
              <w:pStyle w:val="TableFiguresBrackets"/>
            </w:pPr>
            <w:r w:rsidRPr="0082319A">
              <w:t>(3,088)</w:t>
            </w:r>
          </w:p>
        </w:tc>
      </w:tr>
      <w:tr w:rsidR="005F6D8A" w:rsidRPr="0082319A" w14:paraId="0B980DD9" w14:textId="77777777" w:rsidTr="00735AFD">
        <w:trPr>
          <w:trHeight w:val="226"/>
        </w:trPr>
        <w:tc>
          <w:tcPr>
            <w:tcW w:w="1597" w:type="pct"/>
            <w:tcBorders>
              <w:top w:val="single" w:sz="4" w:space="0" w:color="808080" w:themeColor="background1" w:themeShade="80"/>
            </w:tcBorders>
            <w:shd w:val="clear" w:color="auto" w:fill="auto"/>
            <w:vAlign w:val="bottom"/>
          </w:tcPr>
          <w:p w14:paraId="2F766AEB" w14:textId="77777777" w:rsidR="006D102B" w:rsidRPr="0082319A" w:rsidRDefault="006D102B" w:rsidP="006D102B">
            <w:pPr>
              <w:pStyle w:val="Tabletext"/>
              <w:rPr>
                <w:b/>
                <w:szCs w:val="20"/>
              </w:rPr>
            </w:pPr>
            <w:r w:rsidRPr="0082319A">
              <w:rPr>
                <w:b/>
                <w:szCs w:val="20"/>
              </w:rPr>
              <w:t>Total shareholders’ equity</w:t>
            </w:r>
            <w:r w:rsidRPr="0082319A">
              <w:rPr>
                <w:b/>
                <w:szCs w:val="20"/>
                <w:vertAlign w:val="superscript"/>
              </w:rPr>
              <w:t>1</w:t>
            </w:r>
          </w:p>
        </w:tc>
        <w:tc>
          <w:tcPr>
            <w:tcW w:w="348" w:type="pct"/>
            <w:tcBorders>
              <w:top w:val="single" w:sz="4" w:space="0" w:color="808080" w:themeColor="background1" w:themeShade="80"/>
            </w:tcBorders>
            <w:shd w:val="clear" w:color="auto" w:fill="auto"/>
            <w:vAlign w:val="bottom"/>
          </w:tcPr>
          <w:p w14:paraId="6CF07AA2" w14:textId="77777777" w:rsidR="006D102B" w:rsidRPr="00B64915" w:rsidRDefault="006D102B" w:rsidP="006D102B">
            <w:pPr>
              <w:pStyle w:val="TableFigures"/>
            </w:pPr>
          </w:p>
        </w:tc>
        <w:tc>
          <w:tcPr>
            <w:tcW w:w="70" w:type="pct"/>
            <w:tcBorders>
              <w:top w:val="single" w:sz="4" w:space="0" w:color="808080" w:themeColor="background1" w:themeShade="80"/>
            </w:tcBorders>
            <w:vAlign w:val="bottom"/>
          </w:tcPr>
          <w:p w14:paraId="609D7AB5" w14:textId="1B457018" w:rsidR="006D102B" w:rsidRPr="0082319A" w:rsidRDefault="006D102B" w:rsidP="006D102B">
            <w:pPr>
              <w:pStyle w:val="TableFiguresBracketsBold"/>
              <w:rPr>
                <w:b w:val="0"/>
              </w:rPr>
            </w:pPr>
          </w:p>
        </w:tc>
        <w:tc>
          <w:tcPr>
            <w:tcW w:w="417" w:type="pct"/>
            <w:tcBorders>
              <w:top w:val="single" w:sz="4" w:space="0" w:color="808080" w:themeColor="background1" w:themeShade="80"/>
            </w:tcBorders>
            <w:shd w:val="clear" w:color="auto" w:fill="auto"/>
          </w:tcPr>
          <w:p w14:paraId="1479544A" w14:textId="30814CD6" w:rsidR="006D102B" w:rsidRPr="0082319A" w:rsidRDefault="000638BE" w:rsidP="006D102B">
            <w:pPr>
              <w:pStyle w:val="TableFiguresBold0"/>
            </w:pPr>
            <w:r w:rsidRPr="0082319A">
              <w:t>13,436</w:t>
            </w:r>
          </w:p>
        </w:tc>
        <w:tc>
          <w:tcPr>
            <w:tcW w:w="486" w:type="pct"/>
            <w:tcBorders>
              <w:top w:val="single" w:sz="4" w:space="0" w:color="808080" w:themeColor="background1" w:themeShade="80"/>
            </w:tcBorders>
            <w:shd w:val="clear" w:color="auto" w:fill="auto"/>
          </w:tcPr>
          <w:p w14:paraId="0DA348E4" w14:textId="060EC74B" w:rsidR="006D102B" w:rsidRPr="00FD1A13" w:rsidRDefault="006D102B">
            <w:pPr>
              <w:pStyle w:val="TableFiguresBold0"/>
            </w:pPr>
            <w:r w:rsidRPr="00B64915">
              <w:t>–</w:t>
            </w:r>
          </w:p>
        </w:tc>
        <w:tc>
          <w:tcPr>
            <w:tcW w:w="486" w:type="pct"/>
            <w:tcBorders>
              <w:top w:val="single" w:sz="4" w:space="0" w:color="808080" w:themeColor="background1" w:themeShade="80"/>
            </w:tcBorders>
          </w:tcPr>
          <w:p w14:paraId="4C301A89" w14:textId="53C4C9BF" w:rsidR="006D102B" w:rsidRPr="0082319A" w:rsidRDefault="000638BE" w:rsidP="006D102B">
            <w:pPr>
              <w:pStyle w:val="TableFiguresBold0"/>
            </w:pPr>
            <w:r w:rsidRPr="0082319A">
              <w:t>13,436</w:t>
            </w:r>
          </w:p>
        </w:tc>
        <w:tc>
          <w:tcPr>
            <w:tcW w:w="70" w:type="pct"/>
            <w:vAlign w:val="bottom"/>
          </w:tcPr>
          <w:p w14:paraId="6C76CD16" w14:textId="77777777" w:rsidR="006D102B" w:rsidRPr="0082319A" w:rsidRDefault="006D102B" w:rsidP="006D102B">
            <w:pPr>
              <w:pStyle w:val="TableFigures"/>
              <w:rPr>
                <w:b/>
              </w:rPr>
            </w:pPr>
          </w:p>
        </w:tc>
        <w:tc>
          <w:tcPr>
            <w:tcW w:w="486" w:type="pct"/>
            <w:tcBorders>
              <w:top w:val="single" w:sz="4" w:space="0" w:color="808080" w:themeColor="background1" w:themeShade="80"/>
            </w:tcBorders>
            <w:vAlign w:val="bottom"/>
          </w:tcPr>
          <w:p w14:paraId="24A6C499" w14:textId="7528E1ED" w:rsidR="006D102B" w:rsidRPr="0082319A" w:rsidRDefault="000638BE" w:rsidP="006D102B">
            <w:pPr>
              <w:pStyle w:val="TableFigures"/>
            </w:pPr>
            <w:r w:rsidRPr="0082319A">
              <w:t>9,659</w:t>
            </w:r>
          </w:p>
        </w:tc>
        <w:tc>
          <w:tcPr>
            <w:tcW w:w="486" w:type="pct"/>
            <w:tcBorders>
              <w:top w:val="single" w:sz="4" w:space="0" w:color="808080" w:themeColor="background1" w:themeShade="80"/>
            </w:tcBorders>
            <w:vAlign w:val="bottom"/>
          </w:tcPr>
          <w:p w14:paraId="2CD0E1F2" w14:textId="6ECD8C41" w:rsidR="006D102B" w:rsidRPr="0082319A" w:rsidRDefault="006D102B" w:rsidP="006D102B">
            <w:pPr>
              <w:pStyle w:val="TableFigures"/>
            </w:pPr>
            <w:r w:rsidRPr="0082319A">
              <w:t>–</w:t>
            </w:r>
          </w:p>
        </w:tc>
        <w:tc>
          <w:tcPr>
            <w:tcW w:w="554" w:type="pct"/>
            <w:tcBorders>
              <w:top w:val="single" w:sz="4" w:space="0" w:color="808080" w:themeColor="background1" w:themeShade="80"/>
            </w:tcBorders>
            <w:vAlign w:val="bottom"/>
          </w:tcPr>
          <w:p w14:paraId="6478DBE0" w14:textId="4F154A1A" w:rsidR="006D102B" w:rsidRPr="0082319A" w:rsidRDefault="000638BE" w:rsidP="006D102B">
            <w:pPr>
              <w:pStyle w:val="TableFigures"/>
            </w:pPr>
            <w:r w:rsidRPr="0082319A">
              <w:t>9,659</w:t>
            </w:r>
          </w:p>
        </w:tc>
      </w:tr>
      <w:tr w:rsidR="005F6D8A" w:rsidRPr="0082319A" w14:paraId="5E761B94" w14:textId="77777777" w:rsidTr="00735AFD">
        <w:trPr>
          <w:trHeight w:val="226"/>
        </w:trPr>
        <w:tc>
          <w:tcPr>
            <w:tcW w:w="1597" w:type="pct"/>
            <w:tcBorders>
              <w:bottom w:val="single" w:sz="4" w:space="0" w:color="808080" w:themeColor="background1" w:themeShade="80"/>
            </w:tcBorders>
            <w:shd w:val="clear" w:color="auto" w:fill="auto"/>
            <w:vAlign w:val="bottom"/>
          </w:tcPr>
          <w:p w14:paraId="6357FFC4" w14:textId="77777777" w:rsidR="006D102B" w:rsidRPr="0082319A" w:rsidRDefault="006D102B" w:rsidP="006D102B">
            <w:pPr>
              <w:pStyle w:val="TabletextBold"/>
              <w:rPr>
                <w:b w:val="0"/>
                <w:szCs w:val="20"/>
              </w:rPr>
            </w:pPr>
            <w:r w:rsidRPr="0082319A">
              <w:rPr>
                <w:b w:val="0"/>
                <w:szCs w:val="20"/>
              </w:rPr>
              <w:t>EPRA adjustments</w:t>
            </w:r>
          </w:p>
        </w:tc>
        <w:tc>
          <w:tcPr>
            <w:tcW w:w="348" w:type="pct"/>
            <w:tcBorders>
              <w:bottom w:val="single" w:sz="4" w:space="0" w:color="808080" w:themeColor="background1" w:themeShade="80"/>
            </w:tcBorders>
            <w:shd w:val="clear" w:color="auto" w:fill="auto"/>
            <w:vAlign w:val="bottom"/>
          </w:tcPr>
          <w:p w14:paraId="41FBFC69" w14:textId="40C7E8F0" w:rsidR="006D102B" w:rsidRPr="00B64915" w:rsidRDefault="006D102B" w:rsidP="006D102B">
            <w:pPr>
              <w:pStyle w:val="TableFigures"/>
            </w:pPr>
            <w:r w:rsidRPr="00B64915">
              <w:t>11</w:t>
            </w:r>
          </w:p>
        </w:tc>
        <w:tc>
          <w:tcPr>
            <w:tcW w:w="70" w:type="pct"/>
            <w:tcBorders>
              <w:bottom w:val="single" w:sz="4" w:space="0" w:color="808080" w:themeColor="background1" w:themeShade="80"/>
            </w:tcBorders>
            <w:vAlign w:val="bottom"/>
          </w:tcPr>
          <w:p w14:paraId="7B0F2BCC" w14:textId="77777777" w:rsidR="006D102B" w:rsidRPr="0082319A" w:rsidRDefault="006D102B" w:rsidP="006D102B">
            <w:pPr>
              <w:pStyle w:val="TableFiguresBracketsBold"/>
              <w:rPr>
                <w:b w:val="0"/>
              </w:rPr>
            </w:pPr>
          </w:p>
        </w:tc>
        <w:tc>
          <w:tcPr>
            <w:tcW w:w="417" w:type="pct"/>
            <w:tcBorders>
              <w:bottom w:val="single" w:sz="4" w:space="0" w:color="808080" w:themeColor="background1" w:themeShade="80"/>
            </w:tcBorders>
            <w:shd w:val="clear" w:color="auto" w:fill="auto"/>
            <w:vAlign w:val="bottom"/>
          </w:tcPr>
          <w:p w14:paraId="10102148" w14:textId="77777777" w:rsidR="006D102B" w:rsidRPr="0082319A" w:rsidRDefault="006D102B" w:rsidP="006D102B">
            <w:pPr>
              <w:pStyle w:val="TableFiguresBold0"/>
            </w:pPr>
          </w:p>
        </w:tc>
        <w:tc>
          <w:tcPr>
            <w:tcW w:w="486" w:type="pct"/>
            <w:tcBorders>
              <w:bottom w:val="single" w:sz="4" w:space="0" w:color="808080" w:themeColor="background1" w:themeShade="80"/>
            </w:tcBorders>
            <w:shd w:val="clear" w:color="auto" w:fill="auto"/>
            <w:vAlign w:val="bottom"/>
          </w:tcPr>
          <w:p w14:paraId="55D9777C" w14:textId="77777777" w:rsidR="006D102B" w:rsidRPr="0082319A" w:rsidRDefault="006D102B" w:rsidP="006D102B">
            <w:pPr>
              <w:pStyle w:val="TableFiguresBold0"/>
            </w:pPr>
          </w:p>
        </w:tc>
        <w:tc>
          <w:tcPr>
            <w:tcW w:w="486" w:type="pct"/>
            <w:tcBorders>
              <w:bottom w:val="single" w:sz="4" w:space="0" w:color="808080" w:themeColor="background1" w:themeShade="80"/>
            </w:tcBorders>
            <w:vAlign w:val="bottom"/>
          </w:tcPr>
          <w:p w14:paraId="12C9AFF5" w14:textId="5F3720B3" w:rsidR="006D102B" w:rsidRPr="0082319A" w:rsidRDefault="000638BE" w:rsidP="006D102B">
            <w:pPr>
              <w:pStyle w:val="TableFiguresBold0"/>
            </w:pPr>
            <w:r w:rsidRPr="0082319A">
              <w:t>268</w:t>
            </w:r>
          </w:p>
        </w:tc>
        <w:tc>
          <w:tcPr>
            <w:tcW w:w="70" w:type="pct"/>
            <w:vAlign w:val="bottom"/>
          </w:tcPr>
          <w:p w14:paraId="5E7010A9" w14:textId="77777777" w:rsidR="006D102B" w:rsidRPr="0082319A" w:rsidRDefault="006D102B" w:rsidP="006D102B">
            <w:pPr>
              <w:pStyle w:val="TableFiguresBracketsBold"/>
              <w:rPr>
                <w:b w:val="0"/>
              </w:rPr>
            </w:pPr>
          </w:p>
        </w:tc>
        <w:tc>
          <w:tcPr>
            <w:tcW w:w="486" w:type="pct"/>
            <w:tcBorders>
              <w:bottom w:val="single" w:sz="4" w:space="0" w:color="808080" w:themeColor="background1" w:themeShade="80"/>
            </w:tcBorders>
            <w:vAlign w:val="bottom"/>
          </w:tcPr>
          <w:p w14:paraId="0C3C0840" w14:textId="77777777" w:rsidR="006D102B" w:rsidRPr="0082319A" w:rsidRDefault="006D102B" w:rsidP="006D102B">
            <w:pPr>
              <w:pStyle w:val="TableFigures"/>
            </w:pPr>
          </w:p>
        </w:tc>
        <w:tc>
          <w:tcPr>
            <w:tcW w:w="486" w:type="pct"/>
            <w:tcBorders>
              <w:bottom w:val="single" w:sz="4" w:space="0" w:color="808080" w:themeColor="background1" w:themeShade="80"/>
            </w:tcBorders>
            <w:vAlign w:val="bottom"/>
          </w:tcPr>
          <w:p w14:paraId="76154574" w14:textId="77777777" w:rsidR="006D102B" w:rsidRPr="0082319A" w:rsidRDefault="006D102B" w:rsidP="006D102B">
            <w:pPr>
              <w:pStyle w:val="TableFigures"/>
            </w:pPr>
          </w:p>
        </w:tc>
        <w:tc>
          <w:tcPr>
            <w:tcW w:w="554" w:type="pct"/>
            <w:tcBorders>
              <w:bottom w:val="single" w:sz="4" w:space="0" w:color="808080" w:themeColor="background1" w:themeShade="80"/>
            </w:tcBorders>
            <w:vAlign w:val="bottom"/>
          </w:tcPr>
          <w:p w14:paraId="29167AEA" w14:textId="65CB9D72" w:rsidR="006D102B" w:rsidRPr="0082319A" w:rsidRDefault="000638BE" w:rsidP="006D102B">
            <w:pPr>
              <w:pStyle w:val="TableFigures"/>
            </w:pPr>
            <w:r w:rsidRPr="0082319A">
              <w:t>66</w:t>
            </w:r>
          </w:p>
        </w:tc>
      </w:tr>
      <w:tr w:rsidR="005F6D8A" w:rsidRPr="0082319A" w14:paraId="6380B561" w14:textId="77777777" w:rsidTr="00735AFD">
        <w:trPr>
          <w:trHeight w:val="226"/>
        </w:trPr>
        <w:tc>
          <w:tcPr>
            <w:tcW w:w="1597" w:type="pct"/>
            <w:tcBorders>
              <w:top w:val="single" w:sz="4" w:space="0" w:color="808080" w:themeColor="background1" w:themeShade="80"/>
            </w:tcBorders>
            <w:shd w:val="clear" w:color="auto" w:fill="auto"/>
            <w:vAlign w:val="bottom"/>
          </w:tcPr>
          <w:p w14:paraId="740CDBEC" w14:textId="6082011D" w:rsidR="006D102B" w:rsidRPr="0082319A" w:rsidRDefault="00187473" w:rsidP="006D102B">
            <w:pPr>
              <w:pStyle w:val="TabletextBold"/>
              <w:rPr>
                <w:szCs w:val="20"/>
              </w:rPr>
            </w:pPr>
            <w:r w:rsidRPr="0082319A">
              <w:rPr>
                <w:szCs w:val="20"/>
              </w:rPr>
              <w:t xml:space="preserve">Adjusted </w:t>
            </w:r>
            <w:r w:rsidR="006D102B" w:rsidRPr="0082319A">
              <w:rPr>
                <w:szCs w:val="20"/>
              </w:rPr>
              <w:t>NAV</w:t>
            </w:r>
          </w:p>
        </w:tc>
        <w:tc>
          <w:tcPr>
            <w:tcW w:w="348" w:type="pct"/>
            <w:tcBorders>
              <w:top w:val="single" w:sz="4" w:space="0" w:color="808080" w:themeColor="background1" w:themeShade="80"/>
            </w:tcBorders>
            <w:shd w:val="clear" w:color="auto" w:fill="auto"/>
            <w:vAlign w:val="bottom"/>
          </w:tcPr>
          <w:p w14:paraId="2C5DE0CD" w14:textId="5040191A" w:rsidR="006D102B" w:rsidRPr="00B64915" w:rsidRDefault="006D102B" w:rsidP="006D102B">
            <w:pPr>
              <w:pStyle w:val="TableFigures"/>
            </w:pPr>
            <w:r w:rsidRPr="00B64915">
              <w:t>11</w:t>
            </w:r>
          </w:p>
        </w:tc>
        <w:tc>
          <w:tcPr>
            <w:tcW w:w="70" w:type="pct"/>
            <w:tcBorders>
              <w:top w:val="single" w:sz="4" w:space="0" w:color="808080" w:themeColor="background1" w:themeShade="80"/>
            </w:tcBorders>
            <w:vAlign w:val="bottom"/>
          </w:tcPr>
          <w:p w14:paraId="2885D9E3" w14:textId="77777777" w:rsidR="006D102B" w:rsidRPr="0082319A" w:rsidRDefault="006D102B" w:rsidP="006D102B">
            <w:pPr>
              <w:pStyle w:val="TableFiguresBracketsBold"/>
              <w:rPr>
                <w:b w:val="0"/>
              </w:rPr>
            </w:pPr>
          </w:p>
        </w:tc>
        <w:tc>
          <w:tcPr>
            <w:tcW w:w="417" w:type="pct"/>
            <w:tcBorders>
              <w:top w:val="single" w:sz="4" w:space="0" w:color="808080" w:themeColor="background1" w:themeShade="80"/>
            </w:tcBorders>
            <w:shd w:val="clear" w:color="auto" w:fill="auto"/>
            <w:vAlign w:val="bottom"/>
          </w:tcPr>
          <w:p w14:paraId="3204A2E5" w14:textId="77777777" w:rsidR="006D102B" w:rsidRPr="0082319A" w:rsidRDefault="006D102B" w:rsidP="006D102B">
            <w:pPr>
              <w:pStyle w:val="TableFiguresBold0"/>
            </w:pPr>
          </w:p>
        </w:tc>
        <w:tc>
          <w:tcPr>
            <w:tcW w:w="486" w:type="pct"/>
            <w:tcBorders>
              <w:top w:val="single" w:sz="4" w:space="0" w:color="808080" w:themeColor="background1" w:themeShade="80"/>
            </w:tcBorders>
            <w:shd w:val="clear" w:color="auto" w:fill="auto"/>
            <w:vAlign w:val="bottom"/>
          </w:tcPr>
          <w:p w14:paraId="76EA0554" w14:textId="77777777" w:rsidR="006D102B" w:rsidRPr="0082319A" w:rsidRDefault="006D102B" w:rsidP="006D102B">
            <w:pPr>
              <w:pStyle w:val="TableFiguresBold0"/>
            </w:pPr>
          </w:p>
        </w:tc>
        <w:tc>
          <w:tcPr>
            <w:tcW w:w="486" w:type="pct"/>
            <w:tcBorders>
              <w:top w:val="single" w:sz="4" w:space="0" w:color="808080" w:themeColor="background1" w:themeShade="80"/>
            </w:tcBorders>
            <w:vAlign w:val="bottom"/>
          </w:tcPr>
          <w:p w14:paraId="0ADB5510" w14:textId="5991C362" w:rsidR="006D102B" w:rsidRPr="0082319A" w:rsidRDefault="000638BE" w:rsidP="006D102B">
            <w:pPr>
              <w:pStyle w:val="TableFiguresBold0"/>
            </w:pPr>
            <w:r w:rsidRPr="0082319A">
              <w:t>13,704</w:t>
            </w:r>
          </w:p>
        </w:tc>
        <w:tc>
          <w:tcPr>
            <w:tcW w:w="70" w:type="pct"/>
            <w:vAlign w:val="bottom"/>
          </w:tcPr>
          <w:p w14:paraId="1B5B0FDF" w14:textId="77777777" w:rsidR="006D102B" w:rsidRPr="0082319A" w:rsidRDefault="006D102B" w:rsidP="006D102B">
            <w:pPr>
              <w:pStyle w:val="TableFigures"/>
              <w:rPr>
                <w:b/>
              </w:rPr>
            </w:pPr>
          </w:p>
        </w:tc>
        <w:tc>
          <w:tcPr>
            <w:tcW w:w="486" w:type="pct"/>
            <w:tcBorders>
              <w:top w:val="single" w:sz="4" w:space="0" w:color="808080" w:themeColor="background1" w:themeShade="80"/>
            </w:tcBorders>
            <w:vAlign w:val="bottom"/>
          </w:tcPr>
          <w:p w14:paraId="0F7C9550" w14:textId="77777777" w:rsidR="006D102B" w:rsidRPr="0082319A" w:rsidRDefault="006D102B" w:rsidP="006D102B">
            <w:pPr>
              <w:pStyle w:val="TableFigures"/>
            </w:pPr>
          </w:p>
        </w:tc>
        <w:tc>
          <w:tcPr>
            <w:tcW w:w="486" w:type="pct"/>
            <w:tcBorders>
              <w:top w:val="single" w:sz="4" w:space="0" w:color="808080" w:themeColor="background1" w:themeShade="80"/>
            </w:tcBorders>
            <w:vAlign w:val="bottom"/>
          </w:tcPr>
          <w:p w14:paraId="3978D37D" w14:textId="77777777" w:rsidR="006D102B" w:rsidRPr="0082319A" w:rsidRDefault="006D102B" w:rsidP="006D102B">
            <w:pPr>
              <w:pStyle w:val="TableFigures"/>
            </w:pPr>
          </w:p>
        </w:tc>
        <w:tc>
          <w:tcPr>
            <w:tcW w:w="554" w:type="pct"/>
            <w:tcBorders>
              <w:top w:val="single" w:sz="4" w:space="0" w:color="808080" w:themeColor="background1" w:themeShade="80"/>
            </w:tcBorders>
            <w:vAlign w:val="bottom"/>
          </w:tcPr>
          <w:p w14:paraId="6B562971" w14:textId="39DA5E69" w:rsidR="006D102B" w:rsidRPr="0082319A" w:rsidRDefault="000638BE" w:rsidP="006D102B">
            <w:pPr>
              <w:pStyle w:val="TableFigures"/>
            </w:pPr>
            <w:r w:rsidRPr="0082319A">
              <w:t>9,725</w:t>
            </w:r>
          </w:p>
        </w:tc>
      </w:tr>
      <w:tr w:rsidR="005F6D8A" w:rsidRPr="0082319A" w14:paraId="11689DFC" w14:textId="77777777" w:rsidTr="00735AFD">
        <w:trPr>
          <w:trHeight w:val="226"/>
        </w:trPr>
        <w:tc>
          <w:tcPr>
            <w:tcW w:w="1597" w:type="pct"/>
            <w:shd w:val="clear" w:color="auto" w:fill="auto"/>
            <w:vAlign w:val="bottom"/>
          </w:tcPr>
          <w:p w14:paraId="5BBB48A4" w14:textId="77777777" w:rsidR="006D102B" w:rsidRPr="0082319A" w:rsidRDefault="006D102B" w:rsidP="006D102B">
            <w:pPr>
              <w:pStyle w:val="TabletextBold"/>
              <w:rPr>
                <w:b w:val="0"/>
                <w:szCs w:val="20"/>
              </w:rPr>
            </w:pPr>
            <w:r w:rsidRPr="0082319A">
              <w:rPr>
                <w:b w:val="0"/>
                <w:szCs w:val="20"/>
              </w:rPr>
              <w:t>Number of shares, million</w:t>
            </w:r>
          </w:p>
        </w:tc>
        <w:tc>
          <w:tcPr>
            <w:tcW w:w="348" w:type="pct"/>
            <w:shd w:val="clear" w:color="auto" w:fill="auto"/>
            <w:vAlign w:val="bottom"/>
          </w:tcPr>
          <w:p w14:paraId="3ADEA5D4" w14:textId="460FD316" w:rsidR="006D102B" w:rsidRPr="00B64915" w:rsidRDefault="006D102B" w:rsidP="006D102B">
            <w:pPr>
              <w:pStyle w:val="TableFigures"/>
            </w:pPr>
            <w:r w:rsidRPr="00B64915">
              <w:t>11</w:t>
            </w:r>
          </w:p>
        </w:tc>
        <w:tc>
          <w:tcPr>
            <w:tcW w:w="70" w:type="pct"/>
            <w:vAlign w:val="bottom"/>
          </w:tcPr>
          <w:p w14:paraId="0A8C7F39" w14:textId="77777777" w:rsidR="006D102B" w:rsidRPr="0082319A" w:rsidRDefault="006D102B" w:rsidP="006D102B">
            <w:pPr>
              <w:pStyle w:val="TableFiguresBracketsBold"/>
              <w:rPr>
                <w:b w:val="0"/>
              </w:rPr>
            </w:pPr>
          </w:p>
        </w:tc>
        <w:tc>
          <w:tcPr>
            <w:tcW w:w="417" w:type="pct"/>
            <w:shd w:val="clear" w:color="auto" w:fill="auto"/>
            <w:vAlign w:val="bottom"/>
          </w:tcPr>
          <w:p w14:paraId="4AF972F1" w14:textId="77777777" w:rsidR="006D102B" w:rsidRPr="0082319A" w:rsidRDefault="006D102B" w:rsidP="006D102B">
            <w:pPr>
              <w:pStyle w:val="TableFiguresBold0"/>
            </w:pPr>
          </w:p>
        </w:tc>
        <w:tc>
          <w:tcPr>
            <w:tcW w:w="486" w:type="pct"/>
            <w:shd w:val="clear" w:color="auto" w:fill="auto"/>
            <w:vAlign w:val="bottom"/>
          </w:tcPr>
          <w:p w14:paraId="5EBB5B18" w14:textId="72F128E8" w:rsidR="006D102B" w:rsidRPr="0082319A" w:rsidRDefault="006D102B" w:rsidP="006D102B">
            <w:pPr>
              <w:pStyle w:val="TableFiguresBold0"/>
            </w:pPr>
          </w:p>
        </w:tc>
        <w:tc>
          <w:tcPr>
            <w:tcW w:w="486" w:type="pct"/>
            <w:vAlign w:val="bottom"/>
          </w:tcPr>
          <w:p w14:paraId="54A295DD" w14:textId="0ADD5718" w:rsidR="006D102B" w:rsidRPr="0082319A" w:rsidRDefault="000638BE" w:rsidP="006D102B">
            <w:pPr>
              <w:pStyle w:val="TableFiguresBold0"/>
            </w:pPr>
            <w:r w:rsidRPr="0082319A">
              <w:t>1,205</w:t>
            </w:r>
            <w:r w:rsidR="00FF04DA">
              <w:t>.5</w:t>
            </w:r>
          </w:p>
        </w:tc>
        <w:tc>
          <w:tcPr>
            <w:tcW w:w="70" w:type="pct"/>
            <w:vAlign w:val="bottom"/>
          </w:tcPr>
          <w:p w14:paraId="7C5C1992" w14:textId="77777777" w:rsidR="006D102B" w:rsidRPr="0082319A" w:rsidRDefault="006D102B" w:rsidP="006D102B">
            <w:pPr>
              <w:pStyle w:val="TableFigures"/>
              <w:rPr>
                <w:b/>
              </w:rPr>
            </w:pPr>
          </w:p>
        </w:tc>
        <w:tc>
          <w:tcPr>
            <w:tcW w:w="486" w:type="pct"/>
            <w:vAlign w:val="bottom"/>
          </w:tcPr>
          <w:p w14:paraId="744DF185" w14:textId="77777777" w:rsidR="006D102B" w:rsidRPr="0082319A" w:rsidRDefault="006D102B" w:rsidP="006D102B">
            <w:pPr>
              <w:pStyle w:val="TableFigures"/>
            </w:pPr>
          </w:p>
        </w:tc>
        <w:tc>
          <w:tcPr>
            <w:tcW w:w="486" w:type="pct"/>
            <w:vAlign w:val="bottom"/>
          </w:tcPr>
          <w:p w14:paraId="6D376257" w14:textId="77777777" w:rsidR="006D102B" w:rsidRPr="0082319A" w:rsidRDefault="006D102B" w:rsidP="006D102B">
            <w:pPr>
              <w:pStyle w:val="TableFigures"/>
            </w:pPr>
          </w:p>
        </w:tc>
        <w:tc>
          <w:tcPr>
            <w:tcW w:w="554" w:type="pct"/>
            <w:vAlign w:val="bottom"/>
          </w:tcPr>
          <w:p w14:paraId="00C49A85" w14:textId="57FBB7D2" w:rsidR="006D102B" w:rsidRPr="0082319A" w:rsidRDefault="000638BE" w:rsidP="006D102B">
            <w:pPr>
              <w:pStyle w:val="TableFigures"/>
            </w:pPr>
            <w:r w:rsidRPr="0082319A">
              <w:t>1,194.7</w:t>
            </w:r>
          </w:p>
        </w:tc>
      </w:tr>
      <w:tr w:rsidR="005F6D8A" w:rsidRPr="0082319A" w14:paraId="656B7A6A" w14:textId="77777777" w:rsidTr="00735AFD">
        <w:trPr>
          <w:trHeight w:val="226"/>
        </w:trPr>
        <w:tc>
          <w:tcPr>
            <w:tcW w:w="1597" w:type="pct"/>
            <w:tcBorders>
              <w:bottom w:val="single" w:sz="8" w:space="0" w:color="A6A6A6" w:themeColor="background1" w:themeShade="A6"/>
            </w:tcBorders>
            <w:shd w:val="clear" w:color="auto" w:fill="auto"/>
            <w:vAlign w:val="bottom"/>
          </w:tcPr>
          <w:p w14:paraId="758192D4" w14:textId="3817135A" w:rsidR="006D102B" w:rsidRPr="0082319A" w:rsidRDefault="00187473" w:rsidP="006D102B">
            <w:pPr>
              <w:pStyle w:val="TabletextBold"/>
              <w:rPr>
                <w:szCs w:val="20"/>
              </w:rPr>
            </w:pPr>
            <w:r w:rsidRPr="0082319A">
              <w:rPr>
                <w:szCs w:val="20"/>
              </w:rPr>
              <w:t>Adjusted</w:t>
            </w:r>
            <w:r w:rsidR="006D102B" w:rsidRPr="0082319A">
              <w:rPr>
                <w:szCs w:val="20"/>
              </w:rPr>
              <w:t xml:space="preserve"> NAV, pence per share</w:t>
            </w:r>
          </w:p>
        </w:tc>
        <w:tc>
          <w:tcPr>
            <w:tcW w:w="348" w:type="pct"/>
            <w:tcBorders>
              <w:bottom w:val="single" w:sz="8" w:space="0" w:color="A6A6A6" w:themeColor="background1" w:themeShade="A6"/>
            </w:tcBorders>
            <w:shd w:val="clear" w:color="auto" w:fill="auto"/>
            <w:vAlign w:val="bottom"/>
          </w:tcPr>
          <w:p w14:paraId="06EAC2E5" w14:textId="6821C842" w:rsidR="006D102B" w:rsidRPr="00B64915" w:rsidRDefault="006D102B" w:rsidP="006D102B">
            <w:pPr>
              <w:pStyle w:val="TableFigures"/>
            </w:pPr>
            <w:r w:rsidRPr="00B64915">
              <w:t>11</w:t>
            </w:r>
          </w:p>
        </w:tc>
        <w:tc>
          <w:tcPr>
            <w:tcW w:w="70" w:type="pct"/>
            <w:tcBorders>
              <w:bottom w:val="single" w:sz="8" w:space="0" w:color="A6A6A6" w:themeColor="background1" w:themeShade="A6"/>
            </w:tcBorders>
            <w:vAlign w:val="bottom"/>
          </w:tcPr>
          <w:p w14:paraId="77438E66" w14:textId="77777777" w:rsidR="006D102B" w:rsidRPr="0082319A" w:rsidRDefault="006D102B" w:rsidP="006D102B">
            <w:pPr>
              <w:pStyle w:val="TableFiguresBracketsBold"/>
              <w:rPr>
                <w:b w:val="0"/>
              </w:rPr>
            </w:pPr>
          </w:p>
        </w:tc>
        <w:tc>
          <w:tcPr>
            <w:tcW w:w="417" w:type="pct"/>
            <w:tcBorders>
              <w:bottom w:val="single" w:sz="8" w:space="0" w:color="A6A6A6" w:themeColor="background1" w:themeShade="A6"/>
            </w:tcBorders>
            <w:shd w:val="clear" w:color="auto" w:fill="auto"/>
            <w:vAlign w:val="bottom"/>
          </w:tcPr>
          <w:p w14:paraId="75BADCA2" w14:textId="77777777" w:rsidR="006D102B" w:rsidRPr="0082319A" w:rsidRDefault="006D102B" w:rsidP="006D102B">
            <w:pPr>
              <w:pStyle w:val="TableFiguresBold0"/>
            </w:pPr>
          </w:p>
        </w:tc>
        <w:tc>
          <w:tcPr>
            <w:tcW w:w="486" w:type="pct"/>
            <w:tcBorders>
              <w:bottom w:val="single" w:sz="8" w:space="0" w:color="A6A6A6" w:themeColor="background1" w:themeShade="A6"/>
            </w:tcBorders>
            <w:shd w:val="clear" w:color="auto" w:fill="auto"/>
            <w:vAlign w:val="bottom"/>
          </w:tcPr>
          <w:p w14:paraId="1CAF1D2D" w14:textId="77777777" w:rsidR="006D102B" w:rsidRPr="0082319A" w:rsidRDefault="006D102B" w:rsidP="006D102B">
            <w:pPr>
              <w:pStyle w:val="TableFiguresBold0"/>
            </w:pPr>
          </w:p>
        </w:tc>
        <w:tc>
          <w:tcPr>
            <w:tcW w:w="486" w:type="pct"/>
            <w:tcBorders>
              <w:bottom w:val="single" w:sz="8" w:space="0" w:color="A6A6A6" w:themeColor="background1" w:themeShade="A6"/>
            </w:tcBorders>
            <w:vAlign w:val="bottom"/>
          </w:tcPr>
          <w:p w14:paraId="04FF179A" w14:textId="37E4FC1D" w:rsidR="006D102B" w:rsidRPr="0082319A" w:rsidRDefault="000638BE" w:rsidP="006D102B">
            <w:pPr>
              <w:pStyle w:val="TableFiguresBold0"/>
            </w:pPr>
            <w:r w:rsidRPr="0082319A">
              <w:t>1,137</w:t>
            </w:r>
          </w:p>
        </w:tc>
        <w:tc>
          <w:tcPr>
            <w:tcW w:w="70" w:type="pct"/>
            <w:tcBorders>
              <w:bottom w:val="single" w:sz="8" w:space="0" w:color="A6A6A6" w:themeColor="background1" w:themeShade="A6"/>
            </w:tcBorders>
            <w:vAlign w:val="bottom"/>
          </w:tcPr>
          <w:p w14:paraId="493910AA" w14:textId="77777777" w:rsidR="006D102B" w:rsidRPr="0082319A" w:rsidRDefault="006D102B" w:rsidP="006D102B">
            <w:pPr>
              <w:pStyle w:val="TableFigures"/>
              <w:rPr>
                <w:b/>
              </w:rPr>
            </w:pPr>
          </w:p>
        </w:tc>
        <w:tc>
          <w:tcPr>
            <w:tcW w:w="486" w:type="pct"/>
            <w:tcBorders>
              <w:bottom w:val="single" w:sz="8" w:space="0" w:color="A6A6A6" w:themeColor="background1" w:themeShade="A6"/>
            </w:tcBorders>
            <w:vAlign w:val="bottom"/>
          </w:tcPr>
          <w:p w14:paraId="2D41198F" w14:textId="77777777" w:rsidR="006D102B" w:rsidRPr="0082319A" w:rsidRDefault="006D102B" w:rsidP="006D102B">
            <w:pPr>
              <w:pStyle w:val="TableFigures"/>
            </w:pPr>
          </w:p>
        </w:tc>
        <w:tc>
          <w:tcPr>
            <w:tcW w:w="486" w:type="pct"/>
            <w:tcBorders>
              <w:bottom w:val="single" w:sz="8" w:space="0" w:color="A6A6A6" w:themeColor="background1" w:themeShade="A6"/>
            </w:tcBorders>
            <w:vAlign w:val="bottom"/>
          </w:tcPr>
          <w:p w14:paraId="357E4796" w14:textId="77777777" w:rsidR="006D102B" w:rsidRPr="0082319A" w:rsidRDefault="006D102B" w:rsidP="006D102B">
            <w:pPr>
              <w:pStyle w:val="TableFigures"/>
            </w:pPr>
          </w:p>
        </w:tc>
        <w:tc>
          <w:tcPr>
            <w:tcW w:w="554" w:type="pct"/>
            <w:tcBorders>
              <w:bottom w:val="single" w:sz="8" w:space="0" w:color="A6A6A6" w:themeColor="background1" w:themeShade="A6"/>
            </w:tcBorders>
            <w:vAlign w:val="bottom"/>
          </w:tcPr>
          <w:p w14:paraId="488D07A7" w14:textId="12D313EC" w:rsidR="006D102B" w:rsidRPr="0082319A" w:rsidRDefault="000638BE" w:rsidP="006D102B">
            <w:pPr>
              <w:pStyle w:val="TableFigures"/>
            </w:pPr>
            <w:r w:rsidRPr="0082319A">
              <w:t>814</w:t>
            </w:r>
          </w:p>
        </w:tc>
      </w:tr>
    </w:tbl>
    <w:p w14:paraId="2F795A43" w14:textId="77777777" w:rsidR="00396365" w:rsidRPr="0082319A" w:rsidRDefault="00396365" w:rsidP="005E793C">
      <w:pPr>
        <w:pStyle w:val="FootnotesNoSpace"/>
        <w:rPr>
          <w:i w:val="0"/>
        </w:rPr>
      </w:pPr>
    </w:p>
    <w:p w14:paraId="3E454030" w14:textId="1C562294" w:rsidR="005E793C" w:rsidRPr="0082319A" w:rsidRDefault="005E793C" w:rsidP="005E793C">
      <w:pPr>
        <w:pStyle w:val="FootnotesNoSpace"/>
        <w:rPr>
          <w:iCs/>
        </w:rPr>
      </w:pPr>
      <w:r w:rsidRPr="0082319A">
        <w:rPr>
          <w:iCs/>
        </w:rPr>
        <w:t>1 After non-controlling interests.</w:t>
      </w:r>
    </w:p>
    <w:p w14:paraId="5A21A480" w14:textId="77777777" w:rsidR="002033A7" w:rsidRDefault="002033A7" w:rsidP="006D102B">
      <w:pPr>
        <w:pStyle w:val="Normal1"/>
      </w:pPr>
    </w:p>
    <w:p w14:paraId="0E841161" w14:textId="576429A6" w:rsidR="00F519BE" w:rsidRDefault="00F519BE" w:rsidP="006D102B">
      <w:pPr>
        <w:pStyle w:val="Normal1"/>
      </w:pPr>
      <w:r>
        <w:t>Loan to value of 23 per cent is calculated as net borrowings of £4,201 million divided by total properties (excluding head lease ROU asset of £70 million</w:t>
      </w:r>
      <w:r w:rsidR="002033A7">
        <w:t xml:space="preserve"> and includes valuation surplus not recognised on trading properties of £1 million</w:t>
      </w:r>
      <w:r>
        <w:t>) of £18,37</w:t>
      </w:r>
      <w:r w:rsidR="002033A7">
        <w:t>7</w:t>
      </w:r>
      <w:r>
        <w:t xml:space="preserve"> million (2020: 24 per cent; £3,088 million net borrowings; £12,995 million total properties). </w:t>
      </w:r>
    </w:p>
    <w:p w14:paraId="12B5145B" w14:textId="389EB2B3" w:rsidR="00F519BE" w:rsidRDefault="00F519BE" w:rsidP="006D102B">
      <w:pPr>
        <w:pStyle w:val="Normal1"/>
      </w:pPr>
      <w:r>
        <w:t xml:space="preserve">The portfolio valuation uplift of 28.8 per cent shown </w:t>
      </w:r>
      <w:r w:rsidR="00D7207E">
        <w:t>in the Investment Update section</w:t>
      </w:r>
      <w:r>
        <w:t xml:space="preserve"> cannot be directly derived from the Financial Statements and is calculated to be comparable with published MSCI Real Estate indices against which </w:t>
      </w:r>
      <w:r w:rsidR="00D7207E">
        <w:t>SEGRO is</w:t>
      </w:r>
      <w:r>
        <w:t xml:space="preserve"> measured. Based on the Financial Statements there is a valuation surplus of £4,103 million (see </w:t>
      </w:r>
      <w:r w:rsidRPr="00F519BE">
        <w:t xml:space="preserve">Note </w:t>
      </w:r>
      <w:r w:rsidR="005D5F2C">
        <w:t>7</w:t>
      </w:r>
      <w:r>
        <w:t xml:space="preserve">) and property value of £18,376 million (paragraph above) giving a valuation uplift of 28.8 per cent. The primary differences are that the uplift excludes the impact of rent free incentives (£15 million, +0.1 per cent) and other movements (-£12 million, -0.1 per cent) primarily due to foreign exchange based on closing rate as opposed to average used in the Financial Statements. </w:t>
      </w:r>
    </w:p>
    <w:p w14:paraId="26A9C8A9" w14:textId="1F631E1B" w:rsidR="00F519BE" w:rsidRDefault="00F519BE" w:rsidP="006D102B">
      <w:pPr>
        <w:pStyle w:val="Normal1"/>
      </w:pPr>
      <w:r>
        <w:t xml:space="preserve">Total assets under management of £21,286 million (2020: £15,343 million) includes Group total properties of £15,468 million </w:t>
      </w:r>
      <w:r w:rsidR="00D7207E">
        <w:t xml:space="preserve">(which excludes head lease ROU asset of £70 million and includes valuation surplus not recognised on trading properties of £1 million) </w:t>
      </w:r>
      <w:r>
        <w:t>and 100 per cent of total properties owned by joint ventures of £5,818 million.</w:t>
      </w:r>
    </w:p>
    <w:p w14:paraId="73DE27AB" w14:textId="249F0465" w:rsidR="003B69AF" w:rsidRDefault="003B69AF" w:rsidP="003B69AF">
      <w:pPr>
        <w:pStyle w:val="Heading2"/>
        <w:rPr>
          <w:sz w:val="20"/>
        </w:rPr>
      </w:pPr>
      <w:r w:rsidRPr="000059B1">
        <w:rPr>
          <w:sz w:val="20"/>
        </w:rPr>
        <w:t>TABLE 4: EPRA EARNINGS</w:t>
      </w:r>
    </w:p>
    <w:tbl>
      <w:tblPr>
        <w:tblW w:w="10065" w:type="dxa"/>
        <w:tblInd w:w="-142" w:type="dxa"/>
        <w:tblCellMar>
          <w:left w:w="0" w:type="dxa"/>
          <w:right w:w="0" w:type="dxa"/>
        </w:tblCellMar>
        <w:tblLook w:val="01E0" w:firstRow="1" w:lastRow="1" w:firstColumn="1" w:lastColumn="1" w:noHBand="0" w:noVBand="0"/>
      </w:tblPr>
      <w:tblGrid>
        <w:gridCol w:w="5671"/>
        <w:gridCol w:w="1559"/>
        <w:gridCol w:w="1417"/>
        <w:gridCol w:w="1418"/>
      </w:tblGrid>
      <w:tr w:rsidR="00335112" w:rsidRPr="00E83694" w14:paraId="7EAC5123" w14:textId="77777777" w:rsidTr="00AD38E9">
        <w:tc>
          <w:tcPr>
            <w:tcW w:w="5671" w:type="dxa"/>
            <w:tcBorders>
              <w:bottom w:val="single" w:sz="4" w:space="0" w:color="999999"/>
            </w:tcBorders>
            <w:shd w:val="clear" w:color="auto" w:fill="auto"/>
            <w:vAlign w:val="bottom"/>
          </w:tcPr>
          <w:p w14:paraId="1A6FB3A8" w14:textId="77777777" w:rsidR="00335112" w:rsidRPr="00E83694" w:rsidRDefault="00335112" w:rsidP="00AD38E9">
            <w:pPr>
              <w:pStyle w:val="Tabletext"/>
              <w:spacing w:line="160" w:lineRule="atLeast"/>
            </w:pPr>
          </w:p>
        </w:tc>
        <w:tc>
          <w:tcPr>
            <w:tcW w:w="1559" w:type="dxa"/>
            <w:tcBorders>
              <w:bottom w:val="single" w:sz="4" w:space="0" w:color="999999"/>
            </w:tcBorders>
            <w:shd w:val="clear" w:color="auto" w:fill="auto"/>
            <w:vAlign w:val="bottom"/>
          </w:tcPr>
          <w:p w14:paraId="4A4BE782" w14:textId="77777777" w:rsidR="00335112" w:rsidRPr="00B64915" w:rsidRDefault="00335112" w:rsidP="00AD38E9">
            <w:pPr>
              <w:pStyle w:val="TableColHeadsBold0"/>
            </w:pPr>
            <w:r w:rsidRPr="00B64915">
              <w:t>Notes</w:t>
            </w:r>
          </w:p>
        </w:tc>
        <w:tc>
          <w:tcPr>
            <w:tcW w:w="1417" w:type="dxa"/>
            <w:tcBorders>
              <w:bottom w:val="single" w:sz="4" w:space="0" w:color="999999"/>
            </w:tcBorders>
            <w:shd w:val="clear" w:color="auto" w:fill="auto"/>
            <w:vAlign w:val="bottom"/>
          </w:tcPr>
          <w:p w14:paraId="5CFD37E6" w14:textId="700E623D" w:rsidR="00335112" w:rsidRPr="00E83694" w:rsidRDefault="00335112" w:rsidP="00AD38E9">
            <w:pPr>
              <w:pStyle w:val="TableColHeadsBold0"/>
            </w:pPr>
            <w:r w:rsidRPr="00E83694">
              <w:t>202</w:t>
            </w:r>
            <w:r>
              <w:t>1</w:t>
            </w:r>
            <w:r w:rsidRPr="00E83694">
              <w:br/>
              <w:t xml:space="preserve"> £m</w:t>
            </w:r>
          </w:p>
        </w:tc>
        <w:tc>
          <w:tcPr>
            <w:tcW w:w="1418" w:type="dxa"/>
            <w:tcBorders>
              <w:bottom w:val="single" w:sz="4" w:space="0" w:color="999999"/>
            </w:tcBorders>
            <w:shd w:val="clear" w:color="auto" w:fill="auto"/>
            <w:vAlign w:val="bottom"/>
          </w:tcPr>
          <w:p w14:paraId="79564BF1" w14:textId="0615FF23" w:rsidR="00335112" w:rsidRPr="00E83694" w:rsidRDefault="00335112" w:rsidP="00AD38E9">
            <w:pPr>
              <w:pStyle w:val="TableColHeadsBold0"/>
              <w:rPr>
                <w:b w:val="0"/>
              </w:rPr>
            </w:pPr>
            <w:r w:rsidRPr="00E83694">
              <w:rPr>
                <w:b w:val="0"/>
              </w:rPr>
              <w:t>20</w:t>
            </w:r>
            <w:r>
              <w:rPr>
                <w:b w:val="0"/>
              </w:rPr>
              <w:t>20</w:t>
            </w:r>
            <w:r w:rsidRPr="00E83694">
              <w:rPr>
                <w:b w:val="0"/>
              </w:rPr>
              <w:t xml:space="preserve"> </w:t>
            </w:r>
            <w:r w:rsidRPr="00E83694">
              <w:rPr>
                <w:b w:val="0"/>
              </w:rPr>
              <w:br/>
              <w:t>£m</w:t>
            </w:r>
          </w:p>
        </w:tc>
      </w:tr>
      <w:tr w:rsidR="00335112" w:rsidRPr="00E83694" w14:paraId="709B5D75" w14:textId="77777777" w:rsidTr="00AD38E9">
        <w:tc>
          <w:tcPr>
            <w:tcW w:w="5671" w:type="dxa"/>
            <w:shd w:val="clear" w:color="auto" w:fill="auto"/>
            <w:vAlign w:val="bottom"/>
          </w:tcPr>
          <w:p w14:paraId="33B19DD5" w14:textId="77777777" w:rsidR="00335112" w:rsidRPr="00E83694" w:rsidRDefault="00335112" w:rsidP="00AD38E9">
            <w:pPr>
              <w:pStyle w:val="TabletextBold"/>
              <w:rPr>
                <w:sz w:val="21"/>
                <w:szCs w:val="21"/>
              </w:rPr>
            </w:pPr>
            <w:r w:rsidRPr="00E83694">
              <w:rPr>
                <w:sz w:val="21"/>
                <w:szCs w:val="21"/>
              </w:rPr>
              <w:t>Earnings per IFRS income statement</w:t>
            </w:r>
          </w:p>
        </w:tc>
        <w:tc>
          <w:tcPr>
            <w:tcW w:w="1559" w:type="dxa"/>
            <w:shd w:val="clear" w:color="auto" w:fill="auto"/>
            <w:vAlign w:val="bottom"/>
          </w:tcPr>
          <w:p w14:paraId="4000C06E" w14:textId="77777777" w:rsidR="00335112" w:rsidRPr="00B64915" w:rsidRDefault="00335112" w:rsidP="00AD38E9">
            <w:pPr>
              <w:pStyle w:val="TableFiguresBold0"/>
              <w:rPr>
                <w:sz w:val="21"/>
                <w:szCs w:val="21"/>
              </w:rPr>
            </w:pPr>
          </w:p>
        </w:tc>
        <w:tc>
          <w:tcPr>
            <w:tcW w:w="1417" w:type="dxa"/>
            <w:shd w:val="clear" w:color="auto" w:fill="auto"/>
            <w:vAlign w:val="bottom"/>
          </w:tcPr>
          <w:p w14:paraId="77E323CF" w14:textId="6E47A995" w:rsidR="00335112" w:rsidRPr="00823C08" w:rsidRDefault="00335112" w:rsidP="00AD38E9">
            <w:pPr>
              <w:pStyle w:val="TableFigures"/>
              <w:rPr>
                <w:b/>
                <w:szCs w:val="18"/>
              </w:rPr>
            </w:pPr>
            <w:r>
              <w:rPr>
                <w:b/>
                <w:szCs w:val="18"/>
              </w:rPr>
              <w:t>4,060</w:t>
            </w:r>
          </w:p>
        </w:tc>
        <w:tc>
          <w:tcPr>
            <w:tcW w:w="1418" w:type="dxa"/>
            <w:shd w:val="clear" w:color="auto" w:fill="auto"/>
            <w:vAlign w:val="bottom"/>
          </w:tcPr>
          <w:p w14:paraId="5FE1B2F5" w14:textId="4CCE954F" w:rsidR="00335112" w:rsidRPr="00DC4F14" w:rsidRDefault="00335112" w:rsidP="00AD38E9">
            <w:pPr>
              <w:pStyle w:val="TableFigures"/>
            </w:pPr>
            <w:r>
              <w:t>1,427</w:t>
            </w:r>
          </w:p>
        </w:tc>
      </w:tr>
      <w:tr w:rsidR="00335112" w:rsidRPr="00E83694" w14:paraId="1BAA8D7E" w14:textId="77777777" w:rsidTr="00AD38E9">
        <w:trPr>
          <w:trHeight w:hRule="exact" w:val="57"/>
        </w:trPr>
        <w:tc>
          <w:tcPr>
            <w:tcW w:w="5671" w:type="dxa"/>
            <w:shd w:val="clear" w:color="auto" w:fill="auto"/>
            <w:vAlign w:val="bottom"/>
          </w:tcPr>
          <w:p w14:paraId="135D4665" w14:textId="77777777" w:rsidR="00335112" w:rsidRPr="00E83694" w:rsidRDefault="00335112" w:rsidP="00AD38E9">
            <w:pPr>
              <w:pStyle w:val="Tabletext"/>
              <w:rPr>
                <w:sz w:val="21"/>
                <w:szCs w:val="21"/>
                <w:vertAlign w:val="superscript"/>
              </w:rPr>
            </w:pPr>
          </w:p>
        </w:tc>
        <w:tc>
          <w:tcPr>
            <w:tcW w:w="1559" w:type="dxa"/>
            <w:shd w:val="clear" w:color="auto" w:fill="auto"/>
            <w:vAlign w:val="bottom"/>
          </w:tcPr>
          <w:p w14:paraId="7C6251F3" w14:textId="77777777" w:rsidR="00335112" w:rsidRPr="00B64915" w:rsidRDefault="00335112" w:rsidP="00AD38E9">
            <w:pPr>
              <w:pStyle w:val="TableFiguresBracketsBold"/>
              <w:rPr>
                <w:b w:val="0"/>
                <w:sz w:val="21"/>
                <w:szCs w:val="21"/>
              </w:rPr>
            </w:pPr>
          </w:p>
        </w:tc>
        <w:tc>
          <w:tcPr>
            <w:tcW w:w="1417" w:type="dxa"/>
            <w:shd w:val="clear" w:color="auto" w:fill="auto"/>
            <w:vAlign w:val="bottom"/>
          </w:tcPr>
          <w:p w14:paraId="62EEDF7F" w14:textId="77777777" w:rsidR="00335112" w:rsidRPr="00E83694" w:rsidRDefault="00335112" w:rsidP="00AD38E9">
            <w:pPr>
              <w:pStyle w:val="TableFigures"/>
              <w:rPr>
                <w:b/>
                <w:sz w:val="21"/>
                <w:szCs w:val="21"/>
              </w:rPr>
            </w:pPr>
          </w:p>
        </w:tc>
        <w:tc>
          <w:tcPr>
            <w:tcW w:w="1418" w:type="dxa"/>
            <w:vAlign w:val="bottom"/>
          </w:tcPr>
          <w:p w14:paraId="0100EDAC" w14:textId="77777777" w:rsidR="00335112" w:rsidRPr="00E83694" w:rsidRDefault="00335112" w:rsidP="00AD38E9">
            <w:pPr>
              <w:pStyle w:val="TableFigures"/>
              <w:rPr>
                <w:bCs/>
                <w:sz w:val="21"/>
                <w:szCs w:val="21"/>
              </w:rPr>
            </w:pPr>
          </w:p>
        </w:tc>
      </w:tr>
      <w:tr w:rsidR="00335112" w:rsidRPr="00E83694" w14:paraId="63A5C284" w14:textId="77777777" w:rsidTr="00AD38E9">
        <w:tc>
          <w:tcPr>
            <w:tcW w:w="5671" w:type="dxa"/>
            <w:shd w:val="clear" w:color="auto" w:fill="auto"/>
            <w:vAlign w:val="bottom"/>
          </w:tcPr>
          <w:p w14:paraId="7902E27A" w14:textId="77777777" w:rsidR="00335112" w:rsidRPr="00E83694" w:rsidRDefault="00335112" w:rsidP="00AD38E9">
            <w:pPr>
              <w:pStyle w:val="TabletextBold"/>
              <w:rPr>
                <w:sz w:val="21"/>
                <w:szCs w:val="21"/>
              </w:rPr>
            </w:pPr>
            <w:r w:rsidRPr="00E83694">
              <w:rPr>
                <w:sz w:val="21"/>
                <w:szCs w:val="21"/>
              </w:rPr>
              <w:t>Adjustments to calculate EPRA Earnings, exclude:</w:t>
            </w:r>
          </w:p>
        </w:tc>
        <w:tc>
          <w:tcPr>
            <w:tcW w:w="1559" w:type="dxa"/>
            <w:shd w:val="clear" w:color="auto" w:fill="auto"/>
            <w:vAlign w:val="bottom"/>
          </w:tcPr>
          <w:p w14:paraId="7EB76780" w14:textId="77777777" w:rsidR="00335112" w:rsidRPr="00B64915" w:rsidRDefault="00335112" w:rsidP="00AD38E9">
            <w:pPr>
              <w:pStyle w:val="TableFiguresBracketsBold"/>
              <w:rPr>
                <w:b w:val="0"/>
                <w:sz w:val="21"/>
                <w:szCs w:val="21"/>
              </w:rPr>
            </w:pPr>
          </w:p>
        </w:tc>
        <w:tc>
          <w:tcPr>
            <w:tcW w:w="1417" w:type="dxa"/>
            <w:shd w:val="clear" w:color="auto" w:fill="auto"/>
            <w:vAlign w:val="bottom"/>
          </w:tcPr>
          <w:p w14:paraId="5D0AA7CA" w14:textId="77777777" w:rsidR="00335112" w:rsidRPr="00E83694" w:rsidRDefault="00335112" w:rsidP="00AD38E9">
            <w:pPr>
              <w:pStyle w:val="TableFigures"/>
              <w:rPr>
                <w:b/>
                <w:sz w:val="21"/>
                <w:szCs w:val="21"/>
              </w:rPr>
            </w:pPr>
          </w:p>
        </w:tc>
        <w:tc>
          <w:tcPr>
            <w:tcW w:w="1418" w:type="dxa"/>
            <w:vAlign w:val="bottom"/>
          </w:tcPr>
          <w:p w14:paraId="7CD3C7D2" w14:textId="77777777" w:rsidR="00335112" w:rsidRPr="00E83694" w:rsidRDefault="00335112" w:rsidP="00AD38E9">
            <w:pPr>
              <w:pStyle w:val="TableFigures"/>
              <w:rPr>
                <w:bCs/>
                <w:sz w:val="21"/>
                <w:szCs w:val="21"/>
              </w:rPr>
            </w:pPr>
          </w:p>
        </w:tc>
      </w:tr>
      <w:tr w:rsidR="00335112" w:rsidRPr="00E83694" w14:paraId="1716C19C" w14:textId="77777777" w:rsidTr="00AD38E9">
        <w:tc>
          <w:tcPr>
            <w:tcW w:w="5671" w:type="dxa"/>
            <w:shd w:val="clear" w:color="auto" w:fill="auto"/>
            <w:vAlign w:val="bottom"/>
          </w:tcPr>
          <w:p w14:paraId="69242C46" w14:textId="77777777" w:rsidR="00335112" w:rsidRPr="00E83694" w:rsidRDefault="00335112" w:rsidP="00AD38E9">
            <w:pPr>
              <w:pStyle w:val="Tabletext"/>
              <w:rPr>
                <w:sz w:val="21"/>
                <w:szCs w:val="21"/>
              </w:rPr>
            </w:pPr>
            <w:r w:rsidRPr="00E83694">
              <w:rPr>
                <w:sz w:val="21"/>
                <w:szCs w:val="21"/>
              </w:rPr>
              <w:t>Valuation surplus on investment properties</w:t>
            </w:r>
          </w:p>
        </w:tc>
        <w:tc>
          <w:tcPr>
            <w:tcW w:w="1559" w:type="dxa"/>
            <w:shd w:val="clear" w:color="auto" w:fill="auto"/>
            <w:vAlign w:val="bottom"/>
          </w:tcPr>
          <w:p w14:paraId="2BC36FF8" w14:textId="77777777" w:rsidR="00335112" w:rsidRPr="00B64915" w:rsidRDefault="00335112" w:rsidP="00AD38E9">
            <w:pPr>
              <w:pStyle w:val="TableFigures"/>
            </w:pPr>
            <w:r w:rsidRPr="00B64915">
              <w:t>7</w:t>
            </w:r>
          </w:p>
        </w:tc>
        <w:tc>
          <w:tcPr>
            <w:tcW w:w="1417" w:type="dxa"/>
            <w:shd w:val="clear" w:color="auto" w:fill="auto"/>
          </w:tcPr>
          <w:p w14:paraId="03AB3E36" w14:textId="7564C7D9" w:rsidR="00335112" w:rsidRPr="00E83694" w:rsidRDefault="00335112" w:rsidP="00AD38E9">
            <w:pPr>
              <w:pStyle w:val="TableFiguresBracketsBold"/>
              <w:rPr>
                <w:sz w:val="21"/>
              </w:rPr>
            </w:pPr>
            <w:r w:rsidRPr="00E83694">
              <w:t>(</w:t>
            </w:r>
            <w:r>
              <w:t>3,617</w:t>
            </w:r>
            <w:r w:rsidRPr="00E83694">
              <w:t>)</w:t>
            </w:r>
          </w:p>
        </w:tc>
        <w:tc>
          <w:tcPr>
            <w:tcW w:w="1418" w:type="dxa"/>
            <w:vAlign w:val="bottom"/>
          </w:tcPr>
          <w:p w14:paraId="5B7E4B2C" w14:textId="19035AE3" w:rsidR="00335112" w:rsidRPr="00981466" w:rsidRDefault="00335112" w:rsidP="00AD38E9">
            <w:pPr>
              <w:pStyle w:val="TableFiguresBrackets"/>
            </w:pPr>
            <w:r w:rsidRPr="00981466">
              <w:t>(</w:t>
            </w:r>
            <w:r>
              <w:t>971</w:t>
            </w:r>
            <w:r w:rsidRPr="00981466">
              <w:t>)</w:t>
            </w:r>
          </w:p>
        </w:tc>
      </w:tr>
      <w:tr w:rsidR="00335112" w:rsidRPr="00E83694" w14:paraId="031D2764" w14:textId="77777777" w:rsidTr="00AD38E9">
        <w:tc>
          <w:tcPr>
            <w:tcW w:w="5671" w:type="dxa"/>
            <w:shd w:val="clear" w:color="auto" w:fill="auto"/>
            <w:vAlign w:val="bottom"/>
          </w:tcPr>
          <w:p w14:paraId="5F0E435B" w14:textId="77777777" w:rsidR="00335112" w:rsidRPr="00E83694" w:rsidRDefault="00335112" w:rsidP="00AD38E9">
            <w:pPr>
              <w:pStyle w:val="Tabletext"/>
              <w:rPr>
                <w:sz w:val="21"/>
                <w:szCs w:val="21"/>
              </w:rPr>
            </w:pPr>
            <w:r w:rsidRPr="00E83694">
              <w:rPr>
                <w:sz w:val="21"/>
                <w:szCs w:val="21"/>
              </w:rPr>
              <w:t>Profit on sale of investment properties</w:t>
            </w:r>
          </w:p>
        </w:tc>
        <w:tc>
          <w:tcPr>
            <w:tcW w:w="1559" w:type="dxa"/>
            <w:shd w:val="clear" w:color="auto" w:fill="auto"/>
            <w:vAlign w:val="bottom"/>
          </w:tcPr>
          <w:p w14:paraId="413AD10D" w14:textId="77777777" w:rsidR="00335112" w:rsidRPr="00B64915" w:rsidRDefault="00335112" w:rsidP="00AD38E9">
            <w:pPr>
              <w:pStyle w:val="TableFigures"/>
            </w:pPr>
            <w:r w:rsidRPr="00B64915">
              <w:t>7</w:t>
            </w:r>
          </w:p>
        </w:tc>
        <w:tc>
          <w:tcPr>
            <w:tcW w:w="1417" w:type="dxa"/>
            <w:shd w:val="clear" w:color="auto" w:fill="auto"/>
          </w:tcPr>
          <w:p w14:paraId="0872B525" w14:textId="0BBA9B47" w:rsidR="00335112" w:rsidRPr="00E83694" w:rsidRDefault="00335112" w:rsidP="00AD38E9">
            <w:pPr>
              <w:pStyle w:val="TableFiguresBracketsBold"/>
              <w:rPr>
                <w:sz w:val="21"/>
              </w:rPr>
            </w:pPr>
            <w:r w:rsidRPr="00E83694">
              <w:t>(5</w:t>
            </w:r>
            <w:r>
              <w:t>3</w:t>
            </w:r>
            <w:r w:rsidRPr="00E83694">
              <w:t>)</w:t>
            </w:r>
          </w:p>
        </w:tc>
        <w:tc>
          <w:tcPr>
            <w:tcW w:w="1418" w:type="dxa"/>
            <w:vAlign w:val="bottom"/>
          </w:tcPr>
          <w:p w14:paraId="339C029E" w14:textId="141E8013" w:rsidR="00335112" w:rsidRPr="00981466" w:rsidRDefault="00335112" w:rsidP="00AD38E9">
            <w:pPr>
              <w:pStyle w:val="TableFiguresBrackets"/>
            </w:pPr>
            <w:r w:rsidRPr="00981466">
              <w:t>(</w:t>
            </w:r>
            <w:r>
              <w:t>5</w:t>
            </w:r>
            <w:r w:rsidRPr="00981466">
              <w:t>)</w:t>
            </w:r>
          </w:p>
        </w:tc>
      </w:tr>
      <w:tr w:rsidR="00335112" w:rsidRPr="00E83694" w14:paraId="3C70F844" w14:textId="77777777" w:rsidTr="00AD38E9">
        <w:tc>
          <w:tcPr>
            <w:tcW w:w="5671" w:type="dxa"/>
            <w:shd w:val="clear" w:color="auto" w:fill="auto"/>
            <w:vAlign w:val="bottom"/>
          </w:tcPr>
          <w:p w14:paraId="107CDF74" w14:textId="265D6CC6" w:rsidR="00335112" w:rsidRPr="00E83694" w:rsidRDefault="00335112" w:rsidP="00AD38E9">
            <w:pPr>
              <w:pStyle w:val="Tabletext"/>
              <w:rPr>
                <w:sz w:val="21"/>
                <w:szCs w:val="21"/>
              </w:rPr>
            </w:pPr>
            <w:r>
              <w:rPr>
                <w:sz w:val="21"/>
                <w:szCs w:val="21"/>
              </w:rPr>
              <w:t>Profit</w:t>
            </w:r>
            <w:r w:rsidRPr="00E83694">
              <w:rPr>
                <w:sz w:val="21"/>
                <w:szCs w:val="21"/>
              </w:rPr>
              <w:t xml:space="preserve"> on sale trading properties</w:t>
            </w:r>
          </w:p>
        </w:tc>
        <w:tc>
          <w:tcPr>
            <w:tcW w:w="1559" w:type="dxa"/>
            <w:shd w:val="clear" w:color="auto" w:fill="auto"/>
            <w:vAlign w:val="bottom"/>
          </w:tcPr>
          <w:p w14:paraId="21951A7E" w14:textId="77777777" w:rsidR="00335112" w:rsidRPr="00B64915" w:rsidRDefault="00335112" w:rsidP="00AD38E9">
            <w:pPr>
              <w:pStyle w:val="TableFigures"/>
            </w:pPr>
            <w:r w:rsidRPr="00B64915">
              <w:t>12</w:t>
            </w:r>
          </w:p>
        </w:tc>
        <w:tc>
          <w:tcPr>
            <w:tcW w:w="1417" w:type="dxa"/>
            <w:shd w:val="clear" w:color="auto" w:fill="auto"/>
          </w:tcPr>
          <w:p w14:paraId="70262AD6" w14:textId="57B44262" w:rsidR="00335112" w:rsidRPr="00E83694" w:rsidRDefault="00335112" w:rsidP="00AD38E9">
            <w:pPr>
              <w:pStyle w:val="TableFiguresBracketsBold"/>
              <w:rPr>
                <w:sz w:val="21"/>
              </w:rPr>
            </w:pPr>
            <w:r w:rsidRPr="00E83694">
              <w:t>(</w:t>
            </w:r>
            <w:r>
              <w:t>7</w:t>
            </w:r>
            <w:r w:rsidRPr="00E83694">
              <w:t>)</w:t>
            </w:r>
          </w:p>
        </w:tc>
        <w:tc>
          <w:tcPr>
            <w:tcW w:w="1418" w:type="dxa"/>
            <w:vAlign w:val="bottom"/>
          </w:tcPr>
          <w:p w14:paraId="0346567F" w14:textId="03F33EFD" w:rsidR="00335112" w:rsidRPr="00DC4F14" w:rsidRDefault="00335112" w:rsidP="00AD38E9">
            <w:pPr>
              <w:pStyle w:val="TableFiguresBrackets"/>
            </w:pPr>
            <w:r w:rsidRPr="00DC4F14">
              <w:t>(</w:t>
            </w:r>
            <w:r>
              <w:t>1</w:t>
            </w:r>
            <w:r w:rsidRPr="00DC4F14">
              <w:t>)</w:t>
            </w:r>
          </w:p>
        </w:tc>
      </w:tr>
      <w:tr w:rsidR="00335112" w:rsidRPr="00E83694" w14:paraId="2C4BD14A" w14:textId="77777777" w:rsidTr="00AD38E9">
        <w:tc>
          <w:tcPr>
            <w:tcW w:w="5671" w:type="dxa"/>
            <w:shd w:val="clear" w:color="auto" w:fill="auto"/>
            <w:vAlign w:val="bottom"/>
          </w:tcPr>
          <w:p w14:paraId="54F11009" w14:textId="2F07A7E2" w:rsidR="00335112" w:rsidRPr="00E83694" w:rsidRDefault="00335112" w:rsidP="00AD38E9">
            <w:pPr>
              <w:pStyle w:val="Tabletext"/>
              <w:rPr>
                <w:sz w:val="21"/>
                <w:szCs w:val="21"/>
              </w:rPr>
            </w:pPr>
            <w:r w:rsidRPr="00E83694">
              <w:rPr>
                <w:sz w:val="21"/>
                <w:szCs w:val="21"/>
              </w:rPr>
              <w:t>Increase</w:t>
            </w:r>
            <w:r>
              <w:rPr>
                <w:sz w:val="21"/>
                <w:szCs w:val="21"/>
              </w:rPr>
              <w:t xml:space="preserve"> </w:t>
            </w:r>
            <w:r w:rsidRPr="00E83694">
              <w:rPr>
                <w:sz w:val="21"/>
                <w:szCs w:val="21"/>
              </w:rPr>
              <w:t>in provision for impairment of trading properties</w:t>
            </w:r>
          </w:p>
        </w:tc>
        <w:tc>
          <w:tcPr>
            <w:tcW w:w="1559" w:type="dxa"/>
            <w:shd w:val="clear" w:color="auto" w:fill="auto"/>
            <w:vAlign w:val="bottom"/>
          </w:tcPr>
          <w:p w14:paraId="3F01171D" w14:textId="77777777" w:rsidR="00335112" w:rsidRPr="00B64915" w:rsidRDefault="00335112" w:rsidP="00AD38E9">
            <w:pPr>
              <w:pStyle w:val="TableFigures"/>
            </w:pPr>
            <w:r w:rsidRPr="00B64915">
              <w:t>7</w:t>
            </w:r>
          </w:p>
        </w:tc>
        <w:tc>
          <w:tcPr>
            <w:tcW w:w="1417" w:type="dxa"/>
            <w:shd w:val="clear" w:color="auto" w:fill="auto"/>
            <w:vAlign w:val="bottom"/>
          </w:tcPr>
          <w:p w14:paraId="27E09851" w14:textId="145343BD" w:rsidR="00335112" w:rsidRPr="00E83694" w:rsidRDefault="00335112" w:rsidP="00AD38E9">
            <w:pPr>
              <w:pStyle w:val="TableFiguresBold0"/>
              <w:rPr>
                <w:sz w:val="21"/>
              </w:rPr>
            </w:pPr>
            <w:r>
              <w:t>1</w:t>
            </w:r>
          </w:p>
        </w:tc>
        <w:tc>
          <w:tcPr>
            <w:tcW w:w="1418" w:type="dxa"/>
            <w:vAlign w:val="bottom"/>
          </w:tcPr>
          <w:p w14:paraId="6E401AAA" w14:textId="7AC238BD" w:rsidR="00335112" w:rsidRPr="00DC4F14" w:rsidRDefault="00335112" w:rsidP="00B64915">
            <w:pPr>
              <w:pStyle w:val="TableFigures"/>
            </w:pPr>
            <w:r>
              <w:t>–</w:t>
            </w:r>
          </w:p>
        </w:tc>
      </w:tr>
      <w:tr w:rsidR="00335112" w:rsidRPr="00E83694" w14:paraId="2D1AB035" w14:textId="77777777" w:rsidTr="00AD38E9">
        <w:tc>
          <w:tcPr>
            <w:tcW w:w="5671" w:type="dxa"/>
            <w:shd w:val="clear" w:color="auto" w:fill="auto"/>
            <w:vAlign w:val="bottom"/>
          </w:tcPr>
          <w:p w14:paraId="73A8BC27" w14:textId="77777777" w:rsidR="00335112" w:rsidRPr="00E83694" w:rsidRDefault="00335112" w:rsidP="00AD38E9">
            <w:pPr>
              <w:pStyle w:val="Tabletext"/>
              <w:rPr>
                <w:sz w:val="21"/>
                <w:szCs w:val="21"/>
              </w:rPr>
            </w:pPr>
            <w:r w:rsidRPr="00E83694">
              <w:rPr>
                <w:sz w:val="21"/>
                <w:szCs w:val="21"/>
              </w:rPr>
              <w:t>Increase in provision for impairment of other interests in property</w:t>
            </w:r>
          </w:p>
        </w:tc>
        <w:tc>
          <w:tcPr>
            <w:tcW w:w="1559" w:type="dxa"/>
            <w:shd w:val="clear" w:color="auto" w:fill="auto"/>
            <w:vAlign w:val="bottom"/>
          </w:tcPr>
          <w:p w14:paraId="2B470DD2" w14:textId="77777777" w:rsidR="00335112" w:rsidRPr="00B64915" w:rsidRDefault="00335112" w:rsidP="00AD38E9">
            <w:pPr>
              <w:pStyle w:val="TableFigures"/>
            </w:pPr>
            <w:r w:rsidRPr="00B64915">
              <w:t>7</w:t>
            </w:r>
          </w:p>
        </w:tc>
        <w:tc>
          <w:tcPr>
            <w:tcW w:w="1417" w:type="dxa"/>
            <w:shd w:val="clear" w:color="auto" w:fill="auto"/>
            <w:vAlign w:val="bottom"/>
          </w:tcPr>
          <w:p w14:paraId="5FE9E942" w14:textId="260AF673" w:rsidR="00335112" w:rsidRPr="00E83694" w:rsidRDefault="00335112" w:rsidP="00AD38E9">
            <w:pPr>
              <w:pStyle w:val="TableFiguresBold0"/>
              <w:rPr>
                <w:sz w:val="21"/>
                <w:szCs w:val="21"/>
              </w:rPr>
            </w:pPr>
            <w:r>
              <w:t>–</w:t>
            </w:r>
          </w:p>
        </w:tc>
        <w:tc>
          <w:tcPr>
            <w:tcW w:w="1418" w:type="dxa"/>
            <w:vAlign w:val="bottom"/>
          </w:tcPr>
          <w:p w14:paraId="2BA67D1E" w14:textId="69C004B8" w:rsidR="00335112" w:rsidRPr="00DC4F14" w:rsidRDefault="00335112" w:rsidP="00AD38E9">
            <w:pPr>
              <w:pStyle w:val="TableFigures"/>
            </w:pPr>
            <w:r>
              <w:t>1</w:t>
            </w:r>
          </w:p>
        </w:tc>
      </w:tr>
      <w:tr w:rsidR="00335112" w:rsidRPr="00E83694" w14:paraId="31AE3EA2" w14:textId="77777777" w:rsidTr="00AD38E9">
        <w:tc>
          <w:tcPr>
            <w:tcW w:w="5671" w:type="dxa"/>
            <w:shd w:val="clear" w:color="auto" w:fill="auto"/>
            <w:vAlign w:val="bottom"/>
          </w:tcPr>
          <w:p w14:paraId="73E69F97" w14:textId="77777777" w:rsidR="00335112" w:rsidRPr="00E83694" w:rsidRDefault="00335112" w:rsidP="00AD38E9">
            <w:pPr>
              <w:pStyle w:val="Tabletext"/>
              <w:rPr>
                <w:sz w:val="21"/>
                <w:szCs w:val="21"/>
              </w:rPr>
            </w:pPr>
            <w:r w:rsidRPr="00E83694">
              <w:rPr>
                <w:sz w:val="21"/>
                <w:szCs w:val="21"/>
              </w:rPr>
              <w:t>Valuation surplus on other investments</w:t>
            </w:r>
          </w:p>
        </w:tc>
        <w:tc>
          <w:tcPr>
            <w:tcW w:w="1559" w:type="dxa"/>
            <w:shd w:val="clear" w:color="auto" w:fill="auto"/>
            <w:vAlign w:val="bottom"/>
          </w:tcPr>
          <w:p w14:paraId="718568DA" w14:textId="77777777" w:rsidR="00335112" w:rsidRPr="00B64915" w:rsidRDefault="00335112" w:rsidP="00AD38E9">
            <w:pPr>
              <w:pStyle w:val="TableFigures"/>
            </w:pPr>
            <w:r w:rsidRPr="00B64915">
              <w:t>7</w:t>
            </w:r>
          </w:p>
        </w:tc>
        <w:tc>
          <w:tcPr>
            <w:tcW w:w="1417" w:type="dxa"/>
            <w:shd w:val="clear" w:color="auto" w:fill="auto"/>
          </w:tcPr>
          <w:p w14:paraId="26145CEC" w14:textId="4227ADA1" w:rsidR="00335112" w:rsidRPr="00E83694" w:rsidRDefault="00335112" w:rsidP="00B64915">
            <w:pPr>
              <w:pStyle w:val="TableFiguresBold0"/>
              <w:rPr>
                <w:sz w:val="21"/>
                <w:szCs w:val="21"/>
              </w:rPr>
            </w:pPr>
            <w:r>
              <w:t>–</w:t>
            </w:r>
          </w:p>
        </w:tc>
        <w:tc>
          <w:tcPr>
            <w:tcW w:w="1418" w:type="dxa"/>
            <w:vAlign w:val="bottom"/>
          </w:tcPr>
          <w:p w14:paraId="763D8899" w14:textId="7937B7E6" w:rsidR="00335112" w:rsidRPr="00981466" w:rsidRDefault="00335112" w:rsidP="00AD38E9">
            <w:pPr>
              <w:pStyle w:val="TableFiguresBrackets"/>
            </w:pPr>
            <w:r>
              <w:t>(14)</w:t>
            </w:r>
          </w:p>
        </w:tc>
      </w:tr>
      <w:tr w:rsidR="00335112" w:rsidRPr="00E83694" w14:paraId="6431E8BC" w14:textId="77777777" w:rsidTr="00AD38E9">
        <w:tc>
          <w:tcPr>
            <w:tcW w:w="5671" w:type="dxa"/>
            <w:shd w:val="clear" w:color="auto" w:fill="auto"/>
            <w:vAlign w:val="bottom"/>
          </w:tcPr>
          <w:p w14:paraId="04A599CF" w14:textId="77777777" w:rsidR="00335112" w:rsidRPr="00E83694" w:rsidRDefault="00335112" w:rsidP="00AD38E9">
            <w:pPr>
              <w:pStyle w:val="Tabletext"/>
              <w:rPr>
                <w:sz w:val="21"/>
                <w:szCs w:val="21"/>
              </w:rPr>
            </w:pPr>
            <w:r w:rsidRPr="00E83694">
              <w:rPr>
                <w:sz w:val="21"/>
                <w:szCs w:val="21"/>
              </w:rPr>
              <w:t>Tax on profits on disposals</w:t>
            </w:r>
            <w:r w:rsidRPr="00E83694">
              <w:rPr>
                <w:sz w:val="21"/>
                <w:szCs w:val="21"/>
                <w:vertAlign w:val="superscript"/>
              </w:rPr>
              <w:t>1</w:t>
            </w:r>
          </w:p>
        </w:tc>
        <w:tc>
          <w:tcPr>
            <w:tcW w:w="1559" w:type="dxa"/>
            <w:shd w:val="clear" w:color="auto" w:fill="auto"/>
            <w:vAlign w:val="bottom"/>
          </w:tcPr>
          <w:p w14:paraId="600A3C37" w14:textId="77777777" w:rsidR="00335112" w:rsidRPr="00B64915" w:rsidRDefault="00335112" w:rsidP="00AD38E9">
            <w:pPr>
              <w:pStyle w:val="TableFigures"/>
              <w:rPr>
                <w:sz w:val="21"/>
                <w:szCs w:val="21"/>
              </w:rPr>
            </w:pPr>
          </w:p>
        </w:tc>
        <w:tc>
          <w:tcPr>
            <w:tcW w:w="1417" w:type="dxa"/>
            <w:shd w:val="clear" w:color="auto" w:fill="auto"/>
          </w:tcPr>
          <w:p w14:paraId="03B4F5A8" w14:textId="7E7980DC" w:rsidR="00335112" w:rsidRPr="00E83694" w:rsidRDefault="005D5F2C" w:rsidP="00B64915">
            <w:pPr>
              <w:pStyle w:val="TableFiguresBold0"/>
              <w:rPr>
                <w:sz w:val="21"/>
                <w:szCs w:val="21"/>
              </w:rPr>
            </w:pPr>
            <w:r>
              <w:t>10</w:t>
            </w:r>
          </w:p>
        </w:tc>
        <w:tc>
          <w:tcPr>
            <w:tcW w:w="1418" w:type="dxa"/>
            <w:vAlign w:val="bottom"/>
          </w:tcPr>
          <w:p w14:paraId="5040E22E" w14:textId="32700419" w:rsidR="00335112" w:rsidRPr="00DC4F14" w:rsidRDefault="00335112" w:rsidP="00AD38E9">
            <w:pPr>
              <w:pStyle w:val="TableFigures"/>
            </w:pPr>
            <w:r>
              <w:t>–</w:t>
            </w:r>
          </w:p>
        </w:tc>
      </w:tr>
      <w:tr w:rsidR="00335112" w:rsidRPr="00E83694" w14:paraId="4DA76F55" w14:textId="77777777" w:rsidTr="00AD38E9">
        <w:tc>
          <w:tcPr>
            <w:tcW w:w="5671" w:type="dxa"/>
            <w:shd w:val="clear" w:color="auto" w:fill="auto"/>
            <w:vAlign w:val="bottom"/>
          </w:tcPr>
          <w:p w14:paraId="69BA4EF5" w14:textId="77777777" w:rsidR="00335112" w:rsidRPr="00E83694" w:rsidRDefault="00335112" w:rsidP="00AD38E9">
            <w:pPr>
              <w:pStyle w:val="Tabletext"/>
              <w:rPr>
                <w:sz w:val="21"/>
                <w:szCs w:val="21"/>
              </w:rPr>
            </w:pPr>
            <w:r w:rsidRPr="00E83694">
              <w:rPr>
                <w:sz w:val="21"/>
                <w:szCs w:val="21"/>
              </w:rPr>
              <w:t>Costs of early close out of debt</w:t>
            </w:r>
          </w:p>
        </w:tc>
        <w:tc>
          <w:tcPr>
            <w:tcW w:w="1559" w:type="dxa"/>
            <w:shd w:val="clear" w:color="auto" w:fill="auto"/>
            <w:vAlign w:val="bottom"/>
          </w:tcPr>
          <w:p w14:paraId="2B7404F7" w14:textId="77777777" w:rsidR="00335112" w:rsidRPr="00B64915" w:rsidRDefault="00335112" w:rsidP="00AD38E9">
            <w:pPr>
              <w:pStyle w:val="TableFigures"/>
            </w:pPr>
            <w:r w:rsidRPr="00B64915">
              <w:t>8</w:t>
            </w:r>
          </w:p>
        </w:tc>
        <w:tc>
          <w:tcPr>
            <w:tcW w:w="1417" w:type="dxa"/>
            <w:shd w:val="clear" w:color="auto" w:fill="auto"/>
          </w:tcPr>
          <w:p w14:paraId="1CEF4A27" w14:textId="2C13D4EC" w:rsidR="00335112" w:rsidRPr="00E83694" w:rsidRDefault="00335112" w:rsidP="00AD38E9">
            <w:pPr>
              <w:pStyle w:val="TableFiguresBold0"/>
              <w:rPr>
                <w:sz w:val="21"/>
                <w:szCs w:val="21"/>
              </w:rPr>
            </w:pPr>
            <w:r>
              <w:t>–</w:t>
            </w:r>
          </w:p>
        </w:tc>
        <w:tc>
          <w:tcPr>
            <w:tcW w:w="1418" w:type="dxa"/>
            <w:vAlign w:val="bottom"/>
          </w:tcPr>
          <w:p w14:paraId="22FC8C84" w14:textId="76DDC1EB" w:rsidR="00335112" w:rsidRPr="00DC4F14" w:rsidRDefault="00335112" w:rsidP="00AD38E9">
            <w:pPr>
              <w:pStyle w:val="TableFigures"/>
            </w:pPr>
            <w:r>
              <w:t>11</w:t>
            </w:r>
          </w:p>
        </w:tc>
      </w:tr>
      <w:tr w:rsidR="00335112" w:rsidRPr="00E83694" w14:paraId="37AE0CFF" w14:textId="77777777" w:rsidTr="00AD38E9">
        <w:tc>
          <w:tcPr>
            <w:tcW w:w="5671" w:type="dxa"/>
            <w:shd w:val="clear" w:color="auto" w:fill="auto"/>
            <w:vAlign w:val="bottom"/>
          </w:tcPr>
          <w:p w14:paraId="2B66DF61" w14:textId="78369144" w:rsidR="00335112" w:rsidRPr="00E83694" w:rsidRDefault="00335112" w:rsidP="00AD38E9">
            <w:pPr>
              <w:pStyle w:val="Tabletext"/>
              <w:rPr>
                <w:sz w:val="21"/>
                <w:szCs w:val="21"/>
              </w:rPr>
            </w:pPr>
            <w:r w:rsidRPr="00E83694">
              <w:rPr>
                <w:sz w:val="21"/>
                <w:szCs w:val="21"/>
              </w:rPr>
              <w:t xml:space="preserve">Net fair value </w:t>
            </w:r>
            <w:r>
              <w:rPr>
                <w:sz w:val="21"/>
                <w:szCs w:val="21"/>
              </w:rPr>
              <w:t>loss/(</w:t>
            </w:r>
            <w:r w:rsidRPr="00E83694">
              <w:rPr>
                <w:sz w:val="21"/>
                <w:szCs w:val="21"/>
              </w:rPr>
              <w:t>gain</w:t>
            </w:r>
            <w:r>
              <w:rPr>
                <w:sz w:val="21"/>
                <w:szCs w:val="21"/>
              </w:rPr>
              <w:t>)</w:t>
            </w:r>
            <w:r w:rsidRPr="00E83694">
              <w:rPr>
                <w:sz w:val="21"/>
                <w:szCs w:val="21"/>
              </w:rPr>
              <w:t xml:space="preserve"> on interest rate swaps and other derivatives </w:t>
            </w:r>
          </w:p>
        </w:tc>
        <w:tc>
          <w:tcPr>
            <w:tcW w:w="1559" w:type="dxa"/>
            <w:shd w:val="clear" w:color="auto" w:fill="auto"/>
            <w:vAlign w:val="bottom"/>
          </w:tcPr>
          <w:p w14:paraId="24945B5D" w14:textId="77777777" w:rsidR="00335112" w:rsidRPr="00B64915" w:rsidRDefault="00335112" w:rsidP="00AD38E9">
            <w:pPr>
              <w:pStyle w:val="TableFigures"/>
            </w:pPr>
            <w:r w:rsidRPr="00B64915">
              <w:t>8</w:t>
            </w:r>
          </w:p>
        </w:tc>
        <w:tc>
          <w:tcPr>
            <w:tcW w:w="1417" w:type="dxa"/>
            <w:shd w:val="clear" w:color="auto" w:fill="auto"/>
            <w:vAlign w:val="bottom"/>
          </w:tcPr>
          <w:p w14:paraId="6A81D16E" w14:textId="53F91395" w:rsidR="00335112" w:rsidRPr="00E83694" w:rsidRDefault="00335112" w:rsidP="00B64915">
            <w:pPr>
              <w:pStyle w:val="TableFiguresBold0"/>
              <w:rPr>
                <w:sz w:val="21"/>
              </w:rPr>
            </w:pPr>
            <w:r>
              <w:t>82</w:t>
            </w:r>
          </w:p>
        </w:tc>
        <w:tc>
          <w:tcPr>
            <w:tcW w:w="1418" w:type="dxa"/>
            <w:vAlign w:val="bottom"/>
          </w:tcPr>
          <w:p w14:paraId="114C5037" w14:textId="4441D471" w:rsidR="00335112" w:rsidRPr="00DC4F14" w:rsidRDefault="00335112" w:rsidP="00AD38E9">
            <w:pPr>
              <w:pStyle w:val="TableFiguresBrackets"/>
            </w:pPr>
            <w:r>
              <w:t>(14)</w:t>
            </w:r>
          </w:p>
        </w:tc>
      </w:tr>
      <w:tr w:rsidR="00335112" w:rsidRPr="00E83694" w14:paraId="728F79E9" w14:textId="77777777" w:rsidTr="00AD38E9">
        <w:tc>
          <w:tcPr>
            <w:tcW w:w="5671" w:type="dxa"/>
            <w:shd w:val="clear" w:color="auto" w:fill="auto"/>
            <w:vAlign w:val="bottom"/>
          </w:tcPr>
          <w:p w14:paraId="2B356343" w14:textId="77777777" w:rsidR="00335112" w:rsidRPr="00E83694" w:rsidRDefault="00335112" w:rsidP="00AD38E9">
            <w:pPr>
              <w:pStyle w:val="Tabletext"/>
              <w:rPr>
                <w:sz w:val="21"/>
                <w:szCs w:val="21"/>
              </w:rPr>
            </w:pPr>
            <w:r w:rsidRPr="00E83694">
              <w:rPr>
                <w:sz w:val="21"/>
                <w:szCs w:val="21"/>
              </w:rPr>
              <w:t>Deferred tax charge in respect of EPRA adjustments</w:t>
            </w:r>
            <w:r w:rsidRPr="00E83694">
              <w:rPr>
                <w:sz w:val="21"/>
                <w:szCs w:val="21"/>
                <w:vertAlign w:val="superscript"/>
              </w:rPr>
              <w:t>1</w:t>
            </w:r>
          </w:p>
        </w:tc>
        <w:tc>
          <w:tcPr>
            <w:tcW w:w="1559" w:type="dxa"/>
            <w:shd w:val="clear" w:color="auto" w:fill="auto"/>
            <w:vAlign w:val="bottom"/>
          </w:tcPr>
          <w:p w14:paraId="3A2DC5E6" w14:textId="77777777" w:rsidR="00335112" w:rsidRPr="00B64915" w:rsidRDefault="00335112" w:rsidP="00AD38E9">
            <w:pPr>
              <w:pStyle w:val="TableFigures"/>
              <w:rPr>
                <w:sz w:val="21"/>
                <w:szCs w:val="21"/>
              </w:rPr>
            </w:pPr>
          </w:p>
        </w:tc>
        <w:tc>
          <w:tcPr>
            <w:tcW w:w="1417" w:type="dxa"/>
            <w:shd w:val="clear" w:color="auto" w:fill="auto"/>
          </w:tcPr>
          <w:p w14:paraId="090DEA1D" w14:textId="16517A60" w:rsidR="00335112" w:rsidRPr="00E83694" w:rsidRDefault="005D5F2C" w:rsidP="00AD38E9">
            <w:pPr>
              <w:pStyle w:val="TableFiguresBold0"/>
              <w:rPr>
                <w:sz w:val="21"/>
              </w:rPr>
            </w:pPr>
            <w:r>
              <w:t>232</w:t>
            </w:r>
          </w:p>
        </w:tc>
        <w:tc>
          <w:tcPr>
            <w:tcW w:w="1418" w:type="dxa"/>
            <w:vAlign w:val="bottom"/>
          </w:tcPr>
          <w:p w14:paraId="75DB210A" w14:textId="51118FEB" w:rsidR="00335112" w:rsidRPr="00E83694" w:rsidRDefault="00335112" w:rsidP="00AD38E9">
            <w:pPr>
              <w:pStyle w:val="TableFigures"/>
              <w:rPr>
                <w:szCs w:val="21"/>
              </w:rPr>
            </w:pPr>
            <w:r>
              <w:t>31</w:t>
            </w:r>
          </w:p>
        </w:tc>
      </w:tr>
      <w:tr w:rsidR="00335112" w:rsidRPr="00E83694" w14:paraId="5DE873C7" w14:textId="77777777" w:rsidTr="00AD38E9">
        <w:tc>
          <w:tcPr>
            <w:tcW w:w="5671" w:type="dxa"/>
            <w:shd w:val="clear" w:color="auto" w:fill="auto"/>
            <w:vAlign w:val="bottom"/>
          </w:tcPr>
          <w:p w14:paraId="6E2FDA5A" w14:textId="08DD8A94" w:rsidR="00335112" w:rsidRPr="00E83694" w:rsidRDefault="00335112" w:rsidP="00AD38E9">
            <w:pPr>
              <w:pStyle w:val="Tabletext"/>
              <w:rPr>
                <w:sz w:val="21"/>
                <w:szCs w:val="21"/>
              </w:rPr>
            </w:pPr>
            <w:r>
              <w:rPr>
                <w:sz w:val="21"/>
                <w:szCs w:val="21"/>
              </w:rPr>
              <w:t>SIIC entry tax charge</w:t>
            </w:r>
            <w:r w:rsidR="005D5F2C" w:rsidRPr="00BA4E4C">
              <w:rPr>
                <w:sz w:val="21"/>
                <w:szCs w:val="21"/>
                <w:vertAlign w:val="superscript"/>
              </w:rPr>
              <w:t>1</w:t>
            </w:r>
          </w:p>
        </w:tc>
        <w:tc>
          <w:tcPr>
            <w:tcW w:w="1559" w:type="dxa"/>
            <w:shd w:val="clear" w:color="auto" w:fill="auto"/>
            <w:vAlign w:val="bottom"/>
          </w:tcPr>
          <w:p w14:paraId="3CD89E90" w14:textId="37FBC72A" w:rsidR="00335112" w:rsidRPr="00B64915" w:rsidRDefault="00D7207E">
            <w:pPr>
              <w:pStyle w:val="TableFigures"/>
            </w:pPr>
            <w:r w:rsidRPr="00B64915">
              <w:t>9</w:t>
            </w:r>
          </w:p>
        </w:tc>
        <w:tc>
          <w:tcPr>
            <w:tcW w:w="1417" w:type="dxa"/>
            <w:shd w:val="clear" w:color="auto" w:fill="auto"/>
          </w:tcPr>
          <w:p w14:paraId="5D47DB7E" w14:textId="54C32553" w:rsidR="00335112" w:rsidRDefault="00335112" w:rsidP="00AD38E9">
            <w:pPr>
              <w:pStyle w:val="TableFiguresBold0"/>
            </w:pPr>
            <w:r>
              <w:t>38</w:t>
            </w:r>
          </w:p>
        </w:tc>
        <w:tc>
          <w:tcPr>
            <w:tcW w:w="1418" w:type="dxa"/>
            <w:vAlign w:val="bottom"/>
          </w:tcPr>
          <w:p w14:paraId="28BC612B" w14:textId="5D7BD344" w:rsidR="00335112" w:rsidRDefault="00335112" w:rsidP="00AD38E9">
            <w:pPr>
              <w:pStyle w:val="TableFigures"/>
            </w:pPr>
            <w:r>
              <w:t>–</w:t>
            </w:r>
          </w:p>
        </w:tc>
      </w:tr>
      <w:tr w:rsidR="00335112" w:rsidRPr="00E83694" w14:paraId="770BCDF8" w14:textId="77777777" w:rsidTr="00AD38E9">
        <w:tc>
          <w:tcPr>
            <w:tcW w:w="5671" w:type="dxa"/>
            <w:shd w:val="clear" w:color="auto" w:fill="auto"/>
            <w:vAlign w:val="bottom"/>
          </w:tcPr>
          <w:p w14:paraId="0544D476" w14:textId="77777777" w:rsidR="00335112" w:rsidRPr="00E83694" w:rsidRDefault="00335112" w:rsidP="00AD38E9">
            <w:pPr>
              <w:pStyle w:val="Tabletext"/>
              <w:rPr>
                <w:sz w:val="21"/>
                <w:szCs w:val="21"/>
              </w:rPr>
            </w:pPr>
            <w:r w:rsidRPr="00E83694">
              <w:rPr>
                <w:sz w:val="21"/>
                <w:szCs w:val="21"/>
              </w:rPr>
              <w:t>Adjustments to the share of profit from joint ventures after tax</w:t>
            </w:r>
          </w:p>
        </w:tc>
        <w:tc>
          <w:tcPr>
            <w:tcW w:w="1559" w:type="dxa"/>
            <w:shd w:val="clear" w:color="auto" w:fill="auto"/>
            <w:vAlign w:val="bottom"/>
          </w:tcPr>
          <w:p w14:paraId="3C976D3D" w14:textId="77777777" w:rsidR="00335112" w:rsidRPr="00B64915" w:rsidRDefault="00335112" w:rsidP="00AD38E9">
            <w:pPr>
              <w:pStyle w:val="TableFigures"/>
            </w:pPr>
            <w:r w:rsidRPr="00B64915">
              <w:t>6</w:t>
            </w:r>
          </w:p>
        </w:tc>
        <w:tc>
          <w:tcPr>
            <w:tcW w:w="1417" w:type="dxa"/>
            <w:shd w:val="clear" w:color="auto" w:fill="auto"/>
          </w:tcPr>
          <w:p w14:paraId="184683BF" w14:textId="00EE8751" w:rsidR="00335112" w:rsidRPr="00E83694" w:rsidRDefault="00335112" w:rsidP="00AD38E9">
            <w:pPr>
              <w:pStyle w:val="TableFiguresBracketsBold"/>
              <w:rPr>
                <w:sz w:val="21"/>
                <w:szCs w:val="21"/>
              </w:rPr>
            </w:pPr>
            <w:r w:rsidRPr="00E83694">
              <w:t>(</w:t>
            </w:r>
            <w:r>
              <w:t>405</w:t>
            </w:r>
            <w:r w:rsidRPr="00E83694">
              <w:t>)</w:t>
            </w:r>
          </w:p>
        </w:tc>
        <w:tc>
          <w:tcPr>
            <w:tcW w:w="1418" w:type="dxa"/>
            <w:vAlign w:val="bottom"/>
          </w:tcPr>
          <w:p w14:paraId="6438EDE8" w14:textId="4BC17E99" w:rsidR="00335112" w:rsidRPr="00981466" w:rsidRDefault="00335112" w:rsidP="00AD38E9">
            <w:pPr>
              <w:pStyle w:val="TableFiguresBrackets"/>
            </w:pPr>
            <w:r w:rsidRPr="00981466">
              <w:t>(</w:t>
            </w:r>
            <w:r>
              <w:t>175</w:t>
            </w:r>
            <w:r w:rsidRPr="00981466">
              <w:t>)</w:t>
            </w:r>
          </w:p>
        </w:tc>
      </w:tr>
      <w:tr w:rsidR="00335112" w:rsidRPr="00E83694" w14:paraId="48E3475F" w14:textId="77777777" w:rsidTr="00AD38E9">
        <w:tc>
          <w:tcPr>
            <w:tcW w:w="5671" w:type="dxa"/>
            <w:tcBorders>
              <w:bottom w:val="single" w:sz="4" w:space="0" w:color="A6A6A6" w:themeColor="background1" w:themeShade="A6"/>
            </w:tcBorders>
            <w:shd w:val="clear" w:color="auto" w:fill="auto"/>
            <w:vAlign w:val="bottom"/>
          </w:tcPr>
          <w:p w14:paraId="1AE9AA7E" w14:textId="77777777" w:rsidR="00335112" w:rsidRPr="00E83694" w:rsidRDefault="00335112" w:rsidP="00AD38E9">
            <w:pPr>
              <w:pStyle w:val="Tabletext"/>
              <w:rPr>
                <w:sz w:val="21"/>
                <w:szCs w:val="21"/>
              </w:rPr>
            </w:pPr>
            <w:r w:rsidRPr="00E83694">
              <w:rPr>
                <w:sz w:val="21"/>
                <w:szCs w:val="21"/>
              </w:rPr>
              <w:t>Non-controlling interests in respect of the above</w:t>
            </w:r>
          </w:p>
        </w:tc>
        <w:tc>
          <w:tcPr>
            <w:tcW w:w="1559" w:type="dxa"/>
            <w:tcBorders>
              <w:bottom w:val="single" w:sz="4" w:space="0" w:color="A6A6A6" w:themeColor="background1" w:themeShade="A6"/>
            </w:tcBorders>
            <w:shd w:val="clear" w:color="auto" w:fill="auto"/>
            <w:vAlign w:val="bottom"/>
          </w:tcPr>
          <w:p w14:paraId="113E5FF2" w14:textId="77777777" w:rsidR="00335112" w:rsidRPr="00B64915" w:rsidRDefault="00335112" w:rsidP="00AD38E9">
            <w:pPr>
              <w:pStyle w:val="TableFigures"/>
            </w:pPr>
            <w:r w:rsidRPr="00B64915">
              <w:t>2</w:t>
            </w:r>
          </w:p>
        </w:tc>
        <w:tc>
          <w:tcPr>
            <w:tcW w:w="1417" w:type="dxa"/>
            <w:tcBorders>
              <w:bottom w:val="single" w:sz="4" w:space="0" w:color="A6A6A6" w:themeColor="background1" w:themeShade="A6"/>
            </w:tcBorders>
            <w:shd w:val="clear" w:color="auto" w:fill="auto"/>
          </w:tcPr>
          <w:p w14:paraId="20F374EC" w14:textId="1D30BE90" w:rsidR="00335112" w:rsidRPr="00E83694" w:rsidRDefault="00335112" w:rsidP="00AD38E9">
            <w:pPr>
              <w:pStyle w:val="TableFiguresBold0"/>
              <w:rPr>
                <w:sz w:val="21"/>
                <w:szCs w:val="21"/>
              </w:rPr>
            </w:pPr>
            <w:r>
              <w:t>7</w:t>
            </w:r>
          </w:p>
        </w:tc>
        <w:tc>
          <w:tcPr>
            <w:tcW w:w="1418" w:type="dxa"/>
            <w:tcBorders>
              <w:bottom w:val="single" w:sz="4" w:space="0" w:color="A6A6A6" w:themeColor="background1" w:themeShade="A6"/>
            </w:tcBorders>
            <w:vAlign w:val="bottom"/>
          </w:tcPr>
          <w:p w14:paraId="36D94971" w14:textId="3B9F1769" w:rsidR="00335112" w:rsidRPr="00DC4F14" w:rsidRDefault="00335112" w:rsidP="00AD38E9">
            <w:pPr>
              <w:pStyle w:val="TableFigures"/>
            </w:pPr>
            <w:r>
              <w:t>2</w:t>
            </w:r>
          </w:p>
        </w:tc>
      </w:tr>
      <w:tr w:rsidR="00335112" w:rsidRPr="00E83694" w14:paraId="7F38A417" w14:textId="77777777" w:rsidTr="00AD38E9">
        <w:tc>
          <w:tcPr>
            <w:tcW w:w="5671" w:type="dxa"/>
            <w:tcBorders>
              <w:top w:val="single" w:sz="4" w:space="0" w:color="A6A6A6" w:themeColor="background1" w:themeShade="A6"/>
              <w:bottom w:val="single" w:sz="4" w:space="0" w:color="A6A6A6" w:themeColor="background1" w:themeShade="A6"/>
            </w:tcBorders>
            <w:shd w:val="clear" w:color="auto" w:fill="auto"/>
            <w:vAlign w:val="bottom"/>
          </w:tcPr>
          <w:p w14:paraId="5235E0C0" w14:textId="77777777" w:rsidR="00335112" w:rsidRPr="00E83694" w:rsidRDefault="00335112" w:rsidP="00AD38E9">
            <w:pPr>
              <w:pStyle w:val="TabletextBold"/>
              <w:rPr>
                <w:sz w:val="21"/>
                <w:szCs w:val="21"/>
              </w:rPr>
            </w:pPr>
            <w:r w:rsidRPr="00E83694">
              <w:rPr>
                <w:sz w:val="21"/>
                <w:szCs w:val="21"/>
              </w:rPr>
              <w:t>EPRA earnings</w:t>
            </w:r>
          </w:p>
        </w:tc>
        <w:tc>
          <w:tcPr>
            <w:tcW w:w="1559" w:type="dxa"/>
            <w:tcBorders>
              <w:top w:val="single" w:sz="4" w:space="0" w:color="A6A6A6" w:themeColor="background1" w:themeShade="A6"/>
              <w:bottom w:val="single" w:sz="4" w:space="0" w:color="A6A6A6" w:themeColor="background1" w:themeShade="A6"/>
            </w:tcBorders>
            <w:shd w:val="clear" w:color="auto" w:fill="auto"/>
            <w:vAlign w:val="bottom"/>
          </w:tcPr>
          <w:p w14:paraId="77FC0C66" w14:textId="77777777" w:rsidR="00335112" w:rsidRPr="00B64915" w:rsidRDefault="00335112" w:rsidP="00AD38E9">
            <w:pPr>
              <w:pStyle w:val="TableFiguresBracketsBold"/>
              <w:rPr>
                <w:b w:val="0"/>
                <w:sz w:val="21"/>
                <w:szCs w:val="21"/>
              </w:rPr>
            </w:pPr>
          </w:p>
        </w:tc>
        <w:tc>
          <w:tcPr>
            <w:tcW w:w="1417" w:type="dxa"/>
            <w:tcBorders>
              <w:top w:val="single" w:sz="4" w:space="0" w:color="A6A6A6" w:themeColor="background1" w:themeShade="A6"/>
              <w:bottom w:val="single" w:sz="4" w:space="0" w:color="A6A6A6" w:themeColor="background1" w:themeShade="A6"/>
            </w:tcBorders>
            <w:shd w:val="clear" w:color="auto" w:fill="auto"/>
          </w:tcPr>
          <w:p w14:paraId="1B749F6A" w14:textId="5DB0C14B" w:rsidR="00335112" w:rsidRPr="00E83694" w:rsidRDefault="00335112" w:rsidP="00AD38E9">
            <w:pPr>
              <w:pStyle w:val="TableFiguresBold0"/>
              <w:rPr>
                <w:sz w:val="21"/>
                <w:szCs w:val="21"/>
              </w:rPr>
            </w:pPr>
            <w:r>
              <w:t>348</w:t>
            </w:r>
          </w:p>
        </w:tc>
        <w:tc>
          <w:tcPr>
            <w:tcW w:w="1418" w:type="dxa"/>
            <w:tcBorders>
              <w:top w:val="single" w:sz="4" w:space="0" w:color="A6A6A6" w:themeColor="background1" w:themeShade="A6"/>
              <w:bottom w:val="single" w:sz="4" w:space="0" w:color="A6A6A6" w:themeColor="background1" w:themeShade="A6"/>
            </w:tcBorders>
            <w:vAlign w:val="bottom"/>
          </w:tcPr>
          <w:p w14:paraId="641470CF" w14:textId="1929B0EB" w:rsidR="00335112" w:rsidRPr="00DC4F14" w:rsidRDefault="00335112" w:rsidP="00AD38E9">
            <w:pPr>
              <w:pStyle w:val="TableFigures"/>
            </w:pPr>
            <w:r>
              <w:t>292</w:t>
            </w:r>
          </w:p>
        </w:tc>
      </w:tr>
      <w:tr w:rsidR="00335112" w:rsidRPr="00E83694" w14:paraId="6C2139FD" w14:textId="77777777" w:rsidTr="00AD38E9">
        <w:tc>
          <w:tcPr>
            <w:tcW w:w="5671" w:type="dxa"/>
            <w:tcBorders>
              <w:top w:val="single" w:sz="4" w:space="0" w:color="A6A6A6" w:themeColor="background1" w:themeShade="A6"/>
            </w:tcBorders>
            <w:shd w:val="clear" w:color="auto" w:fill="auto"/>
            <w:vAlign w:val="bottom"/>
          </w:tcPr>
          <w:p w14:paraId="3AFBFFF7" w14:textId="77777777" w:rsidR="00335112" w:rsidRPr="00E83694" w:rsidRDefault="00335112" w:rsidP="00AD38E9">
            <w:pPr>
              <w:pStyle w:val="Tabletext"/>
              <w:rPr>
                <w:sz w:val="21"/>
                <w:szCs w:val="21"/>
              </w:rPr>
            </w:pPr>
            <w:r w:rsidRPr="00E83694">
              <w:rPr>
                <w:sz w:val="21"/>
                <w:szCs w:val="21"/>
              </w:rPr>
              <w:t>Basic number of shares</w:t>
            </w:r>
            <w:r>
              <w:rPr>
                <w:sz w:val="21"/>
                <w:szCs w:val="21"/>
              </w:rPr>
              <w:t>, million</w:t>
            </w:r>
            <w:r w:rsidRPr="00E83694">
              <w:rPr>
                <w:sz w:val="21"/>
                <w:szCs w:val="21"/>
              </w:rPr>
              <w:t xml:space="preserve"> </w:t>
            </w:r>
          </w:p>
        </w:tc>
        <w:tc>
          <w:tcPr>
            <w:tcW w:w="1559" w:type="dxa"/>
            <w:tcBorders>
              <w:top w:val="single" w:sz="4" w:space="0" w:color="A6A6A6" w:themeColor="background1" w:themeShade="A6"/>
            </w:tcBorders>
            <w:shd w:val="clear" w:color="auto" w:fill="auto"/>
            <w:vAlign w:val="bottom"/>
          </w:tcPr>
          <w:p w14:paraId="70977913" w14:textId="77777777" w:rsidR="00335112" w:rsidRPr="00B64915" w:rsidRDefault="00335112" w:rsidP="00AD38E9">
            <w:pPr>
              <w:pStyle w:val="TableFigures"/>
            </w:pPr>
            <w:r w:rsidRPr="00B64915">
              <w:t>11</w:t>
            </w:r>
          </w:p>
        </w:tc>
        <w:tc>
          <w:tcPr>
            <w:tcW w:w="1417" w:type="dxa"/>
            <w:tcBorders>
              <w:top w:val="single" w:sz="4" w:space="0" w:color="A6A6A6" w:themeColor="background1" w:themeShade="A6"/>
            </w:tcBorders>
            <w:shd w:val="clear" w:color="auto" w:fill="auto"/>
          </w:tcPr>
          <w:p w14:paraId="7E0CBFA4" w14:textId="1C673E30" w:rsidR="00335112" w:rsidRPr="00E83694" w:rsidRDefault="00335112" w:rsidP="00AD38E9">
            <w:pPr>
              <w:pStyle w:val="TableFiguresBold0"/>
              <w:rPr>
                <w:sz w:val="21"/>
                <w:szCs w:val="21"/>
              </w:rPr>
            </w:pPr>
            <w:r>
              <w:t>1,197.7</w:t>
            </w:r>
          </w:p>
        </w:tc>
        <w:tc>
          <w:tcPr>
            <w:tcW w:w="1418" w:type="dxa"/>
            <w:tcBorders>
              <w:top w:val="single" w:sz="4" w:space="0" w:color="A6A6A6" w:themeColor="background1" w:themeShade="A6"/>
            </w:tcBorders>
            <w:vAlign w:val="bottom"/>
          </w:tcPr>
          <w:p w14:paraId="4A20EC97" w14:textId="1EF1DBAF" w:rsidR="00335112" w:rsidRPr="00DC4F14" w:rsidRDefault="00335112" w:rsidP="00AD38E9">
            <w:pPr>
              <w:pStyle w:val="TableFigures"/>
            </w:pPr>
            <w:r>
              <w:t>1,149.8</w:t>
            </w:r>
          </w:p>
        </w:tc>
      </w:tr>
      <w:tr w:rsidR="00335112" w:rsidRPr="00E83694" w14:paraId="33742FD3" w14:textId="77777777" w:rsidTr="00AD38E9">
        <w:tc>
          <w:tcPr>
            <w:tcW w:w="5671" w:type="dxa"/>
            <w:tcBorders>
              <w:bottom w:val="single" w:sz="4" w:space="0" w:color="A6A6A6" w:themeColor="background1" w:themeShade="A6"/>
            </w:tcBorders>
            <w:shd w:val="clear" w:color="auto" w:fill="auto"/>
            <w:vAlign w:val="bottom"/>
          </w:tcPr>
          <w:p w14:paraId="51BA96A5" w14:textId="77777777" w:rsidR="00335112" w:rsidRPr="00E83694" w:rsidRDefault="00335112" w:rsidP="00AD38E9">
            <w:pPr>
              <w:pStyle w:val="Tabletext"/>
              <w:rPr>
                <w:sz w:val="21"/>
                <w:szCs w:val="21"/>
              </w:rPr>
            </w:pPr>
            <w:r w:rsidRPr="00E83694">
              <w:rPr>
                <w:sz w:val="21"/>
                <w:szCs w:val="21"/>
              </w:rPr>
              <w:t>EPRA Earnings per Share (EPS)</w:t>
            </w:r>
          </w:p>
        </w:tc>
        <w:tc>
          <w:tcPr>
            <w:tcW w:w="1559" w:type="dxa"/>
            <w:tcBorders>
              <w:bottom w:val="single" w:sz="4" w:space="0" w:color="A6A6A6" w:themeColor="background1" w:themeShade="A6"/>
            </w:tcBorders>
            <w:shd w:val="clear" w:color="auto" w:fill="auto"/>
            <w:vAlign w:val="bottom"/>
          </w:tcPr>
          <w:p w14:paraId="7E321BF8" w14:textId="77777777" w:rsidR="00335112" w:rsidRPr="00B64915" w:rsidRDefault="00335112" w:rsidP="00AD38E9">
            <w:pPr>
              <w:pStyle w:val="TableFiguresBracketsBold"/>
              <w:rPr>
                <w:b w:val="0"/>
                <w:sz w:val="21"/>
                <w:szCs w:val="21"/>
              </w:rPr>
            </w:pPr>
          </w:p>
        </w:tc>
        <w:tc>
          <w:tcPr>
            <w:tcW w:w="1417" w:type="dxa"/>
            <w:tcBorders>
              <w:bottom w:val="single" w:sz="4" w:space="0" w:color="A6A6A6" w:themeColor="background1" w:themeShade="A6"/>
            </w:tcBorders>
            <w:shd w:val="clear" w:color="auto" w:fill="auto"/>
          </w:tcPr>
          <w:p w14:paraId="6367E5BD" w14:textId="4E47A380" w:rsidR="00335112" w:rsidRPr="00E83694" w:rsidRDefault="00335112" w:rsidP="00AD38E9">
            <w:pPr>
              <w:pStyle w:val="TableFiguresBold0"/>
              <w:rPr>
                <w:sz w:val="21"/>
                <w:szCs w:val="21"/>
              </w:rPr>
            </w:pPr>
            <w:r>
              <w:t>29.1</w:t>
            </w:r>
          </w:p>
        </w:tc>
        <w:tc>
          <w:tcPr>
            <w:tcW w:w="1418" w:type="dxa"/>
            <w:tcBorders>
              <w:bottom w:val="single" w:sz="4" w:space="0" w:color="A6A6A6" w:themeColor="background1" w:themeShade="A6"/>
            </w:tcBorders>
            <w:vAlign w:val="bottom"/>
          </w:tcPr>
          <w:p w14:paraId="23E56C30" w14:textId="4837D8DC" w:rsidR="00335112" w:rsidRPr="00DC4F14" w:rsidRDefault="00335112" w:rsidP="00AD38E9">
            <w:pPr>
              <w:pStyle w:val="TableFigures"/>
            </w:pPr>
            <w:r>
              <w:t>25.4</w:t>
            </w:r>
          </w:p>
        </w:tc>
      </w:tr>
      <w:tr w:rsidR="00335112" w:rsidRPr="00E83694" w14:paraId="58944805" w14:textId="77777777" w:rsidTr="00AD38E9">
        <w:tc>
          <w:tcPr>
            <w:tcW w:w="5671" w:type="dxa"/>
            <w:tcBorders>
              <w:top w:val="single" w:sz="4" w:space="0" w:color="A6A6A6" w:themeColor="background1" w:themeShade="A6"/>
            </w:tcBorders>
            <w:shd w:val="clear" w:color="auto" w:fill="auto"/>
            <w:vAlign w:val="bottom"/>
          </w:tcPr>
          <w:p w14:paraId="0B5B88F3" w14:textId="77777777" w:rsidR="00335112" w:rsidRPr="00E83694" w:rsidRDefault="00335112" w:rsidP="00AD38E9">
            <w:pPr>
              <w:pStyle w:val="TabletextBold"/>
              <w:rPr>
                <w:sz w:val="21"/>
                <w:szCs w:val="21"/>
              </w:rPr>
            </w:pPr>
            <w:r w:rsidRPr="00E83694">
              <w:rPr>
                <w:sz w:val="21"/>
                <w:szCs w:val="21"/>
              </w:rPr>
              <w:t>Company specific adjustments:</w:t>
            </w:r>
          </w:p>
        </w:tc>
        <w:tc>
          <w:tcPr>
            <w:tcW w:w="1559" w:type="dxa"/>
            <w:tcBorders>
              <w:top w:val="single" w:sz="4" w:space="0" w:color="A6A6A6" w:themeColor="background1" w:themeShade="A6"/>
            </w:tcBorders>
            <w:shd w:val="clear" w:color="auto" w:fill="auto"/>
            <w:vAlign w:val="bottom"/>
          </w:tcPr>
          <w:p w14:paraId="51A176D7" w14:textId="77777777" w:rsidR="00335112" w:rsidRPr="00B64915" w:rsidRDefault="00335112" w:rsidP="00AD38E9">
            <w:pPr>
              <w:pStyle w:val="TableFiguresBracketsBold"/>
              <w:rPr>
                <w:b w:val="0"/>
                <w:sz w:val="21"/>
                <w:szCs w:val="21"/>
              </w:rPr>
            </w:pPr>
          </w:p>
        </w:tc>
        <w:tc>
          <w:tcPr>
            <w:tcW w:w="1417" w:type="dxa"/>
            <w:tcBorders>
              <w:top w:val="single" w:sz="4" w:space="0" w:color="A6A6A6" w:themeColor="background1" w:themeShade="A6"/>
            </w:tcBorders>
            <w:shd w:val="clear" w:color="auto" w:fill="auto"/>
            <w:vAlign w:val="bottom"/>
          </w:tcPr>
          <w:p w14:paraId="3A590886" w14:textId="77777777" w:rsidR="00335112" w:rsidRPr="00E83694" w:rsidRDefault="00335112" w:rsidP="00AD38E9">
            <w:pPr>
              <w:pStyle w:val="TableFiguresBracketsBold"/>
              <w:rPr>
                <w:sz w:val="21"/>
                <w:szCs w:val="21"/>
              </w:rPr>
            </w:pPr>
          </w:p>
        </w:tc>
        <w:tc>
          <w:tcPr>
            <w:tcW w:w="1418" w:type="dxa"/>
            <w:tcBorders>
              <w:top w:val="single" w:sz="4" w:space="0" w:color="A6A6A6" w:themeColor="background1" w:themeShade="A6"/>
            </w:tcBorders>
            <w:vAlign w:val="bottom"/>
          </w:tcPr>
          <w:p w14:paraId="04A8BE2C" w14:textId="77777777" w:rsidR="00335112" w:rsidRPr="00E83694" w:rsidRDefault="00335112" w:rsidP="00AD38E9">
            <w:pPr>
              <w:pStyle w:val="TableFigures"/>
              <w:rPr>
                <w:bCs/>
                <w:sz w:val="21"/>
                <w:szCs w:val="21"/>
              </w:rPr>
            </w:pPr>
          </w:p>
        </w:tc>
      </w:tr>
      <w:tr w:rsidR="00335112" w:rsidRPr="00E83694" w14:paraId="7C5D191B" w14:textId="77777777" w:rsidTr="00AD38E9">
        <w:tc>
          <w:tcPr>
            <w:tcW w:w="5671" w:type="dxa"/>
            <w:tcBorders>
              <w:bottom w:val="single" w:sz="4" w:space="0" w:color="A6A6A6" w:themeColor="background1" w:themeShade="A6"/>
            </w:tcBorders>
            <w:shd w:val="clear" w:color="auto" w:fill="auto"/>
            <w:vAlign w:val="bottom"/>
          </w:tcPr>
          <w:p w14:paraId="4B9BBDD5" w14:textId="77777777" w:rsidR="00335112" w:rsidRPr="00E83694" w:rsidRDefault="00335112" w:rsidP="00AD38E9">
            <w:pPr>
              <w:pStyle w:val="Tabletext"/>
              <w:rPr>
                <w:sz w:val="21"/>
                <w:szCs w:val="21"/>
              </w:rPr>
            </w:pPr>
            <w:r>
              <w:rPr>
                <w:sz w:val="21"/>
                <w:szCs w:val="21"/>
              </w:rPr>
              <w:t>Non-EPRA adjustments</w:t>
            </w:r>
          </w:p>
        </w:tc>
        <w:tc>
          <w:tcPr>
            <w:tcW w:w="1559" w:type="dxa"/>
            <w:tcBorders>
              <w:bottom w:val="single" w:sz="4" w:space="0" w:color="A6A6A6" w:themeColor="background1" w:themeShade="A6"/>
            </w:tcBorders>
            <w:shd w:val="clear" w:color="auto" w:fill="auto"/>
            <w:vAlign w:val="bottom"/>
          </w:tcPr>
          <w:p w14:paraId="30CE824D" w14:textId="77777777" w:rsidR="00335112" w:rsidRPr="00B64915" w:rsidRDefault="00335112" w:rsidP="00AD38E9">
            <w:pPr>
              <w:pStyle w:val="TableFigures"/>
            </w:pPr>
            <w:r w:rsidRPr="00B64915">
              <w:t>2</w:t>
            </w:r>
          </w:p>
        </w:tc>
        <w:tc>
          <w:tcPr>
            <w:tcW w:w="1417" w:type="dxa"/>
            <w:tcBorders>
              <w:bottom w:val="single" w:sz="4" w:space="0" w:color="A6A6A6" w:themeColor="background1" w:themeShade="A6"/>
            </w:tcBorders>
            <w:shd w:val="clear" w:color="auto" w:fill="auto"/>
            <w:vAlign w:val="bottom"/>
          </w:tcPr>
          <w:p w14:paraId="7D69895A" w14:textId="77777777" w:rsidR="00335112" w:rsidRPr="00823C08" w:rsidRDefault="00335112" w:rsidP="00AD38E9">
            <w:pPr>
              <w:pStyle w:val="TableFigures"/>
              <w:rPr>
                <w:b/>
                <w:szCs w:val="18"/>
              </w:rPr>
            </w:pPr>
            <w:r w:rsidRPr="00823C08">
              <w:rPr>
                <w:b/>
                <w:szCs w:val="18"/>
              </w:rPr>
              <w:t>–</w:t>
            </w:r>
          </w:p>
        </w:tc>
        <w:tc>
          <w:tcPr>
            <w:tcW w:w="1418" w:type="dxa"/>
            <w:tcBorders>
              <w:bottom w:val="single" w:sz="4" w:space="0" w:color="A6A6A6" w:themeColor="background1" w:themeShade="A6"/>
            </w:tcBorders>
            <w:vAlign w:val="bottom"/>
          </w:tcPr>
          <w:p w14:paraId="54C7498A" w14:textId="77777777" w:rsidR="00335112" w:rsidRPr="00DC4F14" w:rsidRDefault="00335112" w:rsidP="00AD38E9">
            <w:pPr>
              <w:pStyle w:val="TableFigures"/>
            </w:pPr>
            <w:r w:rsidRPr="00DC4F14">
              <w:t>–</w:t>
            </w:r>
          </w:p>
        </w:tc>
      </w:tr>
      <w:tr w:rsidR="00335112" w:rsidRPr="00E83694" w14:paraId="2FFC35D5" w14:textId="77777777" w:rsidTr="00AD38E9">
        <w:tc>
          <w:tcPr>
            <w:tcW w:w="5671" w:type="dxa"/>
            <w:tcBorders>
              <w:top w:val="single" w:sz="4" w:space="0" w:color="A6A6A6" w:themeColor="background1" w:themeShade="A6"/>
              <w:bottom w:val="single" w:sz="4" w:space="0" w:color="A6A6A6" w:themeColor="background1" w:themeShade="A6"/>
            </w:tcBorders>
            <w:shd w:val="clear" w:color="auto" w:fill="auto"/>
            <w:vAlign w:val="bottom"/>
          </w:tcPr>
          <w:p w14:paraId="1A99292E" w14:textId="77777777" w:rsidR="00335112" w:rsidRPr="00E83694" w:rsidRDefault="00335112" w:rsidP="00AD38E9">
            <w:pPr>
              <w:pStyle w:val="TabletextBold"/>
              <w:rPr>
                <w:sz w:val="21"/>
                <w:szCs w:val="21"/>
              </w:rPr>
            </w:pPr>
            <w:r w:rsidRPr="00E83694">
              <w:rPr>
                <w:sz w:val="21"/>
                <w:szCs w:val="21"/>
              </w:rPr>
              <w:t>Adjusted earnings</w:t>
            </w:r>
          </w:p>
        </w:tc>
        <w:tc>
          <w:tcPr>
            <w:tcW w:w="1559" w:type="dxa"/>
            <w:tcBorders>
              <w:top w:val="single" w:sz="4" w:space="0" w:color="A6A6A6" w:themeColor="background1" w:themeShade="A6"/>
              <w:bottom w:val="single" w:sz="4" w:space="0" w:color="A6A6A6" w:themeColor="background1" w:themeShade="A6"/>
            </w:tcBorders>
            <w:shd w:val="clear" w:color="auto" w:fill="auto"/>
            <w:vAlign w:val="bottom"/>
          </w:tcPr>
          <w:p w14:paraId="00CD93AB" w14:textId="77777777" w:rsidR="00335112" w:rsidRPr="00B64915" w:rsidRDefault="00335112" w:rsidP="00AD38E9">
            <w:pPr>
              <w:pStyle w:val="TableFiguresBracketsBold"/>
              <w:rPr>
                <w:b w:val="0"/>
                <w:sz w:val="21"/>
                <w:szCs w:val="21"/>
              </w:rPr>
            </w:pPr>
          </w:p>
        </w:tc>
        <w:tc>
          <w:tcPr>
            <w:tcW w:w="1417" w:type="dxa"/>
            <w:tcBorders>
              <w:top w:val="single" w:sz="4" w:space="0" w:color="A6A6A6" w:themeColor="background1" w:themeShade="A6"/>
              <w:bottom w:val="single" w:sz="4" w:space="0" w:color="A6A6A6" w:themeColor="background1" w:themeShade="A6"/>
            </w:tcBorders>
            <w:shd w:val="clear" w:color="auto" w:fill="auto"/>
            <w:vAlign w:val="bottom"/>
          </w:tcPr>
          <w:p w14:paraId="69A6C54F" w14:textId="5EA068D5" w:rsidR="00335112" w:rsidRPr="00823C08" w:rsidRDefault="00335112" w:rsidP="00AD38E9">
            <w:pPr>
              <w:pStyle w:val="TableFigures"/>
              <w:rPr>
                <w:b/>
                <w:szCs w:val="18"/>
              </w:rPr>
            </w:pPr>
            <w:r>
              <w:rPr>
                <w:b/>
                <w:szCs w:val="18"/>
              </w:rPr>
              <w:t>348</w:t>
            </w:r>
          </w:p>
        </w:tc>
        <w:tc>
          <w:tcPr>
            <w:tcW w:w="1418" w:type="dxa"/>
            <w:tcBorders>
              <w:top w:val="single" w:sz="4" w:space="0" w:color="A6A6A6" w:themeColor="background1" w:themeShade="A6"/>
              <w:bottom w:val="single" w:sz="4" w:space="0" w:color="A6A6A6" w:themeColor="background1" w:themeShade="A6"/>
            </w:tcBorders>
            <w:vAlign w:val="bottom"/>
          </w:tcPr>
          <w:p w14:paraId="3DEC5EC3" w14:textId="15F889F0" w:rsidR="00335112" w:rsidRPr="00DC4F14" w:rsidRDefault="00335112" w:rsidP="00AD38E9">
            <w:pPr>
              <w:pStyle w:val="TableFigures"/>
            </w:pPr>
            <w:r>
              <w:t>292</w:t>
            </w:r>
          </w:p>
        </w:tc>
      </w:tr>
      <w:tr w:rsidR="00335112" w:rsidRPr="00E83694" w14:paraId="66D8B189" w14:textId="77777777" w:rsidTr="00AD38E9">
        <w:tc>
          <w:tcPr>
            <w:tcW w:w="5671" w:type="dxa"/>
            <w:tcBorders>
              <w:top w:val="single" w:sz="4" w:space="0" w:color="A6A6A6" w:themeColor="background1" w:themeShade="A6"/>
              <w:bottom w:val="single" w:sz="4" w:space="0" w:color="A6A6A6" w:themeColor="background1" w:themeShade="A6"/>
            </w:tcBorders>
            <w:shd w:val="clear" w:color="auto" w:fill="auto"/>
            <w:vAlign w:val="bottom"/>
          </w:tcPr>
          <w:p w14:paraId="79AA01CB" w14:textId="77777777" w:rsidR="00335112" w:rsidRPr="00E83694" w:rsidRDefault="00335112" w:rsidP="00AD38E9">
            <w:pPr>
              <w:pStyle w:val="Tabletext"/>
              <w:rPr>
                <w:sz w:val="21"/>
                <w:szCs w:val="21"/>
              </w:rPr>
            </w:pPr>
            <w:r w:rsidRPr="00E83694">
              <w:rPr>
                <w:sz w:val="21"/>
                <w:szCs w:val="21"/>
              </w:rPr>
              <w:t>Adjusted EPS</w:t>
            </w:r>
          </w:p>
        </w:tc>
        <w:tc>
          <w:tcPr>
            <w:tcW w:w="1559" w:type="dxa"/>
            <w:tcBorders>
              <w:top w:val="single" w:sz="4" w:space="0" w:color="A6A6A6" w:themeColor="background1" w:themeShade="A6"/>
              <w:bottom w:val="single" w:sz="4" w:space="0" w:color="A6A6A6" w:themeColor="background1" w:themeShade="A6"/>
            </w:tcBorders>
            <w:shd w:val="clear" w:color="auto" w:fill="auto"/>
            <w:vAlign w:val="bottom"/>
          </w:tcPr>
          <w:p w14:paraId="0A13CBA6" w14:textId="77777777" w:rsidR="00335112" w:rsidRPr="00B64915" w:rsidRDefault="00335112" w:rsidP="00AD38E9">
            <w:pPr>
              <w:pStyle w:val="TableFiguresBracketsBold"/>
              <w:rPr>
                <w:b w:val="0"/>
                <w:sz w:val="21"/>
                <w:szCs w:val="21"/>
              </w:rPr>
            </w:pPr>
            <w:r w:rsidRPr="00B64915">
              <w:rPr>
                <w:b w:val="0"/>
                <w:sz w:val="21"/>
                <w:szCs w:val="21"/>
              </w:rPr>
              <w:t>11</w:t>
            </w:r>
          </w:p>
        </w:tc>
        <w:tc>
          <w:tcPr>
            <w:tcW w:w="1417" w:type="dxa"/>
            <w:tcBorders>
              <w:top w:val="single" w:sz="4" w:space="0" w:color="A6A6A6" w:themeColor="background1" w:themeShade="A6"/>
              <w:bottom w:val="single" w:sz="4" w:space="0" w:color="A6A6A6" w:themeColor="background1" w:themeShade="A6"/>
            </w:tcBorders>
            <w:shd w:val="clear" w:color="auto" w:fill="auto"/>
            <w:vAlign w:val="bottom"/>
          </w:tcPr>
          <w:p w14:paraId="34785F5F" w14:textId="0294BF78" w:rsidR="00335112" w:rsidRPr="00823C08" w:rsidRDefault="00335112" w:rsidP="00AD38E9">
            <w:pPr>
              <w:pStyle w:val="TableFigures"/>
              <w:rPr>
                <w:b/>
                <w:szCs w:val="18"/>
              </w:rPr>
            </w:pPr>
            <w:r>
              <w:rPr>
                <w:b/>
                <w:szCs w:val="18"/>
              </w:rPr>
              <w:t>29.1</w:t>
            </w:r>
          </w:p>
        </w:tc>
        <w:tc>
          <w:tcPr>
            <w:tcW w:w="1418" w:type="dxa"/>
            <w:tcBorders>
              <w:top w:val="single" w:sz="4" w:space="0" w:color="A6A6A6" w:themeColor="background1" w:themeShade="A6"/>
              <w:bottom w:val="single" w:sz="4" w:space="0" w:color="A6A6A6" w:themeColor="background1" w:themeShade="A6"/>
            </w:tcBorders>
            <w:vAlign w:val="bottom"/>
          </w:tcPr>
          <w:p w14:paraId="08EF7E9B" w14:textId="674CDCA4" w:rsidR="00335112" w:rsidRPr="00DC4F14" w:rsidRDefault="00335112" w:rsidP="00AD38E9">
            <w:pPr>
              <w:pStyle w:val="TableFigures"/>
            </w:pPr>
            <w:r>
              <w:t>25.4</w:t>
            </w:r>
          </w:p>
        </w:tc>
      </w:tr>
    </w:tbl>
    <w:p w14:paraId="221FBB93" w14:textId="77777777" w:rsidR="00335112" w:rsidRPr="00F63E5F" w:rsidRDefault="00335112" w:rsidP="00335112">
      <w:pPr>
        <w:pStyle w:val="FootnotesNoSpace"/>
        <w:rPr>
          <w:color w:val="FF0000"/>
        </w:rPr>
      </w:pPr>
    </w:p>
    <w:p w14:paraId="366BB1F9" w14:textId="77744C23" w:rsidR="00335112" w:rsidRPr="00E83694" w:rsidRDefault="00335112" w:rsidP="00AC49F9">
      <w:pPr>
        <w:pStyle w:val="FootnotesNoSpace"/>
        <w:numPr>
          <w:ilvl w:val="0"/>
          <w:numId w:val="17"/>
        </w:numPr>
        <w:ind w:left="142" w:hanging="218"/>
      </w:pPr>
      <w:r w:rsidRPr="00E83694">
        <w:t xml:space="preserve">Total tax charge in respect of adjustments </w:t>
      </w:r>
      <w:r w:rsidRPr="001F3EBD">
        <w:t xml:space="preserve">per </w:t>
      </w:r>
      <w:r w:rsidRPr="00735AFD">
        <w:t>Note 2</w:t>
      </w:r>
      <w:r w:rsidRPr="00E83694">
        <w:t xml:space="preserve"> of £</w:t>
      </w:r>
      <w:r w:rsidR="00FF04DA">
        <w:t>280</w:t>
      </w:r>
      <w:r w:rsidRPr="00E83694">
        <w:t xml:space="preserve"> million (20</w:t>
      </w:r>
      <w:r w:rsidR="00FF04DA">
        <w:t>20</w:t>
      </w:r>
      <w:r w:rsidRPr="00E83694">
        <w:t>: £</w:t>
      </w:r>
      <w:r>
        <w:t>3</w:t>
      </w:r>
      <w:r w:rsidR="00FF04DA">
        <w:t>1</w:t>
      </w:r>
      <w:r w:rsidRPr="00E83694">
        <w:t xml:space="preserve"> million) comprises tax </w:t>
      </w:r>
      <w:r>
        <w:t>c</w:t>
      </w:r>
      <w:r w:rsidR="00FF04DA">
        <w:t>harge</w:t>
      </w:r>
      <w:r w:rsidRPr="00E83694">
        <w:t xml:space="preserve"> on profits on disposals of £</w:t>
      </w:r>
      <w:r w:rsidR="005D5F2C">
        <w:t>10</w:t>
      </w:r>
      <w:r w:rsidRPr="00E83694">
        <w:t xml:space="preserve"> million (20</w:t>
      </w:r>
      <w:r w:rsidR="00FF04DA">
        <w:t>20</w:t>
      </w:r>
      <w:r w:rsidRPr="00E83694">
        <w:t>: £</w:t>
      </w:r>
      <w:r w:rsidR="00FF04DA">
        <w:t>nil</w:t>
      </w:r>
      <w:r w:rsidRPr="00E83694">
        <w:t>) and deferred tax charge of £</w:t>
      </w:r>
      <w:r w:rsidR="005D5F2C">
        <w:t>232</w:t>
      </w:r>
      <w:r w:rsidRPr="00E83694">
        <w:t xml:space="preserve"> million (20</w:t>
      </w:r>
      <w:r w:rsidR="00FF04DA">
        <w:t>20</w:t>
      </w:r>
      <w:r w:rsidRPr="00E83694">
        <w:t>: £</w:t>
      </w:r>
      <w:r w:rsidR="00FF04DA">
        <w:t>31</w:t>
      </w:r>
      <w:r w:rsidRPr="00E83694">
        <w:t xml:space="preserve"> million)</w:t>
      </w:r>
      <w:r w:rsidR="00FF04DA">
        <w:t xml:space="preserve"> and SIIC entry charge of £38 million (2020: £nil). </w:t>
      </w:r>
    </w:p>
    <w:p w14:paraId="47F8C333" w14:textId="77777777" w:rsidR="00B940B6" w:rsidRDefault="00B940B6" w:rsidP="00335112">
      <w:pPr>
        <w:pStyle w:val="Heading2"/>
        <w:rPr>
          <w:sz w:val="20"/>
        </w:rPr>
      </w:pPr>
    </w:p>
    <w:p w14:paraId="22D0D119" w14:textId="77777777" w:rsidR="00B940B6" w:rsidRDefault="00B940B6" w:rsidP="00335112">
      <w:pPr>
        <w:pStyle w:val="Heading2"/>
        <w:rPr>
          <w:sz w:val="20"/>
        </w:rPr>
      </w:pPr>
    </w:p>
    <w:p w14:paraId="553F4975" w14:textId="77777777" w:rsidR="00B940B6" w:rsidRDefault="00B940B6" w:rsidP="00335112">
      <w:pPr>
        <w:pStyle w:val="Heading2"/>
        <w:rPr>
          <w:sz w:val="20"/>
        </w:rPr>
      </w:pPr>
    </w:p>
    <w:p w14:paraId="19304B05" w14:textId="77777777" w:rsidR="00B940B6" w:rsidRDefault="00B940B6" w:rsidP="00335112">
      <w:pPr>
        <w:pStyle w:val="Heading2"/>
        <w:rPr>
          <w:sz w:val="20"/>
        </w:rPr>
      </w:pPr>
    </w:p>
    <w:p w14:paraId="51B2B4C7" w14:textId="77777777" w:rsidR="00B940B6" w:rsidRDefault="00B940B6" w:rsidP="00335112">
      <w:pPr>
        <w:pStyle w:val="Heading2"/>
        <w:rPr>
          <w:sz w:val="20"/>
        </w:rPr>
      </w:pPr>
    </w:p>
    <w:p w14:paraId="327E154C" w14:textId="77777777" w:rsidR="00B940B6" w:rsidRDefault="00B940B6" w:rsidP="00335112">
      <w:pPr>
        <w:pStyle w:val="Heading2"/>
        <w:rPr>
          <w:sz w:val="20"/>
        </w:rPr>
      </w:pPr>
    </w:p>
    <w:p w14:paraId="6E7D15D9" w14:textId="77777777" w:rsidR="00B940B6" w:rsidRDefault="00B940B6" w:rsidP="00335112">
      <w:pPr>
        <w:pStyle w:val="Heading2"/>
        <w:rPr>
          <w:sz w:val="20"/>
        </w:rPr>
      </w:pPr>
    </w:p>
    <w:p w14:paraId="7D8815FB" w14:textId="77777777" w:rsidR="00B940B6" w:rsidRDefault="00B940B6" w:rsidP="00335112">
      <w:pPr>
        <w:pStyle w:val="Heading2"/>
        <w:rPr>
          <w:sz w:val="20"/>
        </w:rPr>
      </w:pPr>
    </w:p>
    <w:p w14:paraId="004940AC" w14:textId="4FBC1540" w:rsidR="00335112" w:rsidRDefault="00335112" w:rsidP="00335112">
      <w:pPr>
        <w:pStyle w:val="Heading2"/>
      </w:pPr>
      <w:r w:rsidRPr="000059B1">
        <w:rPr>
          <w:sz w:val="20"/>
        </w:rPr>
        <w:lastRenderedPageBreak/>
        <w:t xml:space="preserve">TABLE </w:t>
      </w:r>
      <w:r>
        <w:rPr>
          <w:sz w:val="20"/>
        </w:rPr>
        <w:t>5</w:t>
      </w:r>
      <w:r w:rsidRPr="000059B1">
        <w:rPr>
          <w:sz w:val="20"/>
        </w:rPr>
        <w:t xml:space="preserve">: EPRA </w:t>
      </w:r>
      <w:r>
        <w:rPr>
          <w:sz w:val="20"/>
        </w:rPr>
        <w:t>NET ASSET MEASURES</w:t>
      </w:r>
    </w:p>
    <w:p w14:paraId="30BFFF02" w14:textId="754201BA" w:rsidR="000059B1" w:rsidRDefault="000059B1" w:rsidP="000059B1">
      <w:pPr>
        <w:pStyle w:val="Normal1"/>
      </w:pPr>
      <w:r>
        <w:t xml:space="preserve">The European Public Real Estate Association (‘EPRA’) best practice recommendations (BPR) for financial disclosures by public real estate companies sets out three net asset value measures: EPRA net tangible assets (NTA), EPRA net reinstatement value (NRV) and EPRA net disposal value (NDV). </w:t>
      </w:r>
    </w:p>
    <w:p w14:paraId="28C65A67" w14:textId="77777777" w:rsidR="000059B1" w:rsidRDefault="000059B1" w:rsidP="000059B1">
      <w:pPr>
        <w:pStyle w:val="Normal1"/>
      </w:pPr>
      <w:r>
        <w:t xml:space="preserve">The EPRA Net Tangible Assets (NTA) metric is considered to be most consistent with the nature of SEGRO’s business as a UK REIT providing long-term progressive and sustainable returns. EPRA NTA acts as the primary measure of net asset value and is also referred to as Adjusted Net Asset Value (or Adjusted NAV). </w:t>
      </w:r>
    </w:p>
    <w:p w14:paraId="03784B38" w14:textId="664C4CDA" w:rsidR="000059B1" w:rsidRDefault="000059B1" w:rsidP="000059B1">
      <w:pPr>
        <w:pStyle w:val="Normal1"/>
      </w:pPr>
      <w:r>
        <w:t>A reconciliation of the three EPRA NAV metrics from IFRS NAV is shown in the table below.</w:t>
      </w:r>
    </w:p>
    <w:tbl>
      <w:tblPr>
        <w:tblW w:w="10490" w:type="dxa"/>
        <w:tblInd w:w="-142" w:type="dxa"/>
        <w:tblLook w:val="04A0" w:firstRow="1" w:lastRow="0" w:firstColumn="1" w:lastColumn="0" w:noHBand="0" w:noVBand="1"/>
      </w:tblPr>
      <w:tblGrid>
        <w:gridCol w:w="6805"/>
        <w:gridCol w:w="1701"/>
        <w:gridCol w:w="992"/>
        <w:gridCol w:w="992"/>
      </w:tblGrid>
      <w:tr w:rsidR="000059B1" w:rsidRPr="00541A28" w14:paraId="1EE3FC53" w14:textId="77777777" w:rsidTr="000059B1">
        <w:trPr>
          <w:trHeight w:val="34"/>
        </w:trPr>
        <w:tc>
          <w:tcPr>
            <w:tcW w:w="6805" w:type="dxa"/>
            <w:tcBorders>
              <w:top w:val="nil"/>
              <w:left w:val="nil"/>
              <w:bottom w:val="nil"/>
              <w:right w:val="nil"/>
            </w:tcBorders>
            <w:shd w:val="clear" w:color="000000" w:fill="FFFFFF"/>
            <w:vAlign w:val="center"/>
            <w:hideMark/>
          </w:tcPr>
          <w:p w14:paraId="6451E71B" w14:textId="77777777" w:rsidR="000059B1" w:rsidRPr="008842A4" w:rsidRDefault="000059B1" w:rsidP="00543D82">
            <w:pPr>
              <w:spacing w:after="0" w:line="240" w:lineRule="auto"/>
              <w:rPr>
                <w:rFonts w:cs="Arial"/>
                <w:b/>
                <w:bCs/>
                <w:color w:val="000000"/>
                <w:sz w:val="21"/>
                <w:szCs w:val="21"/>
              </w:rPr>
            </w:pPr>
          </w:p>
        </w:tc>
        <w:tc>
          <w:tcPr>
            <w:tcW w:w="3685" w:type="dxa"/>
            <w:gridSpan w:val="3"/>
            <w:tcBorders>
              <w:top w:val="nil"/>
              <w:left w:val="nil"/>
              <w:bottom w:val="single" w:sz="4" w:space="0" w:color="auto"/>
              <w:right w:val="nil"/>
            </w:tcBorders>
            <w:shd w:val="clear" w:color="000000" w:fill="FFFFFF"/>
            <w:noWrap/>
            <w:vAlign w:val="bottom"/>
            <w:hideMark/>
          </w:tcPr>
          <w:p w14:paraId="351BD55E" w14:textId="77777777" w:rsidR="000059B1" w:rsidRPr="008842A4" w:rsidRDefault="000059B1" w:rsidP="000059B1">
            <w:pPr>
              <w:pStyle w:val="TableColHeadsBold0"/>
              <w:jc w:val="center"/>
            </w:pPr>
            <w:r>
              <w:t>EPRA</w:t>
            </w:r>
            <w:r w:rsidRPr="008842A4">
              <w:t xml:space="preserve"> measures</w:t>
            </w:r>
          </w:p>
        </w:tc>
      </w:tr>
      <w:tr w:rsidR="000059B1" w:rsidRPr="00541A28" w14:paraId="5D51F78D" w14:textId="77777777" w:rsidTr="00BA4E4C">
        <w:trPr>
          <w:trHeight w:val="71"/>
        </w:trPr>
        <w:tc>
          <w:tcPr>
            <w:tcW w:w="6805" w:type="dxa"/>
            <w:vMerge w:val="restart"/>
            <w:tcBorders>
              <w:top w:val="nil"/>
              <w:left w:val="nil"/>
              <w:bottom w:val="single" w:sz="8" w:space="0" w:color="A6A6A6"/>
              <w:right w:val="nil"/>
            </w:tcBorders>
            <w:shd w:val="clear" w:color="000000" w:fill="FFFFFF"/>
            <w:vAlign w:val="center"/>
            <w:hideMark/>
          </w:tcPr>
          <w:p w14:paraId="2B53BB9E" w14:textId="3F663A0B" w:rsidR="000059B1" w:rsidRPr="000059B1" w:rsidRDefault="000059B1" w:rsidP="000059B1">
            <w:pPr>
              <w:pStyle w:val="Tabletext"/>
              <w:rPr>
                <w:b/>
                <w:bCs/>
              </w:rPr>
            </w:pPr>
            <w:r w:rsidRPr="000059B1">
              <w:rPr>
                <w:b/>
                <w:bCs/>
              </w:rPr>
              <w:t> As at 3</w:t>
            </w:r>
            <w:r>
              <w:rPr>
                <w:b/>
                <w:bCs/>
              </w:rPr>
              <w:t>1</w:t>
            </w:r>
            <w:r w:rsidRPr="000059B1">
              <w:rPr>
                <w:b/>
                <w:bCs/>
              </w:rPr>
              <w:t xml:space="preserve"> </w:t>
            </w:r>
            <w:r>
              <w:rPr>
                <w:b/>
                <w:bCs/>
              </w:rPr>
              <w:t>December</w:t>
            </w:r>
            <w:r w:rsidRPr="000059B1">
              <w:rPr>
                <w:b/>
                <w:bCs/>
              </w:rPr>
              <w:t xml:space="preserve"> 2021</w:t>
            </w:r>
          </w:p>
        </w:tc>
        <w:tc>
          <w:tcPr>
            <w:tcW w:w="1701" w:type="dxa"/>
            <w:tcBorders>
              <w:top w:val="nil"/>
              <w:left w:val="nil"/>
              <w:bottom w:val="nil"/>
              <w:right w:val="nil"/>
            </w:tcBorders>
            <w:shd w:val="clear" w:color="000000" w:fill="FFFFFF"/>
            <w:noWrap/>
            <w:hideMark/>
          </w:tcPr>
          <w:p w14:paraId="46517078" w14:textId="77777777" w:rsidR="000059B1" w:rsidRDefault="000059B1" w:rsidP="000059B1">
            <w:pPr>
              <w:pStyle w:val="TableColHeadsBold0"/>
            </w:pPr>
            <w:r w:rsidRPr="008842A4">
              <w:t>EPRA NTA</w:t>
            </w:r>
          </w:p>
          <w:p w14:paraId="3D547DCA" w14:textId="3B3A5E5C" w:rsidR="000059B1" w:rsidRPr="008842A4" w:rsidRDefault="000059B1" w:rsidP="000059B1">
            <w:pPr>
              <w:pStyle w:val="TableColHeadsBold0"/>
            </w:pPr>
          </w:p>
        </w:tc>
        <w:tc>
          <w:tcPr>
            <w:tcW w:w="992" w:type="dxa"/>
            <w:tcBorders>
              <w:top w:val="nil"/>
              <w:left w:val="nil"/>
              <w:bottom w:val="nil"/>
              <w:right w:val="nil"/>
            </w:tcBorders>
            <w:shd w:val="clear" w:color="000000" w:fill="FFFFFF"/>
            <w:noWrap/>
            <w:vAlign w:val="bottom"/>
            <w:hideMark/>
          </w:tcPr>
          <w:p w14:paraId="6D6A922F" w14:textId="77777777" w:rsidR="000059B1" w:rsidRPr="008842A4" w:rsidRDefault="000059B1" w:rsidP="000059B1">
            <w:pPr>
              <w:pStyle w:val="TableColHeadsBold0"/>
            </w:pPr>
            <w:r w:rsidRPr="008842A4">
              <w:t>EPRA NRV</w:t>
            </w:r>
          </w:p>
        </w:tc>
        <w:tc>
          <w:tcPr>
            <w:tcW w:w="992" w:type="dxa"/>
            <w:tcBorders>
              <w:top w:val="nil"/>
              <w:left w:val="nil"/>
              <w:bottom w:val="nil"/>
              <w:right w:val="nil"/>
            </w:tcBorders>
            <w:shd w:val="clear" w:color="000000" w:fill="FFFFFF"/>
            <w:noWrap/>
            <w:vAlign w:val="bottom"/>
            <w:hideMark/>
          </w:tcPr>
          <w:p w14:paraId="2C77132E" w14:textId="77777777" w:rsidR="000059B1" w:rsidRPr="008842A4" w:rsidRDefault="000059B1" w:rsidP="000059B1">
            <w:pPr>
              <w:pStyle w:val="TableColHeadsBold0"/>
            </w:pPr>
            <w:r w:rsidRPr="008842A4">
              <w:t>EPRA NDV</w:t>
            </w:r>
          </w:p>
        </w:tc>
      </w:tr>
      <w:tr w:rsidR="000059B1" w:rsidRPr="00541A28" w14:paraId="0F451E7A" w14:textId="77777777" w:rsidTr="000059B1">
        <w:trPr>
          <w:trHeight w:val="36"/>
        </w:trPr>
        <w:tc>
          <w:tcPr>
            <w:tcW w:w="6805" w:type="dxa"/>
            <w:vMerge/>
            <w:tcBorders>
              <w:top w:val="nil"/>
              <w:left w:val="nil"/>
              <w:bottom w:val="single" w:sz="8" w:space="0" w:color="A6A6A6"/>
              <w:right w:val="nil"/>
            </w:tcBorders>
            <w:vAlign w:val="center"/>
            <w:hideMark/>
          </w:tcPr>
          <w:p w14:paraId="2C92C25A" w14:textId="77777777" w:rsidR="000059B1" w:rsidRPr="000059B1" w:rsidRDefault="000059B1" w:rsidP="000059B1">
            <w:pPr>
              <w:pStyle w:val="Tabletext"/>
              <w:rPr>
                <w:b/>
                <w:bCs/>
              </w:rPr>
            </w:pPr>
          </w:p>
        </w:tc>
        <w:tc>
          <w:tcPr>
            <w:tcW w:w="1701" w:type="dxa"/>
            <w:tcBorders>
              <w:top w:val="nil"/>
              <w:left w:val="nil"/>
              <w:bottom w:val="single" w:sz="8" w:space="0" w:color="A6A6A6"/>
              <w:right w:val="nil"/>
            </w:tcBorders>
            <w:shd w:val="clear" w:color="000000" w:fill="FFFFFF"/>
            <w:vAlign w:val="center"/>
            <w:hideMark/>
          </w:tcPr>
          <w:p w14:paraId="1536C047" w14:textId="77777777" w:rsidR="000059B1" w:rsidRPr="00142362" w:rsidRDefault="000059B1" w:rsidP="000059B1">
            <w:pPr>
              <w:pStyle w:val="TableColHeadsBold0"/>
            </w:pPr>
            <w:r w:rsidRPr="00142362">
              <w:t>£m</w:t>
            </w:r>
          </w:p>
        </w:tc>
        <w:tc>
          <w:tcPr>
            <w:tcW w:w="992" w:type="dxa"/>
            <w:tcBorders>
              <w:top w:val="nil"/>
              <w:left w:val="nil"/>
              <w:bottom w:val="single" w:sz="8" w:space="0" w:color="A6A6A6"/>
              <w:right w:val="nil"/>
            </w:tcBorders>
            <w:shd w:val="clear" w:color="000000" w:fill="FFFFFF"/>
            <w:vAlign w:val="center"/>
            <w:hideMark/>
          </w:tcPr>
          <w:p w14:paraId="707B2581" w14:textId="77777777" w:rsidR="000059B1" w:rsidRPr="00142362" w:rsidRDefault="000059B1" w:rsidP="000059B1">
            <w:pPr>
              <w:pStyle w:val="TableColHeadsBold0"/>
            </w:pPr>
            <w:r w:rsidRPr="00142362">
              <w:t>£m</w:t>
            </w:r>
          </w:p>
        </w:tc>
        <w:tc>
          <w:tcPr>
            <w:tcW w:w="992" w:type="dxa"/>
            <w:tcBorders>
              <w:top w:val="nil"/>
              <w:left w:val="nil"/>
              <w:bottom w:val="single" w:sz="8" w:space="0" w:color="A6A6A6"/>
              <w:right w:val="nil"/>
            </w:tcBorders>
            <w:shd w:val="clear" w:color="000000" w:fill="FFFFFF"/>
            <w:vAlign w:val="center"/>
            <w:hideMark/>
          </w:tcPr>
          <w:p w14:paraId="3F5AAB2B" w14:textId="77777777" w:rsidR="000059B1" w:rsidRPr="00142362" w:rsidRDefault="000059B1" w:rsidP="000059B1">
            <w:pPr>
              <w:pStyle w:val="TableColHeadsBold0"/>
            </w:pPr>
            <w:r w:rsidRPr="00142362">
              <w:t>£m</w:t>
            </w:r>
          </w:p>
        </w:tc>
      </w:tr>
      <w:tr w:rsidR="000059B1" w:rsidRPr="00541A28" w14:paraId="0C28D5BD" w14:textId="77777777" w:rsidTr="000059B1">
        <w:trPr>
          <w:trHeight w:val="34"/>
        </w:trPr>
        <w:tc>
          <w:tcPr>
            <w:tcW w:w="6805" w:type="dxa"/>
            <w:tcBorders>
              <w:top w:val="nil"/>
              <w:left w:val="nil"/>
              <w:bottom w:val="nil"/>
              <w:right w:val="nil"/>
            </w:tcBorders>
            <w:shd w:val="clear" w:color="000000" w:fill="FFFFFF"/>
            <w:vAlign w:val="center"/>
            <w:hideMark/>
          </w:tcPr>
          <w:p w14:paraId="69AEE923" w14:textId="77777777" w:rsidR="000059B1" w:rsidRPr="000059B1" w:rsidRDefault="000059B1" w:rsidP="000059B1">
            <w:pPr>
              <w:pStyle w:val="Tabletext"/>
              <w:rPr>
                <w:b/>
                <w:bCs/>
              </w:rPr>
            </w:pPr>
            <w:r w:rsidRPr="000059B1">
              <w:rPr>
                <w:b/>
                <w:bCs/>
              </w:rPr>
              <w:t>Equity attributable to ordinary shareholders</w:t>
            </w:r>
          </w:p>
        </w:tc>
        <w:tc>
          <w:tcPr>
            <w:tcW w:w="1701" w:type="dxa"/>
            <w:tcBorders>
              <w:top w:val="nil"/>
              <w:left w:val="nil"/>
              <w:bottom w:val="nil"/>
              <w:right w:val="nil"/>
            </w:tcBorders>
            <w:shd w:val="clear" w:color="000000" w:fill="FFFFFF"/>
            <w:noWrap/>
          </w:tcPr>
          <w:p w14:paraId="7632D41B" w14:textId="68EAF4D1" w:rsidR="000059B1" w:rsidRPr="00BA4E4C" w:rsidRDefault="000059B1">
            <w:pPr>
              <w:pStyle w:val="TableFigures"/>
              <w:rPr>
                <w:b/>
                <w:bCs/>
              </w:rPr>
            </w:pPr>
            <w:r w:rsidRPr="00BA4E4C">
              <w:rPr>
                <w:b/>
                <w:bCs/>
              </w:rPr>
              <w:t>13,436</w:t>
            </w:r>
          </w:p>
        </w:tc>
        <w:tc>
          <w:tcPr>
            <w:tcW w:w="992" w:type="dxa"/>
            <w:tcBorders>
              <w:top w:val="nil"/>
              <w:left w:val="nil"/>
              <w:bottom w:val="nil"/>
              <w:right w:val="nil"/>
            </w:tcBorders>
            <w:shd w:val="clear" w:color="000000" w:fill="FFFFFF"/>
            <w:noWrap/>
          </w:tcPr>
          <w:p w14:paraId="16FFFB55" w14:textId="0A33DC32" w:rsidR="000059B1" w:rsidRPr="00BA4E4C" w:rsidRDefault="000059B1">
            <w:pPr>
              <w:pStyle w:val="TableFigures"/>
              <w:rPr>
                <w:b/>
                <w:bCs/>
              </w:rPr>
            </w:pPr>
            <w:r w:rsidRPr="00BA4E4C">
              <w:rPr>
                <w:b/>
                <w:bCs/>
              </w:rPr>
              <w:t>13,436</w:t>
            </w:r>
          </w:p>
        </w:tc>
        <w:tc>
          <w:tcPr>
            <w:tcW w:w="992" w:type="dxa"/>
            <w:tcBorders>
              <w:top w:val="nil"/>
              <w:left w:val="nil"/>
              <w:bottom w:val="nil"/>
              <w:right w:val="nil"/>
            </w:tcBorders>
            <w:shd w:val="clear" w:color="000000" w:fill="FFFFFF"/>
            <w:noWrap/>
          </w:tcPr>
          <w:p w14:paraId="7559B887" w14:textId="3F43258D" w:rsidR="000059B1" w:rsidRPr="00BA4E4C" w:rsidRDefault="000059B1">
            <w:pPr>
              <w:pStyle w:val="TableFigures"/>
              <w:rPr>
                <w:b/>
                <w:bCs/>
              </w:rPr>
            </w:pPr>
            <w:r w:rsidRPr="00BA4E4C">
              <w:rPr>
                <w:b/>
                <w:bCs/>
              </w:rPr>
              <w:t>13,436</w:t>
            </w:r>
          </w:p>
        </w:tc>
      </w:tr>
      <w:tr w:rsidR="000059B1" w:rsidRPr="00541A28" w14:paraId="3596E109" w14:textId="77777777" w:rsidTr="000059B1">
        <w:trPr>
          <w:trHeight w:val="34"/>
        </w:trPr>
        <w:tc>
          <w:tcPr>
            <w:tcW w:w="6805" w:type="dxa"/>
            <w:tcBorders>
              <w:top w:val="nil"/>
              <w:left w:val="nil"/>
              <w:bottom w:val="nil"/>
              <w:right w:val="nil"/>
            </w:tcBorders>
            <w:shd w:val="clear" w:color="000000" w:fill="FFFFFF"/>
            <w:vAlign w:val="center"/>
            <w:hideMark/>
          </w:tcPr>
          <w:p w14:paraId="159C7440" w14:textId="77777777" w:rsidR="000059B1" w:rsidRPr="00142362" w:rsidRDefault="000059B1" w:rsidP="00543D82">
            <w:pPr>
              <w:pStyle w:val="Tabletext"/>
              <w:rPr>
                <w:sz w:val="21"/>
                <w:szCs w:val="21"/>
              </w:rPr>
            </w:pPr>
            <w:r w:rsidRPr="00142362">
              <w:rPr>
                <w:sz w:val="21"/>
                <w:szCs w:val="21"/>
              </w:rPr>
              <w:t>Fair value adjustment in respect of interest rate derivatives – Group</w:t>
            </w:r>
          </w:p>
        </w:tc>
        <w:tc>
          <w:tcPr>
            <w:tcW w:w="1701" w:type="dxa"/>
            <w:tcBorders>
              <w:top w:val="nil"/>
              <w:left w:val="nil"/>
              <w:bottom w:val="nil"/>
              <w:right w:val="nil"/>
            </w:tcBorders>
            <w:shd w:val="clear" w:color="000000" w:fill="FFFFFF"/>
            <w:noWrap/>
          </w:tcPr>
          <w:p w14:paraId="2E2484C2" w14:textId="034A8814" w:rsidR="000059B1" w:rsidRPr="00BA4E4C" w:rsidRDefault="000059B1" w:rsidP="00B64915">
            <w:pPr>
              <w:pStyle w:val="TableFigures"/>
              <w:rPr>
                <w:b/>
                <w:bCs/>
              </w:rPr>
            </w:pPr>
            <w:r w:rsidRPr="00BA4E4C">
              <w:rPr>
                <w:b/>
                <w:bCs/>
              </w:rPr>
              <w:t>24</w:t>
            </w:r>
          </w:p>
        </w:tc>
        <w:tc>
          <w:tcPr>
            <w:tcW w:w="992" w:type="dxa"/>
            <w:tcBorders>
              <w:top w:val="nil"/>
              <w:left w:val="nil"/>
              <w:bottom w:val="nil"/>
              <w:right w:val="nil"/>
            </w:tcBorders>
            <w:shd w:val="clear" w:color="000000" w:fill="FFFFFF"/>
            <w:noWrap/>
          </w:tcPr>
          <w:p w14:paraId="4A05C138" w14:textId="42213136" w:rsidR="000059B1" w:rsidRPr="00BA4E4C" w:rsidRDefault="000059B1" w:rsidP="00B64915">
            <w:pPr>
              <w:pStyle w:val="TableFigures"/>
              <w:rPr>
                <w:b/>
                <w:bCs/>
              </w:rPr>
            </w:pPr>
            <w:r w:rsidRPr="00BA4E4C">
              <w:rPr>
                <w:b/>
                <w:bCs/>
              </w:rPr>
              <w:t>24</w:t>
            </w:r>
          </w:p>
        </w:tc>
        <w:tc>
          <w:tcPr>
            <w:tcW w:w="992" w:type="dxa"/>
            <w:tcBorders>
              <w:top w:val="nil"/>
              <w:left w:val="nil"/>
              <w:bottom w:val="nil"/>
              <w:right w:val="nil"/>
            </w:tcBorders>
            <w:shd w:val="clear" w:color="000000" w:fill="FFFFFF"/>
            <w:noWrap/>
          </w:tcPr>
          <w:p w14:paraId="59D26AC4" w14:textId="77777777" w:rsidR="000059B1" w:rsidRPr="00BA4E4C" w:rsidRDefault="000059B1">
            <w:pPr>
              <w:pStyle w:val="TableFigures"/>
              <w:rPr>
                <w:b/>
                <w:bCs/>
              </w:rPr>
            </w:pPr>
            <w:r w:rsidRPr="00BA4E4C">
              <w:rPr>
                <w:b/>
                <w:bCs/>
              </w:rPr>
              <w:t>-</w:t>
            </w:r>
          </w:p>
        </w:tc>
      </w:tr>
      <w:tr w:rsidR="000059B1" w:rsidRPr="00541A28" w14:paraId="06DE3D73" w14:textId="77777777" w:rsidTr="000059B1">
        <w:trPr>
          <w:trHeight w:val="34"/>
        </w:trPr>
        <w:tc>
          <w:tcPr>
            <w:tcW w:w="6805" w:type="dxa"/>
            <w:tcBorders>
              <w:top w:val="nil"/>
              <w:left w:val="nil"/>
              <w:bottom w:val="nil"/>
              <w:right w:val="nil"/>
            </w:tcBorders>
            <w:shd w:val="clear" w:color="000000" w:fill="FFFFFF"/>
            <w:vAlign w:val="center"/>
          </w:tcPr>
          <w:p w14:paraId="22509258" w14:textId="22AF8456" w:rsidR="000059B1" w:rsidRPr="00142362" w:rsidRDefault="000059B1" w:rsidP="00543D82">
            <w:pPr>
              <w:pStyle w:val="Tabletext"/>
              <w:rPr>
                <w:sz w:val="21"/>
                <w:szCs w:val="21"/>
              </w:rPr>
            </w:pPr>
            <w:r>
              <w:rPr>
                <w:sz w:val="21"/>
                <w:szCs w:val="21"/>
              </w:rPr>
              <w:t>Fair value adjustment in respect of trading properties – Group</w:t>
            </w:r>
          </w:p>
        </w:tc>
        <w:tc>
          <w:tcPr>
            <w:tcW w:w="1701" w:type="dxa"/>
            <w:tcBorders>
              <w:top w:val="nil"/>
              <w:left w:val="nil"/>
              <w:bottom w:val="nil"/>
              <w:right w:val="nil"/>
            </w:tcBorders>
            <w:shd w:val="clear" w:color="000000" w:fill="FFFFFF"/>
            <w:noWrap/>
          </w:tcPr>
          <w:p w14:paraId="080AF8C3" w14:textId="4274A086" w:rsidR="000059B1" w:rsidRPr="00BA4E4C" w:rsidRDefault="000059B1" w:rsidP="00B64915">
            <w:pPr>
              <w:pStyle w:val="TableFigures"/>
              <w:rPr>
                <w:b/>
                <w:bCs/>
              </w:rPr>
            </w:pPr>
            <w:r w:rsidRPr="00BA4E4C">
              <w:rPr>
                <w:b/>
                <w:bCs/>
              </w:rPr>
              <w:t>1</w:t>
            </w:r>
          </w:p>
        </w:tc>
        <w:tc>
          <w:tcPr>
            <w:tcW w:w="992" w:type="dxa"/>
            <w:tcBorders>
              <w:top w:val="nil"/>
              <w:left w:val="nil"/>
              <w:bottom w:val="nil"/>
              <w:right w:val="nil"/>
            </w:tcBorders>
            <w:shd w:val="clear" w:color="000000" w:fill="FFFFFF"/>
            <w:noWrap/>
          </w:tcPr>
          <w:p w14:paraId="27F60C8F" w14:textId="0F3F00E3" w:rsidR="000059B1" w:rsidRPr="00BA4E4C" w:rsidRDefault="000059B1" w:rsidP="00B64915">
            <w:pPr>
              <w:pStyle w:val="TableFigures"/>
              <w:rPr>
                <w:b/>
                <w:bCs/>
              </w:rPr>
            </w:pPr>
            <w:r w:rsidRPr="00BA4E4C">
              <w:rPr>
                <w:b/>
                <w:bCs/>
              </w:rPr>
              <w:t>1</w:t>
            </w:r>
          </w:p>
        </w:tc>
        <w:tc>
          <w:tcPr>
            <w:tcW w:w="992" w:type="dxa"/>
            <w:tcBorders>
              <w:top w:val="nil"/>
              <w:left w:val="nil"/>
              <w:bottom w:val="nil"/>
              <w:right w:val="nil"/>
            </w:tcBorders>
            <w:shd w:val="clear" w:color="000000" w:fill="FFFFFF"/>
            <w:noWrap/>
          </w:tcPr>
          <w:p w14:paraId="254C9AE0" w14:textId="7F11AD86" w:rsidR="000059B1" w:rsidRPr="00BA4E4C" w:rsidRDefault="000059B1">
            <w:pPr>
              <w:pStyle w:val="TableFigures"/>
              <w:rPr>
                <w:b/>
                <w:bCs/>
              </w:rPr>
            </w:pPr>
            <w:r w:rsidRPr="00BA4E4C">
              <w:rPr>
                <w:b/>
                <w:bCs/>
              </w:rPr>
              <w:t>1</w:t>
            </w:r>
          </w:p>
        </w:tc>
      </w:tr>
      <w:tr w:rsidR="000059B1" w:rsidRPr="00541A28" w14:paraId="607DBDD6" w14:textId="77777777" w:rsidTr="000059B1">
        <w:trPr>
          <w:trHeight w:val="34"/>
        </w:trPr>
        <w:tc>
          <w:tcPr>
            <w:tcW w:w="6805" w:type="dxa"/>
            <w:tcBorders>
              <w:top w:val="nil"/>
              <w:left w:val="nil"/>
              <w:bottom w:val="nil"/>
              <w:right w:val="nil"/>
            </w:tcBorders>
            <w:shd w:val="clear" w:color="000000" w:fill="FFFFFF"/>
            <w:vAlign w:val="center"/>
            <w:hideMark/>
          </w:tcPr>
          <w:p w14:paraId="7843E5C4" w14:textId="77777777" w:rsidR="000059B1" w:rsidRPr="00142362" w:rsidRDefault="000059B1" w:rsidP="00543D82">
            <w:pPr>
              <w:pStyle w:val="Tabletext"/>
              <w:rPr>
                <w:sz w:val="21"/>
                <w:szCs w:val="21"/>
              </w:rPr>
            </w:pPr>
            <w:r w:rsidRPr="00142362">
              <w:rPr>
                <w:sz w:val="21"/>
                <w:szCs w:val="21"/>
              </w:rPr>
              <w:t>Deferred tax in respect of depreciation and valuation surpluses – Group</w:t>
            </w:r>
            <w:r w:rsidRPr="008858CF">
              <w:rPr>
                <w:sz w:val="21"/>
                <w:szCs w:val="21"/>
                <w:vertAlign w:val="superscript"/>
              </w:rPr>
              <w:t>1</w:t>
            </w:r>
          </w:p>
        </w:tc>
        <w:tc>
          <w:tcPr>
            <w:tcW w:w="1701" w:type="dxa"/>
            <w:tcBorders>
              <w:top w:val="nil"/>
              <w:left w:val="nil"/>
              <w:bottom w:val="nil"/>
              <w:right w:val="nil"/>
            </w:tcBorders>
            <w:shd w:val="clear" w:color="000000" w:fill="FFFFFF"/>
            <w:noWrap/>
          </w:tcPr>
          <w:p w14:paraId="5FD285B0" w14:textId="625EEB0D" w:rsidR="000059B1" w:rsidRPr="00BA4E4C" w:rsidRDefault="000059B1">
            <w:pPr>
              <w:pStyle w:val="TableFigures"/>
              <w:rPr>
                <w:b/>
                <w:bCs/>
              </w:rPr>
            </w:pPr>
            <w:r w:rsidRPr="00BA4E4C">
              <w:rPr>
                <w:b/>
                <w:bCs/>
              </w:rPr>
              <w:t>129</w:t>
            </w:r>
          </w:p>
        </w:tc>
        <w:tc>
          <w:tcPr>
            <w:tcW w:w="992" w:type="dxa"/>
            <w:tcBorders>
              <w:top w:val="nil"/>
              <w:left w:val="nil"/>
              <w:bottom w:val="nil"/>
              <w:right w:val="nil"/>
            </w:tcBorders>
            <w:shd w:val="clear" w:color="000000" w:fill="FFFFFF"/>
            <w:noWrap/>
          </w:tcPr>
          <w:p w14:paraId="2A5FA9F3" w14:textId="2DD2A51E" w:rsidR="000059B1" w:rsidRPr="00BA4E4C" w:rsidRDefault="000059B1">
            <w:pPr>
              <w:pStyle w:val="TableFigures"/>
              <w:rPr>
                <w:b/>
                <w:bCs/>
              </w:rPr>
            </w:pPr>
            <w:r w:rsidRPr="00BA4E4C">
              <w:rPr>
                <w:b/>
                <w:bCs/>
              </w:rPr>
              <w:t>259</w:t>
            </w:r>
          </w:p>
        </w:tc>
        <w:tc>
          <w:tcPr>
            <w:tcW w:w="992" w:type="dxa"/>
            <w:tcBorders>
              <w:top w:val="nil"/>
              <w:left w:val="nil"/>
              <w:bottom w:val="nil"/>
              <w:right w:val="nil"/>
            </w:tcBorders>
            <w:shd w:val="clear" w:color="000000" w:fill="FFFFFF"/>
            <w:noWrap/>
          </w:tcPr>
          <w:p w14:paraId="3307902B" w14:textId="77777777" w:rsidR="000059B1" w:rsidRPr="00BA4E4C" w:rsidRDefault="000059B1">
            <w:pPr>
              <w:pStyle w:val="TableFigures"/>
              <w:rPr>
                <w:b/>
                <w:bCs/>
              </w:rPr>
            </w:pPr>
            <w:r w:rsidRPr="00BA4E4C">
              <w:rPr>
                <w:b/>
                <w:bCs/>
              </w:rPr>
              <w:t>-</w:t>
            </w:r>
          </w:p>
        </w:tc>
      </w:tr>
      <w:tr w:rsidR="000059B1" w:rsidRPr="00541A28" w14:paraId="3924859E" w14:textId="77777777" w:rsidTr="000059B1">
        <w:trPr>
          <w:trHeight w:val="34"/>
        </w:trPr>
        <w:tc>
          <w:tcPr>
            <w:tcW w:w="6805" w:type="dxa"/>
            <w:tcBorders>
              <w:top w:val="nil"/>
              <w:left w:val="nil"/>
              <w:bottom w:val="nil"/>
              <w:right w:val="nil"/>
            </w:tcBorders>
            <w:shd w:val="clear" w:color="000000" w:fill="FFFFFF"/>
            <w:vAlign w:val="center"/>
            <w:hideMark/>
          </w:tcPr>
          <w:p w14:paraId="7C52F416" w14:textId="77777777" w:rsidR="000059B1" w:rsidRDefault="000059B1" w:rsidP="00543D82">
            <w:pPr>
              <w:pStyle w:val="Tabletext"/>
              <w:rPr>
                <w:sz w:val="21"/>
                <w:szCs w:val="21"/>
              </w:rPr>
            </w:pPr>
            <w:r w:rsidRPr="00142362">
              <w:rPr>
                <w:sz w:val="21"/>
                <w:szCs w:val="21"/>
              </w:rPr>
              <w:t xml:space="preserve">Deferred tax in respect of depreciation and valuation surpluses – </w:t>
            </w:r>
          </w:p>
          <w:p w14:paraId="52E8A5AA" w14:textId="4BEDC95E" w:rsidR="000059B1" w:rsidRPr="00142362" w:rsidRDefault="000059B1" w:rsidP="00543D82">
            <w:pPr>
              <w:pStyle w:val="Tabletext"/>
              <w:rPr>
                <w:sz w:val="21"/>
                <w:szCs w:val="21"/>
              </w:rPr>
            </w:pPr>
            <w:r w:rsidRPr="00142362">
              <w:rPr>
                <w:sz w:val="21"/>
                <w:szCs w:val="21"/>
              </w:rPr>
              <w:t>Joint ventures</w:t>
            </w:r>
            <w:r w:rsidRPr="008858CF">
              <w:rPr>
                <w:sz w:val="21"/>
                <w:szCs w:val="21"/>
                <w:vertAlign w:val="superscript"/>
              </w:rPr>
              <w:t>1</w:t>
            </w:r>
          </w:p>
        </w:tc>
        <w:tc>
          <w:tcPr>
            <w:tcW w:w="1701" w:type="dxa"/>
            <w:tcBorders>
              <w:top w:val="nil"/>
              <w:left w:val="nil"/>
              <w:bottom w:val="nil"/>
              <w:right w:val="nil"/>
            </w:tcBorders>
            <w:shd w:val="clear" w:color="000000" w:fill="FFFFFF"/>
            <w:noWrap/>
          </w:tcPr>
          <w:p w14:paraId="42284C51" w14:textId="7344800D" w:rsidR="000059B1" w:rsidRPr="00BA4E4C" w:rsidRDefault="000059B1">
            <w:pPr>
              <w:pStyle w:val="TableFigures"/>
              <w:rPr>
                <w:b/>
                <w:bCs/>
              </w:rPr>
            </w:pPr>
            <w:r w:rsidRPr="00BA4E4C">
              <w:rPr>
                <w:b/>
                <w:bCs/>
              </w:rPr>
              <w:t>123</w:t>
            </w:r>
          </w:p>
        </w:tc>
        <w:tc>
          <w:tcPr>
            <w:tcW w:w="992" w:type="dxa"/>
            <w:tcBorders>
              <w:top w:val="nil"/>
              <w:left w:val="nil"/>
              <w:bottom w:val="nil"/>
              <w:right w:val="nil"/>
            </w:tcBorders>
            <w:shd w:val="clear" w:color="000000" w:fill="FFFFFF"/>
            <w:noWrap/>
          </w:tcPr>
          <w:p w14:paraId="1F0485F0" w14:textId="69C42457" w:rsidR="000059B1" w:rsidRPr="00BA4E4C" w:rsidRDefault="000059B1">
            <w:pPr>
              <w:pStyle w:val="TableFigures"/>
              <w:rPr>
                <w:b/>
                <w:bCs/>
              </w:rPr>
            </w:pPr>
            <w:r w:rsidRPr="00BA4E4C">
              <w:rPr>
                <w:b/>
                <w:bCs/>
              </w:rPr>
              <w:t>245</w:t>
            </w:r>
          </w:p>
        </w:tc>
        <w:tc>
          <w:tcPr>
            <w:tcW w:w="992" w:type="dxa"/>
            <w:tcBorders>
              <w:top w:val="nil"/>
              <w:left w:val="nil"/>
              <w:bottom w:val="nil"/>
              <w:right w:val="nil"/>
            </w:tcBorders>
            <w:shd w:val="clear" w:color="000000" w:fill="FFFFFF"/>
            <w:noWrap/>
          </w:tcPr>
          <w:p w14:paraId="0B92F8BF" w14:textId="77777777" w:rsidR="000059B1" w:rsidRPr="00BA4E4C" w:rsidRDefault="000059B1">
            <w:pPr>
              <w:pStyle w:val="TableFigures"/>
              <w:rPr>
                <w:b/>
                <w:bCs/>
              </w:rPr>
            </w:pPr>
            <w:r w:rsidRPr="00BA4E4C">
              <w:rPr>
                <w:b/>
                <w:bCs/>
              </w:rPr>
              <w:t>-</w:t>
            </w:r>
          </w:p>
        </w:tc>
      </w:tr>
      <w:tr w:rsidR="000059B1" w:rsidRPr="00541A28" w14:paraId="060BE21E" w14:textId="77777777" w:rsidTr="000059B1">
        <w:trPr>
          <w:trHeight w:val="34"/>
        </w:trPr>
        <w:tc>
          <w:tcPr>
            <w:tcW w:w="6805" w:type="dxa"/>
            <w:tcBorders>
              <w:top w:val="nil"/>
              <w:left w:val="nil"/>
              <w:bottom w:val="nil"/>
              <w:right w:val="nil"/>
            </w:tcBorders>
            <w:shd w:val="clear" w:color="000000" w:fill="FFFFFF"/>
            <w:vAlign w:val="center"/>
            <w:hideMark/>
          </w:tcPr>
          <w:p w14:paraId="4926BE03" w14:textId="77777777" w:rsidR="000059B1" w:rsidRPr="00142362" w:rsidRDefault="000059B1" w:rsidP="00543D82">
            <w:pPr>
              <w:pStyle w:val="Tabletext"/>
              <w:rPr>
                <w:sz w:val="21"/>
                <w:szCs w:val="21"/>
              </w:rPr>
            </w:pPr>
            <w:r w:rsidRPr="00142362">
              <w:rPr>
                <w:sz w:val="21"/>
                <w:szCs w:val="21"/>
              </w:rPr>
              <w:t>Intangible assets</w:t>
            </w:r>
          </w:p>
        </w:tc>
        <w:tc>
          <w:tcPr>
            <w:tcW w:w="1701" w:type="dxa"/>
            <w:tcBorders>
              <w:top w:val="nil"/>
              <w:left w:val="nil"/>
              <w:bottom w:val="nil"/>
              <w:right w:val="nil"/>
            </w:tcBorders>
            <w:shd w:val="clear" w:color="000000" w:fill="FFFFFF"/>
            <w:noWrap/>
          </w:tcPr>
          <w:p w14:paraId="6E545B18" w14:textId="0197B8E8" w:rsidR="000059B1" w:rsidRPr="00BA4E4C" w:rsidRDefault="000059B1">
            <w:pPr>
              <w:pStyle w:val="TableFiguresBrackets"/>
              <w:rPr>
                <w:b/>
                <w:bCs/>
              </w:rPr>
            </w:pPr>
            <w:r w:rsidRPr="00BA4E4C">
              <w:rPr>
                <w:b/>
                <w:bCs/>
              </w:rPr>
              <w:t>(9)</w:t>
            </w:r>
          </w:p>
        </w:tc>
        <w:tc>
          <w:tcPr>
            <w:tcW w:w="992" w:type="dxa"/>
            <w:tcBorders>
              <w:top w:val="nil"/>
              <w:left w:val="nil"/>
              <w:bottom w:val="nil"/>
              <w:right w:val="nil"/>
            </w:tcBorders>
            <w:shd w:val="clear" w:color="000000" w:fill="FFFFFF"/>
            <w:noWrap/>
          </w:tcPr>
          <w:p w14:paraId="3537980A" w14:textId="77777777" w:rsidR="000059B1" w:rsidRPr="00BA4E4C" w:rsidRDefault="000059B1" w:rsidP="00543D82">
            <w:pPr>
              <w:pStyle w:val="TableFigures"/>
              <w:rPr>
                <w:rFonts w:cs="Arial"/>
                <w:b/>
                <w:bCs/>
                <w:color w:val="000000"/>
                <w:szCs w:val="21"/>
              </w:rPr>
            </w:pPr>
            <w:r w:rsidRPr="00BA4E4C">
              <w:rPr>
                <w:rFonts w:cs="Arial"/>
                <w:b/>
                <w:bCs/>
                <w:color w:val="000000"/>
                <w:szCs w:val="21"/>
              </w:rPr>
              <w:t>-</w:t>
            </w:r>
          </w:p>
        </w:tc>
        <w:tc>
          <w:tcPr>
            <w:tcW w:w="992" w:type="dxa"/>
            <w:tcBorders>
              <w:top w:val="nil"/>
              <w:left w:val="nil"/>
              <w:bottom w:val="nil"/>
              <w:right w:val="nil"/>
            </w:tcBorders>
            <w:shd w:val="clear" w:color="000000" w:fill="FFFFFF"/>
            <w:noWrap/>
          </w:tcPr>
          <w:p w14:paraId="30D075E6" w14:textId="77777777" w:rsidR="000059B1" w:rsidRPr="00BA4E4C" w:rsidRDefault="000059B1" w:rsidP="00543D82">
            <w:pPr>
              <w:pStyle w:val="TableFigures"/>
              <w:rPr>
                <w:rFonts w:cs="Arial"/>
                <w:b/>
                <w:bCs/>
                <w:color w:val="000000"/>
                <w:szCs w:val="21"/>
              </w:rPr>
            </w:pPr>
            <w:r w:rsidRPr="00BA4E4C">
              <w:rPr>
                <w:rFonts w:cs="Arial"/>
                <w:b/>
                <w:bCs/>
                <w:color w:val="000000"/>
                <w:szCs w:val="21"/>
              </w:rPr>
              <w:t>-</w:t>
            </w:r>
          </w:p>
        </w:tc>
      </w:tr>
      <w:tr w:rsidR="000059B1" w:rsidRPr="00541A28" w14:paraId="507B03EC" w14:textId="77777777" w:rsidTr="000059B1">
        <w:trPr>
          <w:trHeight w:val="34"/>
        </w:trPr>
        <w:tc>
          <w:tcPr>
            <w:tcW w:w="6805" w:type="dxa"/>
            <w:tcBorders>
              <w:top w:val="nil"/>
              <w:left w:val="nil"/>
              <w:bottom w:val="nil"/>
              <w:right w:val="nil"/>
            </w:tcBorders>
            <w:shd w:val="clear" w:color="000000" w:fill="FFFFFF"/>
            <w:vAlign w:val="center"/>
            <w:hideMark/>
          </w:tcPr>
          <w:p w14:paraId="10EE5059" w14:textId="77777777" w:rsidR="000059B1" w:rsidRPr="00142362" w:rsidRDefault="000059B1" w:rsidP="00543D82">
            <w:pPr>
              <w:pStyle w:val="Tabletext"/>
              <w:rPr>
                <w:sz w:val="21"/>
                <w:szCs w:val="21"/>
              </w:rPr>
            </w:pPr>
            <w:r w:rsidRPr="00142362">
              <w:rPr>
                <w:sz w:val="21"/>
                <w:szCs w:val="21"/>
              </w:rPr>
              <w:t>Fair value adjustment in respect of debt – Group</w:t>
            </w:r>
          </w:p>
        </w:tc>
        <w:tc>
          <w:tcPr>
            <w:tcW w:w="1701" w:type="dxa"/>
            <w:tcBorders>
              <w:top w:val="nil"/>
              <w:left w:val="nil"/>
              <w:bottom w:val="nil"/>
              <w:right w:val="nil"/>
            </w:tcBorders>
            <w:shd w:val="clear" w:color="000000" w:fill="FFFFFF"/>
            <w:noWrap/>
          </w:tcPr>
          <w:p w14:paraId="218D29B2" w14:textId="77777777" w:rsidR="000059B1" w:rsidRPr="00BA4E4C" w:rsidRDefault="000059B1">
            <w:pPr>
              <w:pStyle w:val="TableFigures"/>
              <w:rPr>
                <w:b/>
                <w:bCs/>
              </w:rPr>
            </w:pPr>
            <w:r w:rsidRPr="00BA4E4C">
              <w:rPr>
                <w:b/>
                <w:bCs/>
              </w:rPr>
              <w:t>-</w:t>
            </w:r>
          </w:p>
        </w:tc>
        <w:tc>
          <w:tcPr>
            <w:tcW w:w="992" w:type="dxa"/>
            <w:tcBorders>
              <w:top w:val="nil"/>
              <w:left w:val="nil"/>
              <w:bottom w:val="nil"/>
              <w:right w:val="nil"/>
            </w:tcBorders>
            <w:shd w:val="clear" w:color="auto" w:fill="auto"/>
            <w:noWrap/>
          </w:tcPr>
          <w:p w14:paraId="3F855074" w14:textId="77777777" w:rsidR="000059B1" w:rsidRPr="00BA4E4C" w:rsidRDefault="000059B1">
            <w:pPr>
              <w:pStyle w:val="TableFigures"/>
              <w:rPr>
                <w:b/>
                <w:bCs/>
              </w:rPr>
            </w:pPr>
            <w:r w:rsidRPr="00BA4E4C">
              <w:rPr>
                <w:b/>
                <w:bCs/>
              </w:rPr>
              <w:t>-</w:t>
            </w:r>
          </w:p>
        </w:tc>
        <w:tc>
          <w:tcPr>
            <w:tcW w:w="992" w:type="dxa"/>
            <w:tcBorders>
              <w:top w:val="nil"/>
              <w:left w:val="nil"/>
              <w:bottom w:val="nil"/>
              <w:right w:val="nil"/>
            </w:tcBorders>
            <w:shd w:val="clear" w:color="000000" w:fill="FFFFFF"/>
          </w:tcPr>
          <w:p w14:paraId="786C5438" w14:textId="1D972483" w:rsidR="000059B1" w:rsidRPr="00BA4E4C" w:rsidRDefault="000059B1" w:rsidP="00543D82">
            <w:pPr>
              <w:pStyle w:val="TableFiguresBrackets"/>
              <w:rPr>
                <w:rFonts w:cs="Arial"/>
                <w:b/>
                <w:bCs/>
                <w:color w:val="000000"/>
                <w:szCs w:val="21"/>
              </w:rPr>
            </w:pPr>
            <w:r w:rsidRPr="00BA4E4C">
              <w:rPr>
                <w:rFonts w:cs="Arial"/>
                <w:b/>
                <w:bCs/>
                <w:color w:val="000000"/>
                <w:szCs w:val="21"/>
              </w:rPr>
              <w:t>(260)</w:t>
            </w:r>
          </w:p>
        </w:tc>
      </w:tr>
      <w:tr w:rsidR="000059B1" w:rsidRPr="00541A28" w14:paraId="19D655F3" w14:textId="77777777" w:rsidTr="000059B1">
        <w:trPr>
          <w:trHeight w:val="34"/>
        </w:trPr>
        <w:tc>
          <w:tcPr>
            <w:tcW w:w="6805" w:type="dxa"/>
            <w:tcBorders>
              <w:top w:val="nil"/>
              <w:left w:val="nil"/>
              <w:bottom w:val="nil"/>
              <w:right w:val="nil"/>
            </w:tcBorders>
            <w:shd w:val="clear" w:color="000000" w:fill="FFFFFF"/>
            <w:vAlign w:val="center"/>
            <w:hideMark/>
          </w:tcPr>
          <w:p w14:paraId="1A5245E2" w14:textId="77777777" w:rsidR="000059B1" w:rsidRPr="00142362" w:rsidRDefault="000059B1" w:rsidP="00543D82">
            <w:pPr>
              <w:pStyle w:val="Tabletext"/>
              <w:rPr>
                <w:sz w:val="21"/>
                <w:szCs w:val="21"/>
              </w:rPr>
            </w:pPr>
            <w:r w:rsidRPr="00142362">
              <w:rPr>
                <w:sz w:val="21"/>
                <w:szCs w:val="21"/>
              </w:rPr>
              <w:t>Fair value adjustment in respect of debt – Joint ventures</w:t>
            </w:r>
          </w:p>
        </w:tc>
        <w:tc>
          <w:tcPr>
            <w:tcW w:w="1701" w:type="dxa"/>
            <w:tcBorders>
              <w:top w:val="nil"/>
              <w:left w:val="nil"/>
              <w:bottom w:val="nil"/>
              <w:right w:val="nil"/>
            </w:tcBorders>
            <w:shd w:val="clear" w:color="000000" w:fill="FFFFFF"/>
            <w:noWrap/>
          </w:tcPr>
          <w:p w14:paraId="614FBE13" w14:textId="77777777" w:rsidR="000059B1" w:rsidRPr="00BA4E4C" w:rsidRDefault="000059B1">
            <w:pPr>
              <w:pStyle w:val="TableFigures"/>
              <w:rPr>
                <w:b/>
                <w:bCs/>
              </w:rPr>
            </w:pPr>
            <w:r w:rsidRPr="00BA4E4C">
              <w:rPr>
                <w:b/>
                <w:bCs/>
              </w:rPr>
              <w:t>-</w:t>
            </w:r>
          </w:p>
        </w:tc>
        <w:tc>
          <w:tcPr>
            <w:tcW w:w="992" w:type="dxa"/>
            <w:tcBorders>
              <w:top w:val="nil"/>
              <w:left w:val="nil"/>
              <w:bottom w:val="nil"/>
              <w:right w:val="nil"/>
            </w:tcBorders>
            <w:shd w:val="clear" w:color="auto" w:fill="auto"/>
            <w:noWrap/>
          </w:tcPr>
          <w:p w14:paraId="4B3BC9F9" w14:textId="77777777" w:rsidR="000059B1" w:rsidRPr="00BA4E4C" w:rsidRDefault="000059B1">
            <w:pPr>
              <w:pStyle w:val="TableFigures"/>
              <w:rPr>
                <w:b/>
                <w:bCs/>
              </w:rPr>
            </w:pPr>
            <w:r w:rsidRPr="00BA4E4C">
              <w:rPr>
                <w:b/>
                <w:bCs/>
              </w:rPr>
              <w:t>-</w:t>
            </w:r>
          </w:p>
        </w:tc>
        <w:tc>
          <w:tcPr>
            <w:tcW w:w="992" w:type="dxa"/>
            <w:tcBorders>
              <w:top w:val="nil"/>
              <w:left w:val="nil"/>
              <w:bottom w:val="nil"/>
              <w:right w:val="nil"/>
            </w:tcBorders>
            <w:shd w:val="clear" w:color="000000" w:fill="FFFFFF"/>
          </w:tcPr>
          <w:p w14:paraId="4FC044F3" w14:textId="4A5F9DE3" w:rsidR="000059B1" w:rsidRPr="00BA4E4C" w:rsidRDefault="000059B1" w:rsidP="00543D82">
            <w:pPr>
              <w:pStyle w:val="TableFiguresBrackets"/>
              <w:rPr>
                <w:b/>
                <w:bCs/>
              </w:rPr>
            </w:pPr>
            <w:r w:rsidRPr="00BA4E4C">
              <w:rPr>
                <w:b/>
                <w:bCs/>
              </w:rPr>
              <w:t>(22)</w:t>
            </w:r>
          </w:p>
        </w:tc>
      </w:tr>
      <w:tr w:rsidR="000059B1" w:rsidRPr="00541A28" w14:paraId="641C25CB" w14:textId="77777777" w:rsidTr="000059B1">
        <w:trPr>
          <w:trHeight w:val="34"/>
        </w:trPr>
        <w:tc>
          <w:tcPr>
            <w:tcW w:w="6805" w:type="dxa"/>
            <w:tcBorders>
              <w:top w:val="nil"/>
              <w:left w:val="nil"/>
              <w:bottom w:val="nil"/>
              <w:right w:val="nil"/>
            </w:tcBorders>
            <w:shd w:val="clear" w:color="000000" w:fill="FFFFFF"/>
            <w:noWrap/>
            <w:vAlign w:val="bottom"/>
            <w:hideMark/>
          </w:tcPr>
          <w:p w14:paraId="4EAC12AF" w14:textId="77777777" w:rsidR="000059B1" w:rsidRPr="00142362" w:rsidRDefault="000059B1" w:rsidP="00543D82">
            <w:pPr>
              <w:pStyle w:val="Tabletext"/>
              <w:rPr>
                <w:sz w:val="21"/>
                <w:szCs w:val="21"/>
              </w:rPr>
            </w:pPr>
            <w:r w:rsidRPr="00142362">
              <w:rPr>
                <w:sz w:val="21"/>
                <w:szCs w:val="21"/>
              </w:rPr>
              <w:t>Real estate transfer tax</w:t>
            </w:r>
            <w:r w:rsidRPr="008858CF">
              <w:rPr>
                <w:sz w:val="21"/>
                <w:szCs w:val="21"/>
                <w:vertAlign w:val="superscript"/>
              </w:rPr>
              <w:t>2</w:t>
            </w:r>
          </w:p>
        </w:tc>
        <w:tc>
          <w:tcPr>
            <w:tcW w:w="1701" w:type="dxa"/>
            <w:tcBorders>
              <w:top w:val="nil"/>
              <w:left w:val="nil"/>
              <w:bottom w:val="nil"/>
              <w:right w:val="nil"/>
            </w:tcBorders>
            <w:shd w:val="clear" w:color="000000" w:fill="FFFFFF"/>
            <w:noWrap/>
          </w:tcPr>
          <w:p w14:paraId="3A55A163" w14:textId="77777777" w:rsidR="000059B1" w:rsidRPr="00BA4E4C" w:rsidRDefault="000059B1">
            <w:pPr>
              <w:pStyle w:val="TableFigures"/>
              <w:rPr>
                <w:b/>
                <w:bCs/>
              </w:rPr>
            </w:pPr>
            <w:r w:rsidRPr="00BA4E4C">
              <w:rPr>
                <w:b/>
                <w:bCs/>
              </w:rPr>
              <w:t>-</w:t>
            </w:r>
          </w:p>
        </w:tc>
        <w:tc>
          <w:tcPr>
            <w:tcW w:w="992" w:type="dxa"/>
            <w:tcBorders>
              <w:top w:val="nil"/>
              <w:left w:val="nil"/>
              <w:bottom w:val="nil"/>
              <w:right w:val="nil"/>
            </w:tcBorders>
            <w:shd w:val="clear" w:color="auto" w:fill="auto"/>
            <w:noWrap/>
          </w:tcPr>
          <w:p w14:paraId="021D1654" w14:textId="3B9C31BF" w:rsidR="000059B1" w:rsidRPr="00BA4E4C" w:rsidRDefault="000059B1">
            <w:pPr>
              <w:pStyle w:val="TableFigures"/>
              <w:rPr>
                <w:b/>
                <w:bCs/>
              </w:rPr>
            </w:pPr>
            <w:r w:rsidRPr="00BA4E4C">
              <w:rPr>
                <w:b/>
                <w:bCs/>
              </w:rPr>
              <w:t>1,021</w:t>
            </w:r>
          </w:p>
        </w:tc>
        <w:tc>
          <w:tcPr>
            <w:tcW w:w="992" w:type="dxa"/>
            <w:tcBorders>
              <w:top w:val="nil"/>
              <w:left w:val="nil"/>
              <w:bottom w:val="nil"/>
              <w:right w:val="nil"/>
            </w:tcBorders>
            <w:shd w:val="clear" w:color="000000" w:fill="FFFFFF"/>
            <w:noWrap/>
          </w:tcPr>
          <w:p w14:paraId="30EE534F" w14:textId="77777777" w:rsidR="000059B1" w:rsidRPr="00BA4E4C" w:rsidRDefault="000059B1">
            <w:pPr>
              <w:pStyle w:val="TableFigures"/>
              <w:rPr>
                <w:b/>
                <w:bCs/>
              </w:rPr>
            </w:pPr>
            <w:r w:rsidRPr="00BA4E4C">
              <w:rPr>
                <w:b/>
                <w:bCs/>
              </w:rPr>
              <w:t>-</w:t>
            </w:r>
          </w:p>
        </w:tc>
      </w:tr>
      <w:tr w:rsidR="000059B1" w:rsidRPr="00541A28" w14:paraId="02A05610" w14:textId="77777777" w:rsidTr="000059B1">
        <w:trPr>
          <w:trHeight w:val="34"/>
        </w:trPr>
        <w:tc>
          <w:tcPr>
            <w:tcW w:w="6805" w:type="dxa"/>
            <w:tcBorders>
              <w:top w:val="single" w:sz="4" w:space="0" w:color="auto"/>
              <w:left w:val="nil"/>
              <w:bottom w:val="single" w:sz="4" w:space="0" w:color="auto"/>
              <w:right w:val="nil"/>
            </w:tcBorders>
            <w:shd w:val="clear" w:color="000000" w:fill="FFFFFF"/>
            <w:vAlign w:val="center"/>
            <w:hideMark/>
          </w:tcPr>
          <w:p w14:paraId="26E2DA7A" w14:textId="77777777" w:rsidR="000059B1" w:rsidRPr="00142362" w:rsidRDefault="000059B1" w:rsidP="00543D82">
            <w:pPr>
              <w:pStyle w:val="TabletextBold"/>
              <w:rPr>
                <w:sz w:val="21"/>
                <w:szCs w:val="21"/>
              </w:rPr>
            </w:pPr>
            <w:r w:rsidRPr="00142362">
              <w:rPr>
                <w:sz w:val="21"/>
                <w:szCs w:val="21"/>
              </w:rPr>
              <w:t>Net assets</w:t>
            </w:r>
          </w:p>
        </w:tc>
        <w:tc>
          <w:tcPr>
            <w:tcW w:w="1701" w:type="dxa"/>
            <w:tcBorders>
              <w:top w:val="single" w:sz="4" w:space="0" w:color="auto"/>
              <w:left w:val="nil"/>
              <w:bottom w:val="single" w:sz="4" w:space="0" w:color="auto"/>
              <w:right w:val="nil"/>
            </w:tcBorders>
            <w:shd w:val="clear" w:color="000000" w:fill="FFFFFF"/>
            <w:noWrap/>
          </w:tcPr>
          <w:p w14:paraId="67E44C37" w14:textId="213CA471" w:rsidR="000059B1" w:rsidRPr="00BA4E4C" w:rsidRDefault="000059B1">
            <w:pPr>
              <w:pStyle w:val="TableFigures"/>
              <w:rPr>
                <w:b/>
                <w:bCs/>
              </w:rPr>
            </w:pPr>
            <w:r w:rsidRPr="00BA4E4C">
              <w:rPr>
                <w:b/>
                <w:bCs/>
              </w:rPr>
              <w:t>13,704</w:t>
            </w:r>
          </w:p>
        </w:tc>
        <w:tc>
          <w:tcPr>
            <w:tcW w:w="992" w:type="dxa"/>
            <w:tcBorders>
              <w:top w:val="single" w:sz="4" w:space="0" w:color="auto"/>
              <w:left w:val="nil"/>
              <w:bottom w:val="single" w:sz="4" w:space="0" w:color="auto"/>
              <w:right w:val="nil"/>
            </w:tcBorders>
            <w:shd w:val="clear" w:color="auto" w:fill="auto"/>
            <w:noWrap/>
          </w:tcPr>
          <w:p w14:paraId="3C4CC847" w14:textId="38150C41" w:rsidR="000059B1" w:rsidRPr="00BA4E4C" w:rsidRDefault="000059B1">
            <w:pPr>
              <w:pStyle w:val="TableFigures"/>
              <w:rPr>
                <w:b/>
                <w:bCs/>
              </w:rPr>
            </w:pPr>
            <w:r w:rsidRPr="00BA4E4C">
              <w:rPr>
                <w:b/>
                <w:bCs/>
              </w:rPr>
              <w:t>14,986</w:t>
            </w:r>
          </w:p>
        </w:tc>
        <w:tc>
          <w:tcPr>
            <w:tcW w:w="992" w:type="dxa"/>
            <w:tcBorders>
              <w:top w:val="single" w:sz="4" w:space="0" w:color="auto"/>
              <w:left w:val="nil"/>
              <w:bottom w:val="single" w:sz="4" w:space="0" w:color="auto"/>
              <w:right w:val="nil"/>
            </w:tcBorders>
            <w:shd w:val="clear" w:color="000000" w:fill="FFFFFF"/>
            <w:noWrap/>
          </w:tcPr>
          <w:p w14:paraId="68AC0DA7" w14:textId="764661C7" w:rsidR="000059B1" w:rsidRPr="00BA4E4C" w:rsidRDefault="000059B1">
            <w:pPr>
              <w:pStyle w:val="TableFigures"/>
              <w:rPr>
                <w:b/>
                <w:bCs/>
              </w:rPr>
            </w:pPr>
            <w:r w:rsidRPr="00BA4E4C">
              <w:rPr>
                <w:b/>
                <w:bCs/>
              </w:rPr>
              <w:t>13,155</w:t>
            </w:r>
          </w:p>
        </w:tc>
      </w:tr>
      <w:tr w:rsidR="000059B1" w:rsidRPr="00541A28" w14:paraId="35C60E41" w14:textId="77777777" w:rsidTr="000059B1">
        <w:trPr>
          <w:trHeight w:val="34"/>
        </w:trPr>
        <w:tc>
          <w:tcPr>
            <w:tcW w:w="6805" w:type="dxa"/>
            <w:tcBorders>
              <w:top w:val="nil"/>
              <w:left w:val="nil"/>
              <w:bottom w:val="nil"/>
              <w:right w:val="nil"/>
            </w:tcBorders>
            <w:shd w:val="clear" w:color="000000" w:fill="FFFFFF"/>
            <w:vAlign w:val="center"/>
            <w:hideMark/>
          </w:tcPr>
          <w:p w14:paraId="5C1246E1" w14:textId="77777777" w:rsidR="000059B1" w:rsidRPr="00142362" w:rsidRDefault="000059B1" w:rsidP="00543D82">
            <w:pPr>
              <w:pStyle w:val="TabletextBold"/>
              <w:rPr>
                <w:sz w:val="21"/>
                <w:szCs w:val="21"/>
              </w:rPr>
            </w:pPr>
            <w:r w:rsidRPr="00142362">
              <w:rPr>
                <w:sz w:val="21"/>
                <w:szCs w:val="21"/>
              </w:rPr>
              <w:t>Diluted shares (million)</w:t>
            </w:r>
          </w:p>
        </w:tc>
        <w:tc>
          <w:tcPr>
            <w:tcW w:w="1701" w:type="dxa"/>
            <w:tcBorders>
              <w:top w:val="nil"/>
              <w:left w:val="nil"/>
              <w:bottom w:val="nil"/>
              <w:right w:val="nil"/>
            </w:tcBorders>
            <w:shd w:val="clear" w:color="000000" w:fill="FFFFFF"/>
            <w:noWrap/>
          </w:tcPr>
          <w:p w14:paraId="4435FFE1" w14:textId="5922A870" w:rsidR="000059B1" w:rsidRPr="00BA4E4C" w:rsidRDefault="000059B1">
            <w:pPr>
              <w:pStyle w:val="TableFigures"/>
              <w:rPr>
                <w:b/>
                <w:bCs/>
              </w:rPr>
            </w:pPr>
            <w:r w:rsidRPr="00BA4E4C">
              <w:rPr>
                <w:b/>
                <w:bCs/>
              </w:rPr>
              <w:t>1,205.5</w:t>
            </w:r>
          </w:p>
        </w:tc>
        <w:tc>
          <w:tcPr>
            <w:tcW w:w="992" w:type="dxa"/>
            <w:tcBorders>
              <w:top w:val="nil"/>
              <w:left w:val="nil"/>
              <w:bottom w:val="nil"/>
              <w:right w:val="nil"/>
            </w:tcBorders>
            <w:shd w:val="clear" w:color="auto" w:fill="auto"/>
            <w:noWrap/>
          </w:tcPr>
          <w:p w14:paraId="66A638EC" w14:textId="394954B8" w:rsidR="000059B1" w:rsidRPr="00BA4E4C" w:rsidRDefault="000059B1">
            <w:pPr>
              <w:pStyle w:val="TableFigures"/>
              <w:rPr>
                <w:b/>
                <w:bCs/>
              </w:rPr>
            </w:pPr>
            <w:r w:rsidRPr="00BA4E4C">
              <w:rPr>
                <w:b/>
                <w:bCs/>
              </w:rPr>
              <w:t>1,205.5</w:t>
            </w:r>
          </w:p>
        </w:tc>
        <w:tc>
          <w:tcPr>
            <w:tcW w:w="992" w:type="dxa"/>
            <w:tcBorders>
              <w:top w:val="nil"/>
              <w:left w:val="nil"/>
              <w:bottom w:val="nil"/>
              <w:right w:val="nil"/>
            </w:tcBorders>
            <w:shd w:val="clear" w:color="000000" w:fill="FFFFFF"/>
            <w:noWrap/>
          </w:tcPr>
          <w:p w14:paraId="11E29BF1" w14:textId="271752F7" w:rsidR="000059B1" w:rsidRPr="00BA4E4C" w:rsidRDefault="000059B1">
            <w:pPr>
              <w:pStyle w:val="TableFigures"/>
              <w:rPr>
                <w:b/>
                <w:bCs/>
              </w:rPr>
            </w:pPr>
            <w:r w:rsidRPr="00BA4E4C">
              <w:rPr>
                <w:b/>
                <w:bCs/>
              </w:rPr>
              <w:t>1,205.5</w:t>
            </w:r>
          </w:p>
        </w:tc>
      </w:tr>
      <w:tr w:rsidR="000059B1" w:rsidRPr="00541A28" w14:paraId="41A63484" w14:textId="77777777" w:rsidTr="000059B1">
        <w:trPr>
          <w:trHeight w:val="34"/>
        </w:trPr>
        <w:tc>
          <w:tcPr>
            <w:tcW w:w="6805" w:type="dxa"/>
            <w:tcBorders>
              <w:top w:val="single" w:sz="4" w:space="0" w:color="auto"/>
              <w:left w:val="nil"/>
              <w:bottom w:val="single" w:sz="4" w:space="0" w:color="auto"/>
              <w:right w:val="nil"/>
            </w:tcBorders>
            <w:shd w:val="clear" w:color="000000" w:fill="FFFFFF"/>
            <w:vAlign w:val="center"/>
            <w:hideMark/>
          </w:tcPr>
          <w:p w14:paraId="0A1D92EE" w14:textId="77777777" w:rsidR="000059B1" w:rsidRPr="00142362" w:rsidRDefault="000059B1" w:rsidP="00543D82">
            <w:pPr>
              <w:pStyle w:val="TabletextBold"/>
              <w:rPr>
                <w:sz w:val="21"/>
                <w:szCs w:val="21"/>
              </w:rPr>
            </w:pPr>
            <w:r w:rsidRPr="00142362">
              <w:rPr>
                <w:sz w:val="21"/>
                <w:szCs w:val="21"/>
              </w:rPr>
              <w:t>Diluted net assets per share</w:t>
            </w:r>
          </w:p>
        </w:tc>
        <w:tc>
          <w:tcPr>
            <w:tcW w:w="1701" w:type="dxa"/>
            <w:tcBorders>
              <w:top w:val="single" w:sz="4" w:space="0" w:color="auto"/>
              <w:left w:val="nil"/>
              <w:bottom w:val="single" w:sz="4" w:space="0" w:color="auto"/>
              <w:right w:val="nil"/>
            </w:tcBorders>
            <w:shd w:val="clear" w:color="000000" w:fill="FFFFFF"/>
            <w:noWrap/>
          </w:tcPr>
          <w:p w14:paraId="2B9A7A98" w14:textId="3747E8BB" w:rsidR="000059B1" w:rsidRPr="00BA4E4C" w:rsidRDefault="000059B1">
            <w:pPr>
              <w:pStyle w:val="TableFigures"/>
              <w:rPr>
                <w:b/>
                <w:bCs/>
              </w:rPr>
            </w:pPr>
            <w:r w:rsidRPr="00BA4E4C">
              <w:rPr>
                <w:b/>
                <w:bCs/>
              </w:rPr>
              <w:t>1,137</w:t>
            </w:r>
          </w:p>
        </w:tc>
        <w:tc>
          <w:tcPr>
            <w:tcW w:w="992" w:type="dxa"/>
            <w:tcBorders>
              <w:top w:val="single" w:sz="4" w:space="0" w:color="auto"/>
              <w:left w:val="nil"/>
              <w:bottom w:val="single" w:sz="4" w:space="0" w:color="auto"/>
              <w:right w:val="nil"/>
            </w:tcBorders>
            <w:shd w:val="clear" w:color="000000" w:fill="FFFFFF"/>
            <w:noWrap/>
          </w:tcPr>
          <w:p w14:paraId="605DF3A8" w14:textId="6F5FF8BA" w:rsidR="000059B1" w:rsidRPr="00BA4E4C" w:rsidRDefault="000059B1">
            <w:pPr>
              <w:pStyle w:val="TableFigures"/>
              <w:rPr>
                <w:b/>
                <w:bCs/>
              </w:rPr>
            </w:pPr>
            <w:r w:rsidRPr="00BA4E4C">
              <w:rPr>
                <w:b/>
                <w:bCs/>
              </w:rPr>
              <w:t>1,243</w:t>
            </w:r>
          </w:p>
        </w:tc>
        <w:tc>
          <w:tcPr>
            <w:tcW w:w="992" w:type="dxa"/>
            <w:tcBorders>
              <w:top w:val="single" w:sz="4" w:space="0" w:color="auto"/>
              <w:left w:val="nil"/>
              <w:bottom w:val="single" w:sz="4" w:space="0" w:color="auto"/>
              <w:right w:val="nil"/>
            </w:tcBorders>
            <w:shd w:val="clear" w:color="000000" w:fill="FFFFFF"/>
            <w:noWrap/>
          </w:tcPr>
          <w:p w14:paraId="0F595717" w14:textId="6C56BD29" w:rsidR="000059B1" w:rsidRPr="00BA4E4C" w:rsidRDefault="000059B1">
            <w:pPr>
              <w:pStyle w:val="TableFigures"/>
              <w:rPr>
                <w:b/>
                <w:bCs/>
              </w:rPr>
            </w:pPr>
            <w:r w:rsidRPr="00BA4E4C">
              <w:rPr>
                <w:b/>
                <w:bCs/>
              </w:rPr>
              <w:t>1,091</w:t>
            </w:r>
          </w:p>
        </w:tc>
      </w:tr>
    </w:tbl>
    <w:p w14:paraId="3E8D853D" w14:textId="68C0474D" w:rsidR="000059B1" w:rsidRDefault="000059B1" w:rsidP="00B940B6">
      <w:pPr>
        <w:pStyle w:val="FootnotesNoSpace"/>
      </w:pPr>
    </w:p>
    <w:p w14:paraId="7B625C01" w14:textId="4942C763" w:rsidR="005F5CF1" w:rsidRDefault="009A4C4C" w:rsidP="009A4C4C">
      <w:pPr>
        <w:pStyle w:val="FootnotesNoSpace"/>
      </w:pPr>
      <w:r>
        <w:t xml:space="preserve">1 </w:t>
      </w:r>
      <w:r w:rsidR="000059B1" w:rsidRPr="008858CF">
        <w:t>50 per cent of deferred tax in respect of depreciation and valuation surpluses has been excluded in calculating EPRA NTA in line with option 3 of PRA BPR guidelines.</w:t>
      </w:r>
    </w:p>
    <w:p w14:paraId="3D9244A9" w14:textId="1450D0AE" w:rsidR="000059B1" w:rsidRPr="00274E66" w:rsidRDefault="009A4C4C" w:rsidP="005F5CF1">
      <w:pPr>
        <w:pStyle w:val="FootnotesNoSpace"/>
      </w:pPr>
      <w:r>
        <w:t xml:space="preserve">2 </w:t>
      </w:r>
      <w:r w:rsidR="000059B1" w:rsidRPr="008858CF">
        <w:t>EPRA NTA and EPRA NDV reflect IFRS values which are net of purchasers’ costs. Purchasers’ costs are added back when calculating EPRA NRV.</w:t>
      </w:r>
    </w:p>
    <w:p w14:paraId="7FE459F8" w14:textId="07769F1E" w:rsidR="00335112" w:rsidRDefault="00335112" w:rsidP="005E793C">
      <w:pPr>
        <w:pStyle w:val="Heading2"/>
        <w:rPr>
          <w:sz w:val="20"/>
        </w:rPr>
      </w:pPr>
    </w:p>
    <w:tbl>
      <w:tblPr>
        <w:tblW w:w="4943" w:type="pct"/>
        <w:tblCellMar>
          <w:left w:w="0" w:type="dxa"/>
          <w:right w:w="0" w:type="dxa"/>
        </w:tblCellMar>
        <w:tblLook w:val="01E0" w:firstRow="1" w:lastRow="1" w:firstColumn="1" w:lastColumn="1" w:noHBand="0" w:noVBand="0"/>
      </w:tblPr>
      <w:tblGrid>
        <w:gridCol w:w="7513"/>
        <w:gridCol w:w="851"/>
        <w:gridCol w:w="991"/>
        <w:gridCol w:w="993"/>
      </w:tblGrid>
      <w:tr w:rsidR="00AC49F9" w:rsidRPr="00C4527C" w14:paraId="442EE64E" w14:textId="77777777" w:rsidTr="00AC49F9">
        <w:tc>
          <w:tcPr>
            <w:tcW w:w="3630" w:type="pct"/>
            <w:shd w:val="clear" w:color="auto" w:fill="auto"/>
            <w:vAlign w:val="bottom"/>
          </w:tcPr>
          <w:p w14:paraId="0E82D318" w14:textId="77777777" w:rsidR="00AC49F9" w:rsidRPr="00C4527C" w:rsidRDefault="00AC49F9" w:rsidP="00EE0DB9">
            <w:pPr>
              <w:pStyle w:val="TabletextBold"/>
            </w:pPr>
          </w:p>
        </w:tc>
        <w:tc>
          <w:tcPr>
            <w:tcW w:w="1370" w:type="pct"/>
            <w:gridSpan w:val="3"/>
            <w:tcBorders>
              <w:bottom w:val="single" w:sz="4" w:space="0" w:color="808080" w:themeColor="background1" w:themeShade="80"/>
            </w:tcBorders>
          </w:tcPr>
          <w:p w14:paraId="4BE8F13F" w14:textId="1219CE0E" w:rsidR="00AC49F9" w:rsidRPr="00475C34" w:rsidRDefault="008E56FC" w:rsidP="00EE0DB9">
            <w:pPr>
              <w:pStyle w:val="TableColHeadsBold0"/>
              <w:jc w:val="center"/>
              <w:rPr>
                <w:b w:val="0"/>
                <w:bCs w:val="0"/>
              </w:rPr>
            </w:pPr>
            <w:r>
              <w:rPr>
                <w:b w:val="0"/>
                <w:bCs w:val="0"/>
              </w:rPr>
              <w:t>EPRA</w:t>
            </w:r>
            <w:r w:rsidR="00AC49F9" w:rsidRPr="00475C34">
              <w:rPr>
                <w:b w:val="0"/>
                <w:bCs w:val="0"/>
              </w:rPr>
              <w:t xml:space="preserve"> measures</w:t>
            </w:r>
          </w:p>
        </w:tc>
      </w:tr>
      <w:tr w:rsidR="00AC49F9" w:rsidRPr="00C4527C" w14:paraId="37893738" w14:textId="77777777" w:rsidTr="00AC49F9">
        <w:tc>
          <w:tcPr>
            <w:tcW w:w="3630" w:type="pct"/>
            <w:tcBorders>
              <w:bottom w:val="single" w:sz="8" w:space="0" w:color="808080" w:themeColor="background1" w:themeShade="80"/>
            </w:tcBorders>
            <w:shd w:val="clear" w:color="auto" w:fill="auto"/>
            <w:vAlign w:val="bottom"/>
          </w:tcPr>
          <w:p w14:paraId="564618EC" w14:textId="77777777" w:rsidR="00AC49F9" w:rsidRPr="00C4527C" w:rsidRDefault="00AC49F9" w:rsidP="00EE0DB9">
            <w:pPr>
              <w:pStyle w:val="TabletextBold"/>
            </w:pPr>
            <w:r>
              <w:t>As at 31 December 2020</w:t>
            </w:r>
          </w:p>
        </w:tc>
        <w:tc>
          <w:tcPr>
            <w:tcW w:w="411" w:type="pct"/>
            <w:tcBorders>
              <w:top w:val="single" w:sz="4" w:space="0" w:color="808080" w:themeColor="background1" w:themeShade="80"/>
              <w:bottom w:val="single" w:sz="8" w:space="0" w:color="808080" w:themeColor="background1" w:themeShade="80"/>
            </w:tcBorders>
          </w:tcPr>
          <w:p w14:paraId="21B065FB" w14:textId="77777777" w:rsidR="00AC49F9" w:rsidRDefault="00AC49F9" w:rsidP="00EE0DB9">
            <w:pPr>
              <w:pStyle w:val="TableColHeadsBold0"/>
              <w:rPr>
                <w:b w:val="0"/>
                <w:bCs w:val="0"/>
              </w:rPr>
            </w:pPr>
            <w:r w:rsidRPr="00B64915">
              <w:rPr>
                <w:b w:val="0"/>
                <w:bCs w:val="0"/>
              </w:rPr>
              <w:t xml:space="preserve">EPRA </w:t>
            </w:r>
          </w:p>
          <w:p w14:paraId="021D6B5E" w14:textId="77777777" w:rsidR="00AC49F9" w:rsidRDefault="00AC49F9" w:rsidP="00EE0DB9">
            <w:pPr>
              <w:pStyle w:val="TableColHeadsBold0"/>
              <w:rPr>
                <w:b w:val="0"/>
                <w:bCs w:val="0"/>
              </w:rPr>
            </w:pPr>
            <w:r w:rsidRPr="00B64915">
              <w:rPr>
                <w:b w:val="0"/>
                <w:bCs w:val="0"/>
              </w:rPr>
              <w:t xml:space="preserve">NTA </w:t>
            </w:r>
          </w:p>
          <w:p w14:paraId="5A3706BA" w14:textId="0745215C" w:rsidR="00AC49F9" w:rsidRPr="00B64915" w:rsidRDefault="00AC49F9" w:rsidP="00EE0DB9">
            <w:pPr>
              <w:pStyle w:val="TableColHeadsBold0"/>
              <w:rPr>
                <w:b w:val="0"/>
                <w:bCs w:val="0"/>
              </w:rPr>
            </w:pPr>
            <w:r w:rsidRPr="00B64915">
              <w:rPr>
                <w:b w:val="0"/>
                <w:bCs w:val="0"/>
              </w:rPr>
              <w:t>£m</w:t>
            </w:r>
          </w:p>
        </w:tc>
        <w:tc>
          <w:tcPr>
            <w:tcW w:w="479" w:type="pct"/>
            <w:tcBorders>
              <w:top w:val="single" w:sz="4" w:space="0" w:color="808080" w:themeColor="background1" w:themeShade="80"/>
              <w:bottom w:val="single" w:sz="8" w:space="0" w:color="808080" w:themeColor="background1" w:themeShade="80"/>
            </w:tcBorders>
            <w:vAlign w:val="bottom"/>
          </w:tcPr>
          <w:p w14:paraId="6CF9E645" w14:textId="77777777" w:rsidR="00AC49F9" w:rsidRDefault="00AC49F9" w:rsidP="00EE0DB9">
            <w:pPr>
              <w:pStyle w:val="TableColHeadsBold0"/>
              <w:rPr>
                <w:b w:val="0"/>
                <w:bCs w:val="0"/>
              </w:rPr>
            </w:pPr>
            <w:r w:rsidRPr="00B64915">
              <w:rPr>
                <w:b w:val="0"/>
                <w:bCs w:val="0"/>
              </w:rPr>
              <w:t xml:space="preserve">EPRA </w:t>
            </w:r>
          </w:p>
          <w:p w14:paraId="2406DC01" w14:textId="77777777" w:rsidR="00AC49F9" w:rsidRDefault="00AC49F9" w:rsidP="00EE0DB9">
            <w:pPr>
              <w:pStyle w:val="TableColHeadsBold0"/>
              <w:rPr>
                <w:b w:val="0"/>
                <w:bCs w:val="0"/>
              </w:rPr>
            </w:pPr>
            <w:r>
              <w:rPr>
                <w:b w:val="0"/>
                <w:bCs w:val="0"/>
              </w:rPr>
              <w:t>N</w:t>
            </w:r>
            <w:r w:rsidRPr="00B64915">
              <w:rPr>
                <w:b w:val="0"/>
                <w:bCs w:val="0"/>
              </w:rPr>
              <w:t xml:space="preserve">RV </w:t>
            </w:r>
          </w:p>
          <w:p w14:paraId="0C09E41E" w14:textId="1FC6ADD1" w:rsidR="00AC49F9" w:rsidRPr="00B64915" w:rsidRDefault="00AC49F9" w:rsidP="00EE0DB9">
            <w:pPr>
              <w:pStyle w:val="TableColHeadsBold0"/>
              <w:rPr>
                <w:b w:val="0"/>
                <w:bCs w:val="0"/>
              </w:rPr>
            </w:pPr>
            <w:r w:rsidRPr="00B64915">
              <w:rPr>
                <w:b w:val="0"/>
                <w:bCs w:val="0"/>
              </w:rPr>
              <w:t>£m</w:t>
            </w:r>
          </w:p>
        </w:tc>
        <w:tc>
          <w:tcPr>
            <w:tcW w:w="480" w:type="pct"/>
            <w:tcBorders>
              <w:top w:val="single" w:sz="4" w:space="0" w:color="808080" w:themeColor="background1" w:themeShade="80"/>
              <w:bottom w:val="single" w:sz="8" w:space="0" w:color="808080" w:themeColor="background1" w:themeShade="80"/>
            </w:tcBorders>
            <w:shd w:val="clear" w:color="auto" w:fill="auto"/>
            <w:vAlign w:val="bottom"/>
          </w:tcPr>
          <w:p w14:paraId="0E4C4A2F" w14:textId="77777777" w:rsidR="00AC49F9" w:rsidRDefault="00AC49F9" w:rsidP="00EE0DB9">
            <w:pPr>
              <w:pStyle w:val="TableColHeadsBold0"/>
              <w:rPr>
                <w:b w:val="0"/>
                <w:bCs w:val="0"/>
              </w:rPr>
            </w:pPr>
            <w:r w:rsidRPr="00B64915">
              <w:rPr>
                <w:b w:val="0"/>
                <w:bCs w:val="0"/>
              </w:rPr>
              <w:t xml:space="preserve">EPRA </w:t>
            </w:r>
          </w:p>
          <w:p w14:paraId="5A76FA3E" w14:textId="77777777" w:rsidR="00AC49F9" w:rsidRDefault="00AC49F9" w:rsidP="00EE0DB9">
            <w:pPr>
              <w:pStyle w:val="TableColHeadsBold0"/>
              <w:rPr>
                <w:b w:val="0"/>
                <w:bCs w:val="0"/>
              </w:rPr>
            </w:pPr>
            <w:r w:rsidRPr="00B64915">
              <w:rPr>
                <w:b w:val="0"/>
                <w:bCs w:val="0"/>
              </w:rPr>
              <w:t xml:space="preserve">NDV </w:t>
            </w:r>
          </w:p>
          <w:p w14:paraId="7280FE81" w14:textId="3632EB3B" w:rsidR="00AC49F9" w:rsidRPr="00B64915" w:rsidRDefault="00AC49F9" w:rsidP="00EE0DB9">
            <w:pPr>
              <w:pStyle w:val="TableColHeadsBold0"/>
              <w:rPr>
                <w:b w:val="0"/>
                <w:bCs w:val="0"/>
              </w:rPr>
            </w:pPr>
            <w:r w:rsidRPr="00B64915">
              <w:rPr>
                <w:b w:val="0"/>
                <w:bCs w:val="0"/>
              </w:rPr>
              <w:t>£m</w:t>
            </w:r>
          </w:p>
        </w:tc>
      </w:tr>
      <w:tr w:rsidR="00AC49F9" w:rsidRPr="00C4527C" w14:paraId="507AE87E" w14:textId="77777777" w:rsidTr="00AC49F9">
        <w:trPr>
          <w:trHeight w:val="227"/>
        </w:trPr>
        <w:tc>
          <w:tcPr>
            <w:tcW w:w="3630" w:type="pct"/>
            <w:tcBorders>
              <w:top w:val="single" w:sz="8" w:space="0" w:color="808080" w:themeColor="background1" w:themeShade="80"/>
            </w:tcBorders>
            <w:vAlign w:val="bottom"/>
          </w:tcPr>
          <w:p w14:paraId="26183AE8" w14:textId="77777777" w:rsidR="00AC49F9" w:rsidRPr="00C4527C" w:rsidRDefault="00AC49F9" w:rsidP="00EE0DB9">
            <w:pPr>
              <w:pStyle w:val="Tabletext"/>
              <w:rPr>
                <w:szCs w:val="20"/>
              </w:rPr>
            </w:pPr>
            <w:r>
              <w:rPr>
                <w:szCs w:val="20"/>
              </w:rPr>
              <w:t>Equity attributable to ordinary shareholders</w:t>
            </w:r>
          </w:p>
        </w:tc>
        <w:tc>
          <w:tcPr>
            <w:tcW w:w="411" w:type="pct"/>
            <w:tcBorders>
              <w:top w:val="single" w:sz="8" w:space="0" w:color="808080" w:themeColor="background1" w:themeShade="80"/>
            </w:tcBorders>
          </w:tcPr>
          <w:p w14:paraId="0A98AEC6" w14:textId="02E1EB61" w:rsidR="00AC49F9" w:rsidRPr="00B64915" w:rsidRDefault="00AC49F9" w:rsidP="00EE0DB9">
            <w:pPr>
              <w:pStyle w:val="TableFiguresBracketsBold"/>
              <w:rPr>
                <w:b w:val="0"/>
                <w:bCs w:val="0"/>
              </w:rPr>
            </w:pPr>
            <w:r w:rsidRPr="00B64915">
              <w:rPr>
                <w:b w:val="0"/>
                <w:bCs w:val="0"/>
              </w:rPr>
              <w:t>9,659</w:t>
            </w:r>
          </w:p>
        </w:tc>
        <w:tc>
          <w:tcPr>
            <w:tcW w:w="479" w:type="pct"/>
            <w:tcBorders>
              <w:top w:val="single" w:sz="8" w:space="0" w:color="808080" w:themeColor="background1" w:themeShade="80"/>
            </w:tcBorders>
            <w:shd w:val="clear" w:color="auto" w:fill="auto"/>
            <w:vAlign w:val="bottom"/>
          </w:tcPr>
          <w:p w14:paraId="1E75A944" w14:textId="21E8043F" w:rsidR="00AC49F9" w:rsidRPr="00B64915" w:rsidRDefault="00AC49F9" w:rsidP="00EE0DB9">
            <w:pPr>
              <w:pStyle w:val="TableFigures"/>
            </w:pPr>
            <w:r w:rsidRPr="00B64915">
              <w:t>9,659</w:t>
            </w:r>
          </w:p>
        </w:tc>
        <w:tc>
          <w:tcPr>
            <w:tcW w:w="480" w:type="pct"/>
            <w:tcBorders>
              <w:top w:val="single" w:sz="8" w:space="0" w:color="808080" w:themeColor="background1" w:themeShade="80"/>
            </w:tcBorders>
            <w:shd w:val="clear" w:color="auto" w:fill="auto"/>
            <w:vAlign w:val="bottom"/>
          </w:tcPr>
          <w:p w14:paraId="22EB462F" w14:textId="5CF7B236" w:rsidR="00AC49F9" w:rsidRPr="00B64915" w:rsidRDefault="00AC49F9" w:rsidP="00EE0DB9">
            <w:pPr>
              <w:pStyle w:val="TableFigures"/>
            </w:pPr>
            <w:r w:rsidRPr="00B64915">
              <w:t>9,659</w:t>
            </w:r>
          </w:p>
        </w:tc>
      </w:tr>
      <w:tr w:rsidR="00AC49F9" w:rsidRPr="00C4527C" w14:paraId="43D77A71" w14:textId="77777777" w:rsidTr="00AC49F9">
        <w:trPr>
          <w:trHeight w:val="227"/>
        </w:trPr>
        <w:tc>
          <w:tcPr>
            <w:tcW w:w="3630" w:type="pct"/>
            <w:vAlign w:val="bottom"/>
          </w:tcPr>
          <w:p w14:paraId="16360856" w14:textId="77777777" w:rsidR="00AC49F9" w:rsidRPr="00C4527C" w:rsidRDefault="00AC49F9" w:rsidP="00EE0DB9">
            <w:pPr>
              <w:pStyle w:val="Tabletext"/>
              <w:rPr>
                <w:szCs w:val="20"/>
              </w:rPr>
            </w:pPr>
            <w:r>
              <w:rPr>
                <w:szCs w:val="20"/>
              </w:rPr>
              <w:t>Fair value adjustment in respect of interest rate derivatives – Group</w:t>
            </w:r>
          </w:p>
        </w:tc>
        <w:tc>
          <w:tcPr>
            <w:tcW w:w="411" w:type="pct"/>
            <w:vAlign w:val="bottom"/>
          </w:tcPr>
          <w:p w14:paraId="31EA8790" w14:textId="38BF350B" w:rsidR="00AC49F9" w:rsidRPr="00B64915" w:rsidRDefault="00AC49F9" w:rsidP="00EE0DB9">
            <w:pPr>
              <w:pStyle w:val="TableFiguresBracketsBold"/>
              <w:rPr>
                <w:b w:val="0"/>
                <w:bCs w:val="0"/>
              </w:rPr>
            </w:pPr>
            <w:r w:rsidRPr="00B64915">
              <w:rPr>
                <w:b w:val="0"/>
                <w:bCs w:val="0"/>
              </w:rPr>
              <w:t>(61)</w:t>
            </w:r>
          </w:p>
        </w:tc>
        <w:tc>
          <w:tcPr>
            <w:tcW w:w="479" w:type="pct"/>
            <w:shd w:val="clear" w:color="auto" w:fill="auto"/>
            <w:vAlign w:val="bottom"/>
          </w:tcPr>
          <w:p w14:paraId="0D5F5B42" w14:textId="5AA376DE" w:rsidR="00AC49F9" w:rsidRPr="00B64915" w:rsidRDefault="00AC49F9" w:rsidP="00EE0DB9">
            <w:pPr>
              <w:pStyle w:val="TableFiguresBracketsBold"/>
              <w:rPr>
                <w:b w:val="0"/>
                <w:bCs w:val="0"/>
              </w:rPr>
            </w:pPr>
            <w:r w:rsidRPr="00B64915">
              <w:rPr>
                <w:b w:val="0"/>
                <w:bCs w:val="0"/>
              </w:rPr>
              <w:t>(61)</w:t>
            </w:r>
          </w:p>
        </w:tc>
        <w:tc>
          <w:tcPr>
            <w:tcW w:w="480" w:type="pct"/>
            <w:shd w:val="clear" w:color="auto" w:fill="auto"/>
            <w:vAlign w:val="bottom"/>
          </w:tcPr>
          <w:p w14:paraId="1E3CB271" w14:textId="77777777" w:rsidR="00AC49F9" w:rsidRPr="00B64915" w:rsidRDefault="00AC49F9" w:rsidP="00EE0DB9">
            <w:pPr>
              <w:pStyle w:val="TableFigures"/>
            </w:pPr>
            <w:r w:rsidRPr="00B64915">
              <w:t>-</w:t>
            </w:r>
          </w:p>
        </w:tc>
      </w:tr>
      <w:tr w:rsidR="00AC49F9" w:rsidRPr="00C4527C" w14:paraId="50DC3C81" w14:textId="77777777" w:rsidTr="00AC49F9">
        <w:trPr>
          <w:trHeight w:val="227"/>
        </w:trPr>
        <w:tc>
          <w:tcPr>
            <w:tcW w:w="3630" w:type="pct"/>
            <w:vAlign w:val="bottom"/>
          </w:tcPr>
          <w:p w14:paraId="3C810F6D" w14:textId="77777777" w:rsidR="00AC49F9" w:rsidRPr="00C4527C" w:rsidRDefault="00AC49F9" w:rsidP="00EE0DB9">
            <w:pPr>
              <w:pStyle w:val="Tabletext"/>
              <w:rPr>
                <w:szCs w:val="20"/>
              </w:rPr>
            </w:pPr>
            <w:r>
              <w:rPr>
                <w:szCs w:val="20"/>
              </w:rPr>
              <w:t>Fair value adjustment in respect of trading properties – Group</w:t>
            </w:r>
          </w:p>
        </w:tc>
        <w:tc>
          <w:tcPr>
            <w:tcW w:w="411" w:type="pct"/>
            <w:vAlign w:val="bottom"/>
          </w:tcPr>
          <w:p w14:paraId="3E39ADC0" w14:textId="390E9373" w:rsidR="00AC49F9" w:rsidRPr="008E56FC" w:rsidRDefault="00AC49F9" w:rsidP="00B64915">
            <w:pPr>
              <w:pStyle w:val="TableFigures"/>
            </w:pPr>
            <w:r>
              <w:t>1</w:t>
            </w:r>
          </w:p>
        </w:tc>
        <w:tc>
          <w:tcPr>
            <w:tcW w:w="479" w:type="pct"/>
            <w:shd w:val="clear" w:color="auto" w:fill="auto"/>
            <w:vAlign w:val="bottom"/>
          </w:tcPr>
          <w:p w14:paraId="45CB80D5" w14:textId="2698FD0C" w:rsidR="00AC49F9" w:rsidRPr="00B64915" w:rsidRDefault="00AC49F9">
            <w:pPr>
              <w:pStyle w:val="TableFigures"/>
            </w:pPr>
            <w:r>
              <w:t>1</w:t>
            </w:r>
          </w:p>
        </w:tc>
        <w:tc>
          <w:tcPr>
            <w:tcW w:w="480" w:type="pct"/>
            <w:shd w:val="clear" w:color="auto" w:fill="auto"/>
            <w:vAlign w:val="bottom"/>
          </w:tcPr>
          <w:p w14:paraId="2B1A3C4E" w14:textId="1F7F6E60" w:rsidR="00AC49F9" w:rsidRPr="00B64915" w:rsidRDefault="00AC49F9">
            <w:pPr>
              <w:pStyle w:val="TableFigures"/>
            </w:pPr>
            <w:r>
              <w:t>1</w:t>
            </w:r>
          </w:p>
        </w:tc>
      </w:tr>
      <w:tr w:rsidR="00AC49F9" w:rsidRPr="00C4527C" w14:paraId="1438414E" w14:textId="77777777" w:rsidTr="00AC49F9">
        <w:trPr>
          <w:trHeight w:val="227"/>
        </w:trPr>
        <w:tc>
          <w:tcPr>
            <w:tcW w:w="3630" w:type="pct"/>
            <w:shd w:val="clear" w:color="auto" w:fill="auto"/>
            <w:vAlign w:val="bottom"/>
          </w:tcPr>
          <w:p w14:paraId="0AEEB683" w14:textId="77777777" w:rsidR="00AC49F9" w:rsidRPr="00C4527C" w:rsidRDefault="00AC49F9" w:rsidP="00EE0DB9">
            <w:pPr>
              <w:pStyle w:val="Tabletext"/>
              <w:rPr>
                <w:szCs w:val="20"/>
              </w:rPr>
            </w:pPr>
            <w:r>
              <w:rPr>
                <w:szCs w:val="20"/>
              </w:rPr>
              <w:t>Deferred tax in respect of depreciation and valuation surpluses – Group</w:t>
            </w:r>
            <w:r w:rsidRPr="00475C34">
              <w:rPr>
                <w:szCs w:val="20"/>
                <w:vertAlign w:val="superscript"/>
              </w:rPr>
              <w:t>1</w:t>
            </w:r>
          </w:p>
        </w:tc>
        <w:tc>
          <w:tcPr>
            <w:tcW w:w="411" w:type="pct"/>
            <w:vAlign w:val="bottom"/>
          </w:tcPr>
          <w:p w14:paraId="02DC722C" w14:textId="2D3C231B" w:rsidR="00AC49F9" w:rsidRPr="00B64915" w:rsidRDefault="00AC49F9" w:rsidP="00EE0DB9">
            <w:pPr>
              <w:pStyle w:val="TableFiguresBold0"/>
              <w:rPr>
                <w:b w:val="0"/>
                <w:bCs w:val="0"/>
              </w:rPr>
            </w:pPr>
            <w:r w:rsidRPr="00B64915">
              <w:rPr>
                <w:b w:val="0"/>
                <w:bCs w:val="0"/>
              </w:rPr>
              <w:t>42</w:t>
            </w:r>
          </w:p>
        </w:tc>
        <w:tc>
          <w:tcPr>
            <w:tcW w:w="479" w:type="pct"/>
            <w:shd w:val="clear" w:color="auto" w:fill="auto"/>
            <w:vAlign w:val="bottom"/>
          </w:tcPr>
          <w:p w14:paraId="5E14A666" w14:textId="76C03BB8" w:rsidR="00AC49F9" w:rsidRPr="00B64915" w:rsidRDefault="00AC49F9" w:rsidP="00EE0DB9">
            <w:pPr>
              <w:pStyle w:val="TableFiguresBold0"/>
              <w:rPr>
                <w:b w:val="0"/>
                <w:bCs w:val="0"/>
              </w:rPr>
            </w:pPr>
            <w:r w:rsidRPr="00B64915">
              <w:rPr>
                <w:b w:val="0"/>
                <w:bCs w:val="0"/>
              </w:rPr>
              <w:t>84</w:t>
            </w:r>
          </w:p>
        </w:tc>
        <w:tc>
          <w:tcPr>
            <w:tcW w:w="480" w:type="pct"/>
            <w:shd w:val="clear" w:color="auto" w:fill="auto"/>
            <w:vAlign w:val="bottom"/>
          </w:tcPr>
          <w:p w14:paraId="59407B89" w14:textId="77777777" w:rsidR="00AC49F9" w:rsidRPr="00B64915" w:rsidRDefault="00AC49F9" w:rsidP="00EE0DB9">
            <w:pPr>
              <w:pStyle w:val="TableFiguresBold0"/>
              <w:rPr>
                <w:b w:val="0"/>
                <w:bCs w:val="0"/>
              </w:rPr>
            </w:pPr>
            <w:r w:rsidRPr="00B64915">
              <w:rPr>
                <w:b w:val="0"/>
                <w:bCs w:val="0"/>
              </w:rPr>
              <w:t>-</w:t>
            </w:r>
          </w:p>
        </w:tc>
      </w:tr>
      <w:tr w:rsidR="00AC49F9" w:rsidRPr="00C4527C" w14:paraId="370AD88D" w14:textId="77777777" w:rsidTr="00AC49F9">
        <w:trPr>
          <w:trHeight w:val="227"/>
        </w:trPr>
        <w:tc>
          <w:tcPr>
            <w:tcW w:w="3630" w:type="pct"/>
            <w:shd w:val="clear" w:color="auto" w:fill="auto"/>
            <w:vAlign w:val="bottom"/>
          </w:tcPr>
          <w:p w14:paraId="4D2E0801" w14:textId="77777777" w:rsidR="00AC49F9" w:rsidRPr="00C4527C" w:rsidRDefault="00AC49F9" w:rsidP="00EE0DB9">
            <w:pPr>
              <w:pStyle w:val="Tabletext"/>
              <w:rPr>
                <w:szCs w:val="20"/>
              </w:rPr>
            </w:pPr>
            <w:r>
              <w:rPr>
                <w:szCs w:val="20"/>
              </w:rPr>
              <w:t>Deferred tax in respect of depreciation and valuation surpluses – Joint ventures</w:t>
            </w:r>
            <w:r w:rsidRPr="00475C34">
              <w:rPr>
                <w:szCs w:val="20"/>
                <w:vertAlign w:val="superscript"/>
              </w:rPr>
              <w:t>1</w:t>
            </w:r>
          </w:p>
        </w:tc>
        <w:tc>
          <w:tcPr>
            <w:tcW w:w="411" w:type="pct"/>
            <w:vAlign w:val="bottom"/>
          </w:tcPr>
          <w:p w14:paraId="79F5F0D1" w14:textId="6A303017" w:rsidR="00AC49F9" w:rsidRPr="00B64915" w:rsidRDefault="00AC49F9" w:rsidP="00EE0DB9">
            <w:pPr>
              <w:pStyle w:val="TableFiguresBracketsBold"/>
              <w:rPr>
                <w:b w:val="0"/>
                <w:bCs w:val="0"/>
              </w:rPr>
            </w:pPr>
            <w:r w:rsidRPr="00B64915">
              <w:rPr>
                <w:b w:val="0"/>
                <w:bCs w:val="0"/>
              </w:rPr>
              <w:t>8</w:t>
            </w:r>
            <w:r>
              <w:rPr>
                <w:b w:val="0"/>
                <w:bCs w:val="0"/>
              </w:rPr>
              <w:t>6</w:t>
            </w:r>
          </w:p>
        </w:tc>
        <w:tc>
          <w:tcPr>
            <w:tcW w:w="479" w:type="pct"/>
            <w:shd w:val="clear" w:color="auto" w:fill="auto"/>
            <w:vAlign w:val="bottom"/>
          </w:tcPr>
          <w:p w14:paraId="6B2475B0" w14:textId="24199BF3" w:rsidR="00AC49F9" w:rsidRPr="00B64915" w:rsidRDefault="00AC49F9" w:rsidP="00EE0DB9">
            <w:pPr>
              <w:pStyle w:val="TableFiguresBold0"/>
              <w:rPr>
                <w:b w:val="0"/>
                <w:bCs w:val="0"/>
              </w:rPr>
            </w:pPr>
            <w:r w:rsidRPr="00B64915">
              <w:rPr>
                <w:b w:val="0"/>
                <w:bCs w:val="0"/>
              </w:rPr>
              <w:t>171</w:t>
            </w:r>
          </w:p>
        </w:tc>
        <w:tc>
          <w:tcPr>
            <w:tcW w:w="480" w:type="pct"/>
            <w:shd w:val="clear" w:color="auto" w:fill="auto"/>
            <w:vAlign w:val="bottom"/>
          </w:tcPr>
          <w:p w14:paraId="70C3D333" w14:textId="77777777" w:rsidR="00AC49F9" w:rsidRPr="00B64915" w:rsidRDefault="00AC49F9" w:rsidP="00EE0DB9">
            <w:pPr>
              <w:pStyle w:val="TableFiguresBold0"/>
              <w:rPr>
                <w:b w:val="0"/>
                <w:bCs w:val="0"/>
              </w:rPr>
            </w:pPr>
            <w:r w:rsidRPr="00B64915">
              <w:rPr>
                <w:b w:val="0"/>
                <w:bCs w:val="0"/>
              </w:rPr>
              <w:t>-</w:t>
            </w:r>
          </w:p>
        </w:tc>
      </w:tr>
      <w:tr w:rsidR="00AC49F9" w:rsidRPr="00C4527C" w14:paraId="4C5251E4" w14:textId="77777777" w:rsidTr="00AC49F9">
        <w:trPr>
          <w:trHeight w:val="227"/>
        </w:trPr>
        <w:tc>
          <w:tcPr>
            <w:tcW w:w="3630" w:type="pct"/>
            <w:shd w:val="clear" w:color="auto" w:fill="auto"/>
            <w:vAlign w:val="bottom"/>
          </w:tcPr>
          <w:p w14:paraId="36225E4F" w14:textId="77777777" w:rsidR="00AC49F9" w:rsidRPr="00C4527C" w:rsidRDefault="00AC49F9" w:rsidP="00EE0DB9">
            <w:pPr>
              <w:pStyle w:val="Tabletext"/>
              <w:rPr>
                <w:szCs w:val="20"/>
              </w:rPr>
            </w:pPr>
            <w:r>
              <w:rPr>
                <w:szCs w:val="20"/>
              </w:rPr>
              <w:t>Intangible assets</w:t>
            </w:r>
          </w:p>
        </w:tc>
        <w:tc>
          <w:tcPr>
            <w:tcW w:w="411" w:type="pct"/>
          </w:tcPr>
          <w:p w14:paraId="5F88C24E" w14:textId="257CACD7" w:rsidR="00AC49F9" w:rsidRPr="00B64915" w:rsidRDefault="00AC49F9" w:rsidP="00EE0DB9">
            <w:pPr>
              <w:pStyle w:val="TableFiguresBracketsBold"/>
              <w:rPr>
                <w:b w:val="0"/>
                <w:bCs w:val="0"/>
              </w:rPr>
            </w:pPr>
            <w:r w:rsidRPr="00B64915">
              <w:rPr>
                <w:b w:val="0"/>
                <w:bCs w:val="0"/>
              </w:rPr>
              <w:t>(</w:t>
            </w:r>
            <w:r>
              <w:rPr>
                <w:b w:val="0"/>
                <w:bCs w:val="0"/>
              </w:rPr>
              <w:t>2</w:t>
            </w:r>
            <w:r w:rsidRPr="00B64915">
              <w:rPr>
                <w:b w:val="0"/>
                <w:bCs w:val="0"/>
              </w:rPr>
              <w:t>)</w:t>
            </w:r>
          </w:p>
        </w:tc>
        <w:tc>
          <w:tcPr>
            <w:tcW w:w="479" w:type="pct"/>
            <w:shd w:val="clear" w:color="auto" w:fill="auto"/>
            <w:vAlign w:val="bottom"/>
          </w:tcPr>
          <w:p w14:paraId="1C9320BA" w14:textId="77777777" w:rsidR="00AC49F9" w:rsidRPr="00B64915" w:rsidRDefault="00AC49F9" w:rsidP="00EE0DB9">
            <w:pPr>
              <w:pStyle w:val="TableFiguresBold0"/>
              <w:rPr>
                <w:b w:val="0"/>
                <w:bCs w:val="0"/>
              </w:rPr>
            </w:pPr>
            <w:r w:rsidRPr="00B64915">
              <w:rPr>
                <w:b w:val="0"/>
                <w:bCs w:val="0"/>
              </w:rPr>
              <w:t>-</w:t>
            </w:r>
          </w:p>
        </w:tc>
        <w:tc>
          <w:tcPr>
            <w:tcW w:w="480" w:type="pct"/>
            <w:shd w:val="clear" w:color="auto" w:fill="auto"/>
            <w:vAlign w:val="bottom"/>
          </w:tcPr>
          <w:p w14:paraId="535B32BF" w14:textId="77777777" w:rsidR="00AC49F9" w:rsidRPr="00B64915" w:rsidRDefault="00AC49F9" w:rsidP="00EE0DB9">
            <w:pPr>
              <w:pStyle w:val="TableFiguresBold0"/>
              <w:rPr>
                <w:b w:val="0"/>
                <w:bCs w:val="0"/>
              </w:rPr>
            </w:pPr>
            <w:r w:rsidRPr="00B64915">
              <w:rPr>
                <w:b w:val="0"/>
                <w:bCs w:val="0"/>
              </w:rPr>
              <w:t>-</w:t>
            </w:r>
          </w:p>
        </w:tc>
      </w:tr>
      <w:tr w:rsidR="00AC49F9" w:rsidRPr="00C4527C" w14:paraId="56CE7E0B" w14:textId="77777777" w:rsidTr="00AC49F9">
        <w:trPr>
          <w:trHeight w:val="227"/>
        </w:trPr>
        <w:tc>
          <w:tcPr>
            <w:tcW w:w="3630" w:type="pct"/>
            <w:shd w:val="clear" w:color="auto" w:fill="auto"/>
            <w:vAlign w:val="bottom"/>
          </w:tcPr>
          <w:p w14:paraId="0D1C6562" w14:textId="77777777" w:rsidR="00AC49F9" w:rsidRDefault="00AC49F9" w:rsidP="00EE0DB9">
            <w:pPr>
              <w:pStyle w:val="Tabletext"/>
              <w:rPr>
                <w:szCs w:val="20"/>
              </w:rPr>
            </w:pPr>
            <w:r>
              <w:rPr>
                <w:szCs w:val="20"/>
              </w:rPr>
              <w:t>Fair value adjustment in respect of debt – Group</w:t>
            </w:r>
          </w:p>
        </w:tc>
        <w:tc>
          <w:tcPr>
            <w:tcW w:w="411" w:type="pct"/>
          </w:tcPr>
          <w:p w14:paraId="156A1401" w14:textId="77777777" w:rsidR="00AC49F9" w:rsidRPr="00B64915" w:rsidRDefault="00AC49F9" w:rsidP="00EE0DB9">
            <w:pPr>
              <w:pStyle w:val="TableFiguresBold0"/>
              <w:rPr>
                <w:b w:val="0"/>
                <w:bCs w:val="0"/>
              </w:rPr>
            </w:pPr>
            <w:r w:rsidRPr="00B64915">
              <w:rPr>
                <w:b w:val="0"/>
                <w:bCs w:val="0"/>
              </w:rPr>
              <w:t>-</w:t>
            </w:r>
          </w:p>
        </w:tc>
        <w:tc>
          <w:tcPr>
            <w:tcW w:w="479" w:type="pct"/>
            <w:shd w:val="clear" w:color="auto" w:fill="auto"/>
            <w:vAlign w:val="bottom"/>
          </w:tcPr>
          <w:p w14:paraId="218E3512" w14:textId="77777777" w:rsidR="00AC49F9" w:rsidRPr="00B64915" w:rsidRDefault="00AC49F9" w:rsidP="00EE0DB9">
            <w:pPr>
              <w:pStyle w:val="TableFiguresBold0"/>
              <w:rPr>
                <w:b w:val="0"/>
                <w:bCs w:val="0"/>
              </w:rPr>
            </w:pPr>
            <w:r w:rsidRPr="00B64915">
              <w:rPr>
                <w:b w:val="0"/>
                <w:bCs w:val="0"/>
              </w:rPr>
              <w:t>-</w:t>
            </w:r>
          </w:p>
        </w:tc>
        <w:tc>
          <w:tcPr>
            <w:tcW w:w="480" w:type="pct"/>
            <w:shd w:val="clear" w:color="auto" w:fill="auto"/>
            <w:vAlign w:val="bottom"/>
          </w:tcPr>
          <w:p w14:paraId="6796AAAF" w14:textId="4841BFFF" w:rsidR="00AC49F9" w:rsidRPr="00B64915" w:rsidRDefault="00AC49F9" w:rsidP="00EE0DB9">
            <w:pPr>
              <w:pStyle w:val="TableFiguresBracketsBold"/>
              <w:rPr>
                <w:b w:val="0"/>
                <w:bCs w:val="0"/>
              </w:rPr>
            </w:pPr>
            <w:r w:rsidRPr="00B64915">
              <w:rPr>
                <w:b w:val="0"/>
                <w:bCs w:val="0"/>
              </w:rPr>
              <w:t>(46</w:t>
            </w:r>
            <w:r>
              <w:rPr>
                <w:b w:val="0"/>
                <w:bCs w:val="0"/>
              </w:rPr>
              <w:t>7</w:t>
            </w:r>
            <w:r w:rsidRPr="00B64915">
              <w:rPr>
                <w:b w:val="0"/>
                <w:bCs w:val="0"/>
              </w:rPr>
              <w:t>)</w:t>
            </w:r>
          </w:p>
        </w:tc>
      </w:tr>
      <w:tr w:rsidR="00AC49F9" w:rsidRPr="00C4527C" w14:paraId="72CBB959" w14:textId="77777777" w:rsidTr="00AC49F9">
        <w:trPr>
          <w:trHeight w:val="227"/>
        </w:trPr>
        <w:tc>
          <w:tcPr>
            <w:tcW w:w="3630" w:type="pct"/>
            <w:shd w:val="clear" w:color="auto" w:fill="auto"/>
            <w:vAlign w:val="bottom"/>
          </w:tcPr>
          <w:p w14:paraId="4AC6521F" w14:textId="77777777" w:rsidR="00AC49F9" w:rsidRDefault="00AC49F9" w:rsidP="00EE0DB9">
            <w:pPr>
              <w:pStyle w:val="Tabletext"/>
              <w:rPr>
                <w:szCs w:val="20"/>
              </w:rPr>
            </w:pPr>
            <w:r>
              <w:rPr>
                <w:szCs w:val="20"/>
              </w:rPr>
              <w:t>Fair value adjustment in respect of debt – Joint ventures</w:t>
            </w:r>
          </w:p>
        </w:tc>
        <w:tc>
          <w:tcPr>
            <w:tcW w:w="411" w:type="pct"/>
            <w:vAlign w:val="bottom"/>
          </w:tcPr>
          <w:p w14:paraId="35495F35" w14:textId="77777777" w:rsidR="00AC49F9" w:rsidRPr="00B64915" w:rsidRDefault="00AC49F9" w:rsidP="00EE0DB9">
            <w:pPr>
              <w:pStyle w:val="TableFiguresBold0"/>
              <w:rPr>
                <w:b w:val="0"/>
                <w:bCs w:val="0"/>
              </w:rPr>
            </w:pPr>
            <w:r w:rsidRPr="00B64915">
              <w:rPr>
                <w:b w:val="0"/>
                <w:bCs w:val="0"/>
              </w:rPr>
              <w:t>-</w:t>
            </w:r>
          </w:p>
        </w:tc>
        <w:tc>
          <w:tcPr>
            <w:tcW w:w="479" w:type="pct"/>
            <w:shd w:val="clear" w:color="auto" w:fill="auto"/>
            <w:vAlign w:val="bottom"/>
          </w:tcPr>
          <w:p w14:paraId="5AD635F7" w14:textId="77777777" w:rsidR="00AC49F9" w:rsidRPr="00B64915" w:rsidRDefault="00AC49F9" w:rsidP="00EE0DB9">
            <w:pPr>
              <w:pStyle w:val="TableFiguresBold0"/>
              <w:rPr>
                <w:b w:val="0"/>
                <w:bCs w:val="0"/>
              </w:rPr>
            </w:pPr>
            <w:r w:rsidRPr="00B64915">
              <w:rPr>
                <w:b w:val="0"/>
                <w:bCs w:val="0"/>
              </w:rPr>
              <w:t>-</w:t>
            </w:r>
          </w:p>
        </w:tc>
        <w:tc>
          <w:tcPr>
            <w:tcW w:w="480" w:type="pct"/>
            <w:shd w:val="clear" w:color="auto" w:fill="auto"/>
            <w:vAlign w:val="bottom"/>
          </w:tcPr>
          <w:p w14:paraId="66E12A08" w14:textId="58F2B261" w:rsidR="00AC49F9" w:rsidRPr="00B64915" w:rsidRDefault="00AC49F9" w:rsidP="00EE0DB9">
            <w:pPr>
              <w:pStyle w:val="TableFiguresBracketsBold"/>
              <w:rPr>
                <w:b w:val="0"/>
                <w:bCs w:val="0"/>
              </w:rPr>
            </w:pPr>
            <w:r w:rsidRPr="00B64915">
              <w:rPr>
                <w:b w:val="0"/>
                <w:bCs w:val="0"/>
              </w:rPr>
              <w:t>(38)</w:t>
            </w:r>
          </w:p>
        </w:tc>
      </w:tr>
      <w:tr w:rsidR="00AC49F9" w:rsidRPr="00C4527C" w14:paraId="5EB33805" w14:textId="77777777" w:rsidTr="00AC49F9">
        <w:trPr>
          <w:trHeight w:val="227"/>
        </w:trPr>
        <w:tc>
          <w:tcPr>
            <w:tcW w:w="3630" w:type="pct"/>
            <w:tcBorders>
              <w:bottom w:val="single" w:sz="4" w:space="0" w:color="808080" w:themeColor="background1" w:themeShade="80"/>
            </w:tcBorders>
            <w:shd w:val="clear" w:color="auto" w:fill="auto"/>
            <w:vAlign w:val="bottom"/>
          </w:tcPr>
          <w:p w14:paraId="0C9276DC" w14:textId="77777777" w:rsidR="00AC49F9" w:rsidRDefault="00AC49F9" w:rsidP="00EE0DB9">
            <w:pPr>
              <w:pStyle w:val="Tabletext"/>
              <w:rPr>
                <w:szCs w:val="20"/>
              </w:rPr>
            </w:pPr>
            <w:r>
              <w:rPr>
                <w:szCs w:val="20"/>
              </w:rPr>
              <w:t>Real estate transfer tax</w:t>
            </w:r>
            <w:r w:rsidRPr="00475C34">
              <w:rPr>
                <w:szCs w:val="20"/>
                <w:vertAlign w:val="superscript"/>
              </w:rPr>
              <w:t>2</w:t>
            </w:r>
          </w:p>
        </w:tc>
        <w:tc>
          <w:tcPr>
            <w:tcW w:w="411" w:type="pct"/>
            <w:tcBorders>
              <w:bottom w:val="single" w:sz="4" w:space="0" w:color="808080" w:themeColor="background1" w:themeShade="80"/>
            </w:tcBorders>
          </w:tcPr>
          <w:p w14:paraId="69E67C35" w14:textId="77777777" w:rsidR="00AC49F9" w:rsidRPr="00B64915" w:rsidRDefault="00AC49F9" w:rsidP="00EE0DB9">
            <w:pPr>
              <w:pStyle w:val="TableFiguresBold0"/>
              <w:rPr>
                <w:b w:val="0"/>
                <w:bCs w:val="0"/>
              </w:rPr>
            </w:pPr>
            <w:r w:rsidRPr="00B64915">
              <w:rPr>
                <w:b w:val="0"/>
                <w:bCs w:val="0"/>
              </w:rPr>
              <w:t>-</w:t>
            </w:r>
          </w:p>
        </w:tc>
        <w:tc>
          <w:tcPr>
            <w:tcW w:w="479" w:type="pct"/>
            <w:tcBorders>
              <w:bottom w:val="single" w:sz="4" w:space="0" w:color="808080" w:themeColor="background1" w:themeShade="80"/>
            </w:tcBorders>
            <w:shd w:val="clear" w:color="auto" w:fill="auto"/>
            <w:vAlign w:val="bottom"/>
          </w:tcPr>
          <w:p w14:paraId="4A37F67D" w14:textId="6269DD3F" w:rsidR="00AC49F9" w:rsidRPr="00B64915" w:rsidRDefault="00AC49F9" w:rsidP="00EE0DB9">
            <w:pPr>
              <w:pStyle w:val="TableFiguresBold0"/>
              <w:rPr>
                <w:b w:val="0"/>
                <w:bCs w:val="0"/>
              </w:rPr>
            </w:pPr>
            <w:r>
              <w:rPr>
                <w:b w:val="0"/>
                <w:bCs w:val="0"/>
              </w:rPr>
              <w:t>717</w:t>
            </w:r>
          </w:p>
        </w:tc>
        <w:tc>
          <w:tcPr>
            <w:tcW w:w="480" w:type="pct"/>
            <w:tcBorders>
              <w:bottom w:val="single" w:sz="4" w:space="0" w:color="808080" w:themeColor="background1" w:themeShade="80"/>
            </w:tcBorders>
            <w:shd w:val="clear" w:color="auto" w:fill="auto"/>
            <w:vAlign w:val="bottom"/>
          </w:tcPr>
          <w:p w14:paraId="5FF7EF34" w14:textId="77777777" w:rsidR="00AC49F9" w:rsidRPr="00B64915" w:rsidRDefault="00AC49F9" w:rsidP="00EE0DB9">
            <w:pPr>
              <w:pStyle w:val="TableFiguresBold0"/>
              <w:rPr>
                <w:b w:val="0"/>
                <w:bCs w:val="0"/>
              </w:rPr>
            </w:pPr>
            <w:r w:rsidRPr="00B64915">
              <w:rPr>
                <w:b w:val="0"/>
                <w:bCs w:val="0"/>
              </w:rPr>
              <w:t>-</w:t>
            </w:r>
          </w:p>
        </w:tc>
      </w:tr>
      <w:tr w:rsidR="00AC49F9" w:rsidRPr="00C4527C" w14:paraId="3594140A" w14:textId="77777777" w:rsidTr="00AC49F9">
        <w:trPr>
          <w:trHeight w:val="227"/>
        </w:trPr>
        <w:tc>
          <w:tcPr>
            <w:tcW w:w="3630" w:type="pct"/>
            <w:tcBorders>
              <w:top w:val="single" w:sz="4" w:space="0" w:color="808080" w:themeColor="background1" w:themeShade="80"/>
              <w:bottom w:val="single" w:sz="4" w:space="0" w:color="808080" w:themeColor="background1" w:themeShade="80"/>
            </w:tcBorders>
            <w:shd w:val="clear" w:color="auto" w:fill="auto"/>
            <w:vAlign w:val="bottom"/>
          </w:tcPr>
          <w:p w14:paraId="1C790A4F" w14:textId="77777777" w:rsidR="00AC49F9" w:rsidRPr="00C4527C" w:rsidRDefault="00AC49F9" w:rsidP="00EE0DB9">
            <w:pPr>
              <w:pStyle w:val="TabletextBold"/>
              <w:rPr>
                <w:b w:val="0"/>
                <w:szCs w:val="20"/>
              </w:rPr>
            </w:pPr>
            <w:r>
              <w:rPr>
                <w:b w:val="0"/>
                <w:szCs w:val="20"/>
              </w:rPr>
              <w:t>Net assets</w:t>
            </w:r>
          </w:p>
        </w:tc>
        <w:tc>
          <w:tcPr>
            <w:tcW w:w="411" w:type="pct"/>
            <w:tcBorders>
              <w:top w:val="single" w:sz="4" w:space="0" w:color="808080" w:themeColor="background1" w:themeShade="80"/>
              <w:bottom w:val="single" w:sz="4" w:space="0" w:color="808080" w:themeColor="background1" w:themeShade="80"/>
            </w:tcBorders>
          </w:tcPr>
          <w:p w14:paraId="6A8D4127" w14:textId="14EEF0EE" w:rsidR="00AC49F9" w:rsidRPr="00B64915" w:rsidRDefault="00AC49F9" w:rsidP="00EE0DB9">
            <w:pPr>
              <w:pStyle w:val="TableFiguresBold0"/>
              <w:rPr>
                <w:b w:val="0"/>
                <w:bCs w:val="0"/>
              </w:rPr>
            </w:pPr>
            <w:r w:rsidRPr="00B64915">
              <w:rPr>
                <w:b w:val="0"/>
                <w:bCs w:val="0"/>
              </w:rPr>
              <w:t>9,725</w:t>
            </w:r>
          </w:p>
        </w:tc>
        <w:tc>
          <w:tcPr>
            <w:tcW w:w="479" w:type="pct"/>
            <w:tcBorders>
              <w:top w:val="single" w:sz="4" w:space="0" w:color="808080" w:themeColor="background1" w:themeShade="80"/>
              <w:bottom w:val="single" w:sz="4" w:space="0" w:color="808080" w:themeColor="background1" w:themeShade="80"/>
            </w:tcBorders>
            <w:shd w:val="clear" w:color="auto" w:fill="auto"/>
            <w:vAlign w:val="bottom"/>
          </w:tcPr>
          <w:p w14:paraId="480967CF" w14:textId="1243ABE1" w:rsidR="00AC49F9" w:rsidRPr="00B64915" w:rsidRDefault="00AC49F9" w:rsidP="00EE0DB9">
            <w:pPr>
              <w:pStyle w:val="TableFiguresBold0"/>
              <w:rPr>
                <w:b w:val="0"/>
                <w:bCs w:val="0"/>
              </w:rPr>
            </w:pPr>
            <w:r w:rsidRPr="00B64915">
              <w:rPr>
                <w:b w:val="0"/>
                <w:bCs w:val="0"/>
              </w:rPr>
              <w:t>10,571</w:t>
            </w:r>
          </w:p>
        </w:tc>
        <w:tc>
          <w:tcPr>
            <w:tcW w:w="480" w:type="pct"/>
            <w:tcBorders>
              <w:top w:val="single" w:sz="4" w:space="0" w:color="808080" w:themeColor="background1" w:themeShade="80"/>
              <w:bottom w:val="single" w:sz="4" w:space="0" w:color="808080" w:themeColor="background1" w:themeShade="80"/>
            </w:tcBorders>
            <w:shd w:val="clear" w:color="auto" w:fill="auto"/>
            <w:vAlign w:val="bottom"/>
          </w:tcPr>
          <w:p w14:paraId="2BE04698" w14:textId="3EA1C3C2" w:rsidR="00AC49F9" w:rsidRPr="00B64915" w:rsidRDefault="00AC49F9" w:rsidP="00EE0DB9">
            <w:pPr>
              <w:pStyle w:val="TableFiguresBold0"/>
              <w:rPr>
                <w:b w:val="0"/>
                <w:bCs w:val="0"/>
              </w:rPr>
            </w:pPr>
            <w:r w:rsidRPr="00B64915">
              <w:rPr>
                <w:b w:val="0"/>
                <w:bCs w:val="0"/>
              </w:rPr>
              <w:t>9,155</w:t>
            </w:r>
          </w:p>
        </w:tc>
      </w:tr>
      <w:tr w:rsidR="00AC49F9" w:rsidRPr="00C4527C" w14:paraId="041AC9CB" w14:textId="77777777" w:rsidTr="00AC49F9">
        <w:trPr>
          <w:trHeight w:val="227"/>
        </w:trPr>
        <w:tc>
          <w:tcPr>
            <w:tcW w:w="3630" w:type="pct"/>
            <w:tcBorders>
              <w:top w:val="single" w:sz="4" w:space="0" w:color="808080" w:themeColor="background1" w:themeShade="80"/>
              <w:bottom w:val="single" w:sz="4" w:space="0" w:color="808080" w:themeColor="background1" w:themeShade="80"/>
            </w:tcBorders>
            <w:shd w:val="clear" w:color="auto" w:fill="auto"/>
            <w:vAlign w:val="bottom"/>
          </w:tcPr>
          <w:p w14:paraId="0CD19250" w14:textId="77777777" w:rsidR="00AC49F9" w:rsidRPr="00C4527C" w:rsidRDefault="00AC49F9" w:rsidP="00EE0DB9">
            <w:pPr>
              <w:pStyle w:val="TabletextBold"/>
              <w:rPr>
                <w:b w:val="0"/>
                <w:szCs w:val="20"/>
              </w:rPr>
            </w:pPr>
            <w:r>
              <w:rPr>
                <w:b w:val="0"/>
                <w:szCs w:val="20"/>
              </w:rPr>
              <w:t>Diluted shares (million)</w:t>
            </w:r>
          </w:p>
        </w:tc>
        <w:tc>
          <w:tcPr>
            <w:tcW w:w="411" w:type="pct"/>
            <w:tcBorders>
              <w:top w:val="single" w:sz="4" w:space="0" w:color="808080" w:themeColor="background1" w:themeShade="80"/>
              <w:bottom w:val="single" w:sz="4" w:space="0" w:color="808080" w:themeColor="background1" w:themeShade="80"/>
            </w:tcBorders>
          </w:tcPr>
          <w:p w14:paraId="5EE6AFE6" w14:textId="77777777" w:rsidR="00AC49F9" w:rsidRPr="00B64915" w:rsidRDefault="00AC49F9" w:rsidP="00EE0DB9">
            <w:pPr>
              <w:pStyle w:val="TableFiguresBold0"/>
              <w:rPr>
                <w:b w:val="0"/>
                <w:bCs w:val="0"/>
              </w:rPr>
            </w:pPr>
            <w:r w:rsidRPr="00B64915">
              <w:rPr>
                <w:b w:val="0"/>
                <w:bCs w:val="0"/>
              </w:rPr>
              <w:t>1,194.7</w:t>
            </w:r>
          </w:p>
        </w:tc>
        <w:tc>
          <w:tcPr>
            <w:tcW w:w="479" w:type="pct"/>
            <w:tcBorders>
              <w:top w:val="single" w:sz="4" w:space="0" w:color="808080" w:themeColor="background1" w:themeShade="80"/>
              <w:bottom w:val="single" w:sz="4" w:space="0" w:color="808080" w:themeColor="background1" w:themeShade="80"/>
            </w:tcBorders>
            <w:shd w:val="clear" w:color="auto" w:fill="auto"/>
            <w:vAlign w:val="bottom"/>
          </w:tcPr>
          <w:p w14:paraId="52F6E42B" w14:textId="77777777" w:rsidR="00AC49F9" w:rsidRPr="00B64915" w:rsidRDefault="00AC49F9" w:rsidP="00EE0DB9">
            <w:pPr>
              <w:pStyle w:val="TableFiguresBold0"/>
              <w:rPr>
                <w:b w:val="0"/>
                <w:bCs w:val="0"/>
              </w:rPr>
            </w:pPr>
            <w:r w:rsidRPr="00B64915">
              <w:rPr>
                <w:b w:val="0"/>
                <w:bCs w:val="0"/>
              </w:rPr>
              <w:t>1,194.7</w:t>
            </w:r>
          </w:p>
        </w:tc>
        <w:tc>
          <w:tcPr>
            <w:tcW w:w="480" w:type="pct"/>
            <w:tcBorders>
              <w:top w:val="single" w:sz="4" w:space="0" w:color="808080" w:themeColor="background1" w:themeShade="80"/>
              <w:bottom w:val="single" w:sz="4" w:space="0" w:color="808080" w:themeColor="background1" w:themeShade="80"/>
            </w:tcBorders>
            <w:shd w:val="clear" w:color="auto" w:fill="auto"/>
            <w:vAlign w:val="bottom"/>
          </w:tcPr>
          <w:p w14:paraId="649C28C0" w14:textId="77777777" w:rsidR="00AC49F9" w:rsidRPr="00B64915" w:rsidRDefault="00AC49F9" w:rsidP="00EE0DB9">
            <w:pPr>
              <w:pStyle w:val="TableFiguresBold0"/>
              <w:rPr>
                <w:b w:val="0"/>
                <w:bCs w:val="0"/>
              </w:rPr>
            </w:pPr>
            <w:r w:rsidRPr="00B64915">
              <w:rPr>
                <w:b w:val="0"/>
                <w:bCs w:val="0"/>
              </w:rPr>
              <w:t>1,194.7</w:t>
            </w:r>
          </w:p>
        </w:tc>
      </w:tr>
      <w:tr w:rsidR="00AC49F9" w:rsidRPr="00C4527C" w14:paraId="1EC36667" w14:textId="77777777" w:rsidTr="00AC49F9">
        <w:trPr>
          <w:trHeight w:val="227"/>
        </w:trPr>
        <w:tc>
          <w:tcPr>
            <w:tcW w:w="3630" w:type="pct"/>
            <w:tcBorders>
              <w:top w:val="single" w:sz="4" w:space="0" w:color="808080" w:themeColor="background1" w:themeShade="80"/>
              <w:bottom w:val="single" w:sz="8" w:space="0" w:color="808080" w:themeColor="background1" w:themeShade="80"/>
            </w:tcBorders>
            <w:shd w:val="clear" w:color="auto" w:fill="auto"/>
            <w:vAlign w:val="bottom"/>
          </w:tcPr>
          <w:p w14:paraId="12BC25A6" w14:textId="77777777" w:rsidR="00AC49F9" w:rsidRPr="00C4527C" w:rsidRDefault="00AC49F9" w:rsidP="00EE0DB9">
            <w:pPr>
              <w:pStyle w:val="TabletextBold"/>
              <w:rPr>
                <w:b w:val="0"/>
                <w:szCs w:val="20"/>
              </w:rPr>
            </w:pPr>
            <w:r>
              <w:rPr>
                <w:b w:val="0"/>
                <w:szCs w:val="20"/>
              </w:rPr>
              <w:t>Diluted new assets per share</w:t>
            </w:r>
          </w:p>
        </w:tc>
        <w:tc>
          <w:tcPr>
            <w:tcW w:w="411" w:type="pct"/>
            <w:tcBorders>
              <w:top w:val="single" w:sz="4" w:space="0" w:color="808080" w:themeColor="background1" w:themeShade="80"/>
              <w:bottom w:val="single" w:sz="8" w:space="0" w:color="808080" w:themeColor="background1" w:themeShade="80"/>
            </w:tcBorders>
          </w:tcPr>
          <w:p w14:paraId="56FD0DEC" w14:textId="77777777" w:rsidR="00AC49F9" w:rsidRPr="00B64915" w:rsidRDefault="00AC49F9" w:rsidP="00EE0DB9">
            <w:pPr>
              <w:pStyle w:val="TableFiguresBold0"/>
              <w:rPr>
                <w:b w:val="0"/>
                <w:bCs w:val="0"/>
              </w:rPr>
            </w:pPr>
            <w:r w:rsidRPr="00B64915">
              <w:rPr>
                <w:b w:val="0"/>
                <w:bCs w:val="0"/>
              </w:rPr>
              <w:t>814</w:t>
            </w:r>
          </w:p>
        </w:tc>
        <w:tc>
          <w:tcPr>
            <w:tcW w:w="479" w:type="pct"/>
            <w:tcBorders>
              <w:top w:val="single" w:sz="4" w:space="0" w:color="808080" w:themeColor="background1" w:themeShade="80"/>
              <w:bottom w:val="single" w:sz="8" w:space="0" w:color="808080" w:themeColor="background1" w:themeShade="80"/>
            </w:tcBorders>
            <w:shd w:val="clear" w:color="auto" w:fill="auto"/>
            <w:vAlign w:val="bottom"/>
          </w:tcPr>
          <w:p w14:paraId="450BEE8D" w14:textId="77777777" w:rsidR="00AC49F9" w:rsidRPr="00B64915" w:rsidRDefault="00AC49F9" w:rsidP="00EE0DB9">
            <w:pPr>
              <w:pStyle w:val="TableFiguresBold0"/>
              <w:rPr>
                <w:b w:val="0"/>
                <w:bCs w:val="0"/>
              </w:rPr>
            </w:pPr>
            <w:r w:rsidRPr="00B64915">
              <w:rPr>
                <w:b w:val="0"/>
                <w:bCs w:val="0"/>
              </w:rPr>
              <w:t>885</w:t>
            </w:r>
          </w:p>
        </w:tc>
        <w:tc>
          <w:tcPr>
            <w:tcW w:w="480" w:type="pct"/>
            <w:tcBorders>
              <w:top w:val="single" w:sz="4" w:space="0" w:color="808080" w:themeColor="background1" w:themeShade="80"/>
              <w:bottom w:val="single" w:sz="8" w:space="0" w:color="808080" w:themeColor="background1" w:themeShade="80"/>
            </w:tcBorders>
            <w:shd w:val="clear" w:color="auto" w:fill="auto"/>
            <w:vAlign w:val="bottom"/>
          </w:tcPr>
          <w:p w14:paraId="75CB6C90" w14:textId="77777777" w:rsidR="00AC49F9" w:rsidRPr="00B64915" w:rsidRDefault="00AC49F9" w:rsidP="00EE0DB9">
            <w:pPr>
              <w:pStyle w:val="TableFiguresBold0"/>
              <w:rPr>
                <w:b w:val="0"/>
                <w:bCs w:val="0"/>
              </w:rPr>
            </w:pPr>
            <w:r w:rsidRPr="00B64915">
              <w:rPr>
                <w:b w:val="0"/>
                <w:bCs w:val="0"/>
              </w:rPr>
              <w:t>766</w:t>
            </w:r>
          </w:p>
        </w:tc>
      </w:tr>
    </w:tbl>
    <w:p w14:paraId="493C52D6" w14:textId="77777777" w:rsidR="004946FA" w:rsidRDefault="004946FA" w:rsidP="004946FA">
      <w:pPr>
        <w:pStyle w:val="FootnotesNoSpace"/>
        <w:rPr>
          <w:i w:val="0"/>
        </w:rPr>
      </w:pPr>
    </w:p>
    <w:p w14:paraId="2A42B848" w14:textId="77777777" w:rsidR="004946FA" w:rsidRPr="009A26E5" w:rsidRDefault="004946FA" w:rsidP="004946FA">
      <w:pPr>
        <w:pStyle w:val="FootnotesNoSpace"/>
        <w:rPr>
          <w:iCs/>
        </w:rPr>
      </w:pPr>
      <w:r w:rsidRPr="009A26E5">
        <w:rPr>
          <w:iCs/>
        </w:rPr>
        <w:t xml:space="preserve">1 50 per cent of deferred tax in respect of depreciation and valuation surpluses has been excluded in calculating EPRA NTA in line with option 3 of EPRA BPR guidelines. </w:t>
      </w:r>
    </w:p>
    <w:p w14:paraId="5CA46225" w14:textId="77777777" w:rsidR="004946FA" w:rsidRPr="009A26E5" w:rsidRDefault="004946FA" w:rsidP="004946FA">
      <w:pPr>
        <w:pStyle w:val="FootnotesNoSpace"/>
        <w:rPr>
          <w:iCs/>
        </w:rPr>
      </w:pPr>
      <w:r w:rsidRPr="009A26E5">
        <w:rPr>
          <w:iCs/>
        </w:rPr>
        <w:t xml:space="preserve">2 EPRA NTA and EPRA NDV reflect IFRS values which are net of purchasers’ costs. Purchasers’ costs are added back when calculating EPRA NRV. </w:t>
      </w:r>
    </w:p>
    <w:p w14:paraId="78905888" w14:textId="5F9DCFD6" w:rsidR="00D565C4" w:rsidRDefault="00D565C4" w:rsidP="005E793C">
      <w:pPr>
        <w:pStyle w:val="Heading2"/>
        <w:rPr>
          <w:sz w:val="20"/>
        </w:rPr>
      </w:pPr>
    </w:p>
    <w:p w14:paraId="443B3343" w14:textId="2E2A681C" w:rsidR="00B940B6" w:rsidRDefault="00B940B6" w:rsidP="005E793C">
      <w:pPr>
        <w:pStyle w:val="Heading2"/>
      </w:pPr>
    </w:p>
    <w:p w14:paraId="2BE8BAB0" w14:textId="1A4EB47A" w:rsidR="00B940B6" w:rsidRDefault="00B940B6" w:rsidP="005E793C">
      <w:pPr>
        <w:pStyle w:val="Heading2"/>
      </w:pPr>
    </w:p>
    <w:p w14:paraId="586E6B2F" w14:textId="1F12D320" w:rsidR="00B940B6" w:rsidRDefault="00B940B6" w:rsidP="005E793C">
      <w:pPr>
        <w:pStyle w:val="Heading2"/>
      </w:pPr>
    </w:p>
    <w:p w14:paraId="303A3F6E" w14:textId="45A01968" w:rsidR="00B940B6" w:rsidRDefault="00B940B6" w:rsidP="005E793C">
      <w:pPr>
        <w:pStyle w:val="Heading2"/>
      </w:pPr>
    </w:p>
    <w:p w14:paraId="7A559DAD" w14:textId="11909014" w:rsidR="005E793C" w:rsidRPr="00490F5F" w:rsidRDefault="005E793C" w:rsidP="005E793C">
      <w:pPr>
        <w:pStyle w:val="Heading2"/>
        <w:rPr>
          <w:sz w:val="20"/>
        </w:rPr>
      </w:pPr>
      <w:r w:rsidRPr="00490F5F">
        <w:rPr>
          <w:sz w:val="20"/>
        </w:rPr>
        <w:t xml:space="preserve">TABLE </w:t>
      </w:r>
      <w:r w:rsidR="00335112">
        <w:rPr>
          <w:sz w:val="20"/>
        </w:rPr>
        <w:t>6</w:t>
      </w:r>
      <w:r w:rsidRPr="00490F5F">
        <w:rPr>
          <w:sz w:val="20"/>
        </w:rPr>
        <w:t xml:space="preserve">: EPRA NET INITIAL YIELD AND TOPPED-UP NET INITIAL YIELD </w:t>
      </w:r>
    </w:p>
    <w:tbl>
      <w:tblPr>
        <w:tblW w:w="10553" w:type="dxa"/>
        <w:tblCellMar>
          <w:left w:w="0" w:type="dxa"/>
          <w:right w:w="0" w:type="dxa"/>
        </w:tblCellMar>
        <w:tblLook w:val="01E0" w:firstRow="1" w:lastRow="1" w:firstColumn="1" w:lastColumn="1" w:noHBand="0" w:noVBand="0"/>
      </w:tblPr>
      <w:tblGrid>
        <w:gridCol w:w="6379"/>
        <w:gridCol w:w="851"/>
        <w:gridCol w:w="850"/>
        <w:gridCol w:w="1276"/>
        <w:gridCol w:w="1197"/>
      </w:tblGrid>
      <w:tr w:rsidR="00885479" w:rsidRPr="00885479" w14:paraId="189722D4" w14:textId="77777777" w:rsidTr="00885479">
        <w:tc>
          <w:tcPr>
            <w:tcW w:w="6379" w:type="dxa"/>
            <w:tcBorders>
              <w:bottom w:val="single" w:sz="8" w:space="0" w:color="999999"/>
            </w:tcBorders>
            <w:shd w:val="clear" w:color="auto" w:fill="auto"/>
            <w:vAlign w:val="bottom"/>
          </w:tcPr>
          <w:p w14:paraId="418F0111" w14:textId="2D0FA377" w:rsidR="005E793C" w:rsidRPr="00885479" w:rsidRDefault="005E793C" w:rsidP="00E30618">
            <w:pPr>
              <w:pStyle w:val="Tabletext"/>
              <w:rPr>
                <w:b/>
              </w:rPr>
            </w:pPr>
            <w:r w:rsidRPr="00885479">
              <w:rPr>
                <w:b/>
              </w:rPr>
              <w:t xml:space="preserve">Combined property portfolio including joint ventures at share </w:t>
            </w:r>
            <w:r w:rsidR="00261EB2" w:rsidRPr="00885479">
              <w:rPr>
                <w:b/>
              </w:rPr>
              <w:t>–</w:t>
            </w:r>
            <w:r w:rsidRPr="00885479">
              <w:rPr>
                <w:b/>
              </w:rPr>
              <w:t xml:space="preserve"> 20</w:t>
            </w:r>
            <w:r w:rsidR="00E83694" w:rsidRPr="00885479">
              <w:rPr>
                <w:b/>
              </w:rPr>
              <w:t>2</w:t>
            </w:r>
            <w:r w:rsidR="00885479" w:rsidRPr="00885479">
              <w:rPr>
                <w:b/>
              </w:rPr>
              <w:t>1</w:t>
            </w:r>
          </w:p>
        </w:tc>
        <w:tc>
          <w:tcPr>
            <w:tcW w:w="851" w:type="dxa"/>
            <w:tcBorders>
              <w:bottom w:val="single" w:sz="8" w:space="0" w:color="999999"/>
            </w:tcBorders>
            <w:shd w:val="clear" w:color="auto" w:fill="auto"/>
          </w:tcPr>
          <w:p w14:paraId="2628BAED" w14:textId="77777777" w:rsidR="005E793C" w:rsidRPr="00B64915" w:rsidRDefault="005E793C" w:rsidP="00E30618">
            <w:pPr>
              <w:pStyle w:val="TableColHeadsBold0"/>
            </w:pPr>
            <w:r w:rsidRPr="00B64915">
              <w:br/>
              <w:t>Notes</w:t>
            </w:r>
          </w:p>
        </w:tc>
        <w:tc>
          <w:tcPr>
            <w:tcW w:w="850" w:type="dxa"/>
            <w:tcBorders>
              <w:bottom w:val="single" w:sz="8" w:space="0" w:color="999999"/>
            </w:tcBorders>
            <w:shd w:val="clear" w:color="auto" w:fill="auto"/>
            <w:vAlign w:val="bottom"/>
          </w:tcPr>
          <w:p w14:paraId="0397D019" w14:textId="77777777" w:rsidR="005E793C" w:rsidRPr="00885479" w:rsidRDefault="005E793C" w:rsidP="00E30618">
            <w:pPr>
              <w:pStyle w:val="TableColHeadsBold0"/>
            </w:pPr>
            <w:r w:rsidRPr="00885479">
              <w:t xml:space="preserve">UK </w:t>
            </w:r>
          </w:p>
          <w:p w14:paraId="7216F2D2" w14:textId="77777777" w:rsidR="005E793C" w:rsidRPr="00885479" w:rsidRDefault="005E793C" w:rsidP="00E30618">
            <w:pPr>
              <w:pStyle w:val="TableColHeadsBold0"/>
            </w:pPr>
            <w:r w:rsidRPr="00885479">
              <w:t>£m</w:t>
            </w:r>
          </w:p>
        </w:tc>
        <w:tc>
          <w:tcPr>
            <w:tcW w:w="1276" w:type="dxa"/>
            <w:tcBorders>
              <w:bottom w:val="single" w:sz="8" w:space="0" w:color="999999"/>
            </w:tcBorders>
            <w:shd w:val="clear" w:color="auto" w:fill="auto"/>
            <w:vAlign w:val="bottom"/>
          </w:tcPr>
          <w:p w14:paraId="756E54C7" w14:textId="5969C903" w:rsidR="005E793C" w:rsidRPr="00885479" w:rsidRDefault="005E793C" w:rsidP="00E30618">
            <w:pPr>
              <w:pStyle w:val="TableColHeads"/>
              <w:rPr>
                <w:b/>
              </w:rPr>
            </w:pPr>
            <w:r w:rsidRPr="00885479">
              <w:rPr>
                <w:b/>
              </w:rPr>
              <w:t xml:space="preserve">Continental Europe </w:t>
            </w:r>
            <w:r w:rsidR="00A623A7" w:rsidRPr="00885479">
              <w:rPr>
                <w:b/>
              </w:rPr>
              <w:t xml:space="preserve">       </w:t>
            </w:r>
            <w:r w:rsidRPr="00885479">
              <w:rPr>
                <w:b/>
              </w:rPr>
              <w:t>£m</w:t>
            </w:r>
          </w:p>
        </w:tc>
        <w:tc>
          <w:tcPr>
            <w:tcW w:w="1197" w:type="dxa"/>
            <w:tcBorders>
              <w:bottom w:val="single" w:sz="8" w:space="0" w:color="999999"/>
            </w:tcBorders>
            <w:shd w:val="clear" w:color="auto" w:fill="auto"/>
            <w:vAlign w:val="bottom"/>
          </w:tcPr>
          <w:p w14:paraId="24B7451D" w14:textId="77777777" w:rsidR="005E793C" w:rsidRPr="00885479" w:rsidRDefault="005E793C" w:rsidP="00E30618">
            <w:pPr>
              <w:pStyle w:val="TableColHeads"/>
              <w:rPr>
                <w:b/>
              </w:rPr>
            </w:pPr>
            <w:r w:rsidRPr="00885479">
              <w:rPr>
                <w:b/>
              </w:rPr>
              <w:t xml:space="preserve">Total </w:t>
            </w:r>
          </w:p>
          <w:p w14:paraId="25E335E4" w14:textId="77777777" w:rsidR="005E793C" w:rsidRPr="00885479" w:rsidRDefault="005E793C" w:rsidP="00E30618">
            <w:pPr>
              <w:pStyle w:val="TableColHeads"/>
              <w:rPr>
                <w:b/>
              </w:rPr>
            </w:pPr>
            <w:r w:rsidRPr="00885479">
              <w:rPr>
                <w:b/>
              </w:rPr>
              <w:t>£m</w:t>
            </w:r>
          </w:p>
        </w:tc>
      </w:tr>
      <w:tr w:rsidR="00885479" w:rsidRPr="00885479" w14:paraId="605F7DDD" w14:textId="77777777" w:rsidTr="00885479">
        <w:tc>
          <w:tcPr>
            <w:tcW w:w="6379" w:type="dxa"/>
            <w:tcBorders>
              <w:top w:val="single" w:sz="8" w:space="0" w:color="999999"/>
            </w:tcBorders>
            <w:shd w:val="clear" w:color="auto" w:fill="auto"/>
            <w:vAlign w:val="bottom"/>
          </w:tcPr>
          <w:p w14:paraId="791FDEED" w14:textId="77777777" w:rsidR="00E83694" w:rsidRPr="00885479" w:rsidRDefault="00E83694" w:rsidP="00E83694">
            <w:pPr>
              <w:pStyle w:val="TabletextBold"/>
              <w:rPr>
                <w:szCs w:val="20"/>
              </w:rPr>
            </w:pPr>
            <w:r w:rsidRPr="00885479">
              <w:rPr>
                <w:szCs w:val="20"/>
              </w:rPr>
              <w:t>Total properties per financial statements</w:t>
            </w:r>
          </w:p>
        </w:tc>
        <w:tc>
          <w:tcPr>
            <w:tcW w:w="851" w:type="dxa"/>
            <w:tcBorders>
              <w:top w:val="single" w:sz="8" w:space="0" w:color="999999"/>
            </w:tcBorders>
            <w:shd w:val="clear" w:color="auto" w:fill="auto"/>
            <w:vAlign w:val="bottom"/>
          </w:tcPr>
          <w:p w14:paraId="56B827FA" w14:textId="77777777" w:rsidR="00E83694" w:rsidRPr="00B64915" w:rsidRDefault="00E83694" w:rsidP="00E83694">
            <w:pPr>
              <w:pStyle w:val="TableFiguresBold0"/>
            </w:pPr>
            <w:r w:rsidRPr="00B64915">
              <w:t>Table 3</w:t>
            </w:r>
          </w:p>
        </w:tc>
        <w:tc>
          <w:tcPr>
            <w:tcW w:w="850" w:type="dxa"/>
            <w:tcBorders>
              <w:top w:val="single" w:sz="8" w:space="0" w:color="999999"/>
            </w:tcBorders>
            <w:shd w:val="clear" w:color="auto" w:fill="auto"/>
          </w:tcPr>
          <w:p w14:paraId="71E281A7" w14:textId="1B8413A6" w:rsidR="00E83694" w:rsidRPr="00885479" w:rsidRDefault="00885479" w:rsidP="00E83694">
            <w:pPr>
              <w:pStyle w:val="TableFiguresBold0"/>
            </w:pPr>
            <w:r w:rsidRPr="00885479">
              <w:t>12,151</w:t>
            </w:r>
          </w:p>
        </w:tc>
        <w:tc>
          <w:tcPr>
            <w:tcW w:w="1276" w:type="dxa"/>
            <w:tcBorders>
              <w:top w:val="single" w:sz="8" w:space="0" w:color="999999"/>
            </w:tcBorders>
            <w:shd w:val="clear" w:color="auto" w:fill="auto"/>
          </w:tcPr>
          <w:p w14:paraId="1994C9B9" w14:textId="2E961F60" w:rsidR="00E83694" w:rsidRPr="00885479" w:rsidRDefault="00885479" w:rsidP="00E83694">
            <w:pPr>
              <w:pStyle w:val="TableFiguresBold0"/>
            </w:pPr>
            <w:r w:rsidRPr="00885479">
              <w:t>6,295</w:t>
            </w:r>
          </w:p>
        </w:tc>
        <w:tc>
          <w:tcPr>
            <w:tcW w:w="1197" w:type="dxa"/>
            <w:tcBorders>
              <w:top w:val="single" w:sz="8" w:space="0" w:color="999999"/>
            </w:tcBorders>
            <w:shd w:val="clear" w:color="auto" w:fill="auto"/>
          </w:tcPr>
          <w:p w14:paraId="7C0B80F7" w14:textId="7DFECFF6" w:rsidR="00E83694" w:rsidRPr="00885479" w:rsidRDefault="00885479" w:rsidP="00E83694">
            <w:pPr>
              <w:pStyle w:val="TableFiguresBold0"/>
            </w:pPr>
            <w:r w:rsidRPr="00885479">
              <w:t>18,446</w:t>
            </w:r>
          </w:p>
        </w:tc>
      </w:tr>
      <w:tr w:rsidR="00885479" w:rsidRPr="00885479" w14:paraId="4EBFD3E3" w14:textId="77777777" w:rsidTr="00885479">
        <w:tc>
          <w:tcPr>
            <w:tcW w:w="6379" w:type="dxa"/>
            <w:shd w:val="clear" w:color="auto" w:fill="auto"/>
            <w:vAlign w:val="bottom"/>
          </w:tcPr>
          <w:p w14:paraId="4A6C641F" w14:textId="77777777" w:rsidR="00E83694" w:rsidRPr="00885479" w:rsidRDefault="00E83694" w:rsidP="00E83694">
            <w:pPr>
              <w:pStyle w:val="Tabletext"/>
              <w:rPr>
                <w:szCs w:val="20"/>
              </w:rPr>
            </w:pPr>
            <w:r w:rsidRPr="00885479">
              <w:rPr>
                <w:szCs w:val="20"/>
              </w:rPr>
              <w:t>Add valuation surplus not recognised on trading properties</w:t>
            </w:r>
            <w:r w:rsidRPr="00885479">
              <w:rPr>
                <w:szCs w:val="20"/>
                <w:vertAlign w:val="superscript"/>
              </w:rPr>
              <w:t>1</w:t>
            </w:r>
          </w:p>
        </w:tc>
        <w:tc>
          <w:tcPr>
            <w:tcW w:w="851" w:type="dxa"/>
            <w:shd w:val="clear" w:color="auto" w:fill="auto"/>
            <w:vAlign w:val="bottom"/>
          </w:tcPr>
          <w:p w14:paraId="3B49D520" w14:textId="02585539" w:rsidR="00E83694" w:rsidRPr="00B64915" w:rsidRDefault="00D46885" w:rsidP="00E83694">
            <w:pPr>
              <w:pStyle w:val="TableFiguresBold0"/>
              <w:rPr>
                <w:b w:val="0"/>
              </w:rPr>
            </w:pPr>
            <w:r w:rsidRPr="00B64915">
              <w:rPr>
                <w:b w:val="0"/>
              </w:rPr>
              <w:t>12</w:t>
            </w:r>
          </w:p>
        </w:tc>
        <w:tc>
          <w:tcPr>
            <w:tcW w:w="850" w:type="dxa"/>
            <w:shd w:val="clear" w:color="auto" w:fill="auto"/>
          </w:tcPr>
          <w:p w14:paraId="1A81FAA1" w14:textId="5EACB179" w:rsidR="0043326D" w:rsidRPr="00885479" w:rsidRDefault="00885479" w:rsidP="002A206B">
            <w:pPr>
              <w:pStyle w:val="TableFigures"/>
            </w:pPr>
            <w:r w:rsidRPr="00885479">
              <w:t>–</w:t>
            </w:r>
          </w:p>
        </w:tc>
        <w:tc>
          <w:tcPr>
            <w:tcW w:w="1276" w:type="dxa"/>
            <w:shd w:val="clear" w:color="auto" w:fill="auto"/>
          </w:tcPr>
          <w:p w14:paraId="0778A957" w14:textId="74C40B51" w:rsidR="00E83694" w:rsidRPr="00885479" w:rsidRDefault="00885479" w:rsidP="002A206B">
            <w:pPr>
              <w:pStyle w:val="TableFigures"/>
            </w:pPr>
            <w:r w:rsidRPr="00885479">
              <w:t>1</w:t>
            </w:r>
          </w:p>
        </w:tc>
        <w:tc>
          <w:tcPr>
            <w:tcW w:w="1197" w:type="dxa"/>
            <w:shd w:val="clear" w:color="auto" w:fill="auto"/>
          </w:tcPr>
          <w:p w14:paraId="3B052095" w14:textId="4DA9AA7A" w:rsidR="00E83694" w:rsidRPr="00885479" w:rsidRDefault="00885479" w:rsidP="002A206B">
            <w:pPr>
              <w:pStyle w:val="TableFigures"/>
            </w:pPr>
            <w:r w:rsidRPr="00885479">
              <w:t>1</w:t>
            </w:r>
          </w:p>
        </w:tc>
      </w:tr>
      <w:tr w:rsidR="00885479" w:rsidRPr="00885479" w14:paraId="28A4E64A" w14:textId="77777777" w:rsidTr="00885479">
        <w:tc>
          <w:tcPr>
            <w:tcW w:w="6379" w:type="dxa"/>
            <w:tcBorders>
              <w:bottom w:val="single" w:sz="4" w:space="0" w:color="999999"/>
            </w:tcBorders>
            <w:shd w:val="clear" w:color="auto" w:fill="auto"/>
            <w:vAlign w:val="bottom"/>
          </w:tcPr>
          <w:p w14:paraId="148DF409" w14:textId="0CA807F2" w:rsidR="00261EB2" w:rsidRPr="00885479" w:rsidRDefault="00261EB2" w:rsidP="00E30618">
            <w:pPr>
              <w:pStyle w:val="Tabletext"/>
              <w:rPr>
                <w:szCs w:val="20"/>
              </w:rPr>
            </w:pPr>
            <w:r w:rsidRPr="00885479">
              <w:rPr>
                <w:szCs w:val="20"/>
              </w:rPr>
              <w:t>Less head lease ROU assets</w:t>
            </w:r>
          </w:p>
        </w:tc>
        <w:tc>
          <w:tcPr>
            <w:tcW w:w="851" w:type="dxa"/>
            <w:tcBorders>
              <w:bottom w:val="single" w:sz="4" w:space="0" w:color="999999"/>
            </w:tcBorders>
            <w:shd w:val="clear" w:color="auto" w:fill="auto"/>
            <w:vAlign w:val="bottom"/>
          </w:tcPr>
          <w:p w14:paraId="24D7C188" w14:textId="1D492310" w:rsidR="00261EB2" w:rsidRPr="00B64915" w:rsidRDefault="00BA6394" w:rsidP="00E30618">
            <w:pPr>
              <w:pStyle w:val="TableFiguresBold0"/>
              <w:rPr>
                <w:b w:val="0"/>
              </w:rPr>
            </w:pPr>
            <w:r w:rsidRPr="00B64915">
              <w:rPr>
                <w:b w:val="0"/>
              </w:rPr>
              <w:t>12</w:t>
            </w:r>
          </w:p>
        </w:tc>
        <w:tc>
          <w:tcPr>
            <w:tcW w:w="850" w:type="dxa"/>
            <w:tcBorders>
              <w:bottom w:val="single" w:sz="4" w:space="0" w:color="999999"/>
            </w:tcBorders>
            <w:shd w:val="clear" w:color="auto" w:fill="auto"/>
            <w:vAlign w:val="bottom"/>
          </w:tcPr>
          <w:p w14:paraId="04284418" w14:textId="25457ECC" w:rsidR="00261EB2" w:rsidRPr="00885479" w:rsidRDefault="00261EB2" w:rsidP="00E30618">
            <w:pPr>
              <w:pStyle w:val="TableFigures"/>
            </w:pPr>
            <w:r w:rsidRPr="00885479">
              <w:t>–</w:t>
            </w:r>
          </w:p>
        </w:tc>
        <w:tc>
          <w:tcPr>
            <w:tcW w:w="1276" w:type="dxa"/>
            <w:tcBorders>
              <w:bottom w:val="single" w:sz="4" w:space="0" w:color="999999"/>
            </w:tcBorders>
            <w:shd w:val="clear" w:color="auto" w:fill="auto"/>
            <w:vAlign w:val="bottom"/>
          </w:tcPr>
          <w:p w14:paraId="17C8FD5A" w14:textId="6220381F" w:rsidR="00261EB2" w:rsidRPr="00885479" w:rsidRDefault="00885479" w:rsidP="00B64915">
            <w:pPr>
              <w:pStyle w:val="TableFiguresBrackets"/>
            </w:pPr>
            <w:r w:rsidRPr="00885479">
              <w:t>(70)</w:t>
            </w:r>
          </w:p>
        </w:tc>
        <w:tc>
          <w:tcPr>
            <w:tcW w:w="1197" w:type="dxa"/>
            <w:tcBorders>
              <w:bottom w:val="single" w:sz="4" w:space="0" w:color="999999"/>
            </w:tcBorders>
            <w:shd w:val="clear" w:color="auto" w:fill="auto"/>
            <w:vAlign w:val="bottom"/>
          </w:tcPr>
          <w:p w14:paraId="14AC14C1" w14:textId="76D0788D" w:rsidR="00261EB2" w:rsidRPr="00885479" w:rsidRDefault="00885479" w:rsidP="00B64915">
            <w:pPr>
              <w:pStyle w:val="TableFiguresBrackets"/>
            </w:pPr>
            <w:r w:rsidRPr="00885479">
              <w:t>(70)</w:t>
            </w:r>
          </w:p>
        </w:tc>
      </w:tr>
      <w:tr w:rsidR="00885479" w:rsidRPr="00885479" w14:paraId="5126F1AA" w14:textId="77777777" w:rsidTr="00885479">
        <w:tc>
          <w:tcPr>
            <w:tcW w:w="6379" w:type="dxa"/>
            <w:tcBorders>
              <w:top w:val="single" w:sz="4" w:space="0" w:color="999999"/>
            </w:tcBorders>
            <w:shd w:val="clear" w:color="auto" w:fill="auto"/>
            <w:vAlign w:val="bottom"/>
          </w:tcPr>
          <w:p w14:paraId="30308A8D" w14:textId="77777777" w:rsidR="005E793C" w:rsidRPr="00885479" w:rsidRDefault="005E793C" w:rsidP="00E30618">
            <w:pPr>
              <w:pStyle w:val="Tabletext"/>
              <w:rPr>
                <w:b/>
                <w:szCs w:val="20"/>
              </w:rPr>
            </w:pPr>
            <w:r w:rsidRPr="00885479">
              <w:rPr>
                <w:b/>
                <w:szCs w:val="20"/>
              </w:rPr>
              <w:t>Combined property portfolio per external valuers’ report</w:t>
            </w:r>
          </w:p>
        </w:tc>
        <w:tc>
          <w:tcPr>
            <w:tcW w:w="851" w:type="dxa"/>
            <w:tcBorders>
              <w:top w:val="single" w:sz="4" w:space="0" w:color="999999"/>
            </w:tcBorders>
            <w:shd w:val="clear" w:color="auto" w:fill="auto"/>
            <w:vAlign w:val="bottom"/>
          </w:tcPr>
          <w:p w14:paraId="514009F4" w14:textId="77777777" w:rsidR="005E793C" w:rsidRPr="00B64915" w:rsidRDefault="005E793C" w:rsidP="00E30618">
            <w:pPr>
              <w:pStyle w:val="TableFiguresBold0"/>
              <w:rPr>
                <w:b w:val="0"/>
              </w:rPr>
            </w:pPr>
          </w:p>
        </w:tc>
        <w:tc>
          <w:tcPr>
            <w:tcW w:w="850" w:type="dxa"/>
            <w:tcBorders>
              <w:top w:val="single" w:sz="4" w:space="0" w:color="999999"/>
            </w:tcBorders>
            <w:shd w:val="clear" w:color="auto" w:fill="auto"/>
            <w:vAlign w:val="bottom"/>
          </w:tcPr>
          <w:p w14:paraId="20CAC177" w14:textId="6245000F" w:rsidR="005E793C" w:rsidRPr="00885479" w:rsidRDefault="00885479" w:rsidP="00E30618">
            <w:pPr>
              <w:pStyle w:val="TableFiguresBold0"/>
            </w:pPr>
            <w:r w:rsidRPr="00885479">
              <w:t>12,151</w:t>
            </w:r>
          </w:p>
        </w:tc>
        <w:tc>
          <w:tcPr>
            <w:tcW w:w="1276" w:type="dxa"/>
            <w:tcBorders>
              <w:top w:val="single" w:sz="4" w:space="0" w:color="999999"/>
            </w:tcBorders>
            <w:shd w:val="clear" w:color="auto" w:fill="auto"/>
            <w:vAlign w:val="bottom"/>
          </w:tcPr>
          <w:p w14:paraId="1D6CB452" w14:textId="4E4EF656" w:rsidR="005E793C" w:rsidRPr="00885479" w:rsidRDefault="00885479" w:rsidP="00E30618">
            <w:pPr>
              <w:pStyle w:val="TableFiguresBold0"/>
            </w:pPr>
            <w:r w:rsidRPr="00885479">
              <w:t>6,226</w:t>
            </w:r>
          </w:p>
        </w:tc>
        <w:tc>
          <w:tcPr>
            <w:tcW w:w="1197" w:type="dxa"/>
            <w:tcBorders>
              <w:top w:val="single" w:sz="4" w:space="0" w:color="999999"/>
            </w:tcBorders>
            <w:shd w:val="clear" w:color="auto" w:fill="auto"/>
            <w:vAlign w:val="bottom"/>
          </w:tcPr>
          <w:p w14:paraId="6E4E6934" w14:textId="7E23BD4A" w:rsidR="005E793C" w:rsidRPr="00885479" w:rsidRDefault="00885479" w:rsidP="00E30618">
            <w:pPr>
              <w:pStyle w:val="TableFiguresBold0"/>
            </w:pPr>
            <w:r w:rsidRPr="00885479">
              <w:t>18,377</w:t>
            </w:r>
          </w:p>
        </w:tc>
      </w:tr>
      <w:tr w:rsidR="00885479" w:rsidRPr="00885479" w14:paraId="1F2627BA" w14:textId="77777777" w:rsidTr="00885479">
        <w:tc>
          <w:tcPr>
            <w:tcW w:w="6379" w:type="dxa"/>
            <w:tcBorders>
              <w:bottom w:val="single" w:sz="4" w:space="0" w:color="999999"/>
            </w:tcBorders>
            <w:shd w:val="clear" w:color="auto" w:fill="auto"/>
            <w:vAlign w:val="bottom"/>
          </w:tcPr>
          <w:p w14:paraId="5E11F7AC" w14:textId="77777777" w:rsidR="005E793C" w:rsidRPr="00885479" w:rsidRDefault="005E793C" w:rsidP="00E30618">
            <w:pPr>
              <w:pStyle w:val="Tabletext"/>
              <w:rPr>
                <w:szCs w:val="20"/>
              </w:rPr>
            </w:pPr>
            <w:r w:rsidRPr="00885479">
              <w:rPr>
                <w:szCs w:val="20"/>
              </w:rPr>
              <w:t>Less development properties (investment, trading and joint ventures)</w:t>
            </w:r>
          </w:p>
        </w:tc>
        <w:tc>
          <w:tcPr>
            <w:tcW w:w="851" w:type="dxa"/>
            <w:tcBorders>
              <w:bottom w:val="single" w:sz="4" w:space="0" w:color="999999"/>
            </w:tcBorders>
            <w:shd w:val="clear" w:color="auto" w:fill="auto"/>
            <w:vAlign w:val="bottom"/>
          </w:tcPr>
          <w:p w14:paraId="7257776B" w14:textId="77777777" w:rsidR="005E793C" w:rsidRPr="00B64915" w:rsidRDefault="005E793C" w:rsidP="00E30618">
            <w:pPr>
              <w:pStyle w:val="TableFiguresBold0"/>
              <w:rPr>
                <w:b w:val="0"/>
              </w:rPr>
            </w:pPr>
          </w:p>
        </w:tc>
        <w:tc>
          <w:tcPr>
            <w:tcW w:w="850" w:type="dxa"/>
            <w:tcBorders>
              <w:bottom w:val="single" w:sz="4" w:space="0" w:color="999999"/>
            </w:tcBorders>
            <w:shd w:val="clear" w:color="auto" w:fill="auto"/>
            <w:vAlign w:val="bottom"/>
          </w:tcPr>
          <w:p w14:paraId="208D4054" w14:textId="1672A3B8" w:rsidR="005E793C" w:rsidRPr="00885479" w:rsidRDefault="00885479" w:rsidP="00E30618">
            <w:pPr>
              <w:pStyle w:val="TableFiguresBrackets"/>
            </w:pPr>
            <w:r w:rsidRPr="00885479">
              <w:t>(1,021)</w:t>
            </w:r>
          </w:p>
        </w:tc>
        <w:tc>
          <w:tcPr>
            <w:tcW w:w="1276" w:type="dxa"/>
            <w:tcBorders>
              <w:bottom w:val="single" w:sz="4" w:space="0" w:color="999999"/>
            </w:tcBorders>
            <w:shd w:val="clear" w:color="auto" w:fill="auto"/>
            <w:vAlign w:val="bottom"/>
          </w:tcPr>
          <w:p w14:paraId="65E9A51D" w14:textId="2F2AC00C" w:rsidR="005E793C" w:rsidRPr="00885479" w:rsidRDefault="00885479" w:rsidP="00E30618">
            <w:pPr>
              <w:pStyle w:val="TableFiguresBrackets"/>
            </w:pPr>
            <w:r w:rsidRPr="00885479">
              <w:t>(617)</w:t>
            </w:r>
          </w:p>
        </w:tc>
        <w:tc>
          <w:tcPr>
            <w:tcW w:w="1197" w:type="dxa"/>
            <w:tcBorders>
              <w:bottom w:val="single" w:sz="4" w:space="0" w:color="999999"/>
            </w:tcBorders>
            <w:shd w:val="clear" w:color="auto" w:fill="auto"/>
            <w:vAlign w:val="bottom"/>
          </w:tcPr>
          <w:p w14:paraId="4F703821" w14:textId="4CC36552" w:rsidR="005E793C" w:rsidRPr="00885479" w:rsidRDefault="00885479" w:rsidP="00E30618">
            <w:pPr>
              <w:pStyle w:val="TableFiguresBrackets"/>
            </w:pPr>
            <w:r w:rsidRPr="00885479">
              <w:t>(1,638)</w:t>
            </w:r>
          </w:p>
        </w:tc>
      </w:tr>
      <w:tr w:rsidR="00885479" w:rsidRPr="00885479" w14:paraId="4103CFFB" w14:textId="77777777" w:rsidTr="00885479">
        <w:tc>
          <w:tcPr>
            <w:tcW w:w="6379" w:type="dxa"/>
            <w:tcBorders>
              <w:top w:val="single" w:sz="4" w:space="0" w:color="999999"/>
            </w:tcBorders>
            <w:shd w:val="clear" w:color="auto" w:fill="auto"/>
            <w:vAlign w:val="bottom"/>
          </w:tcPr>
          <w:p w14:paraId="15CEC6F7" w14:textId="77777777" w:rsidR="005E793C" w:rsidRPr="00885479" w:rsidRDefault="005E793C" w:rsidP="00E30618">
            <w:pPr>
              <w:pStyle w:val="Tabletext"/>
              <w:rPr>
                <w:b/>
                <w:szCs w:val="20"/>
              </w:rPr>
            </w:pPr>
            <w:r w:rsidRPr="00885479">
              <w:rPr>
                <w:b/>
                <w:szCs w:val="20"/>
              </w:rPr>
              <w:t>Net valuation of completed properties</w:t>
            </w:r>
          </w:p>
        </w:tc>
        <w:tc>
          <w:tcPr>
            <w:tcW w:w="851" w:type="dxa"/>
            <w:tcBorders>
              <w:top w:val="single" w:sz="4" w:space="0" w:color="999999"/>
            </w:tcBorders>
            <w:shd w:val="clear" w:color="auto" w:fill="auto"/>
            <w:vAlign w:val="bottom"/>
          </w:tcPr>
          <w:p w14:paraId="38B3B4A4" w14:textId="77777777" w:rsidR="005E793C" w:rsidRPr="00B64915" w:rsidRDefault="005E793C" w:rsidP="00E30618">
            <w:pPr>
              <w:pStyle w:val="TableFiguresBold0"/>
              <w:rPr>
                <w:b w:val="0"/>
              </w:rPr>
            </w:pPr>
          </w:p>
        </w:tc>
        <w:tc>
          <w:tcPr>
            <w:tcW w:w="850" w:type="dxa"/>
            <w:tcBorders>
              <w:top w:val="single" w:sz="4" w:space="0" w:color="999999"/>
            </w:tcBorders>
            <w:shd w:val="clear" w:color="auto" w:fill="auto"/>
            <w:vAlign w:val="bottom"/>
          </w:tcPr>
          <w:p w14:paraId="6125D948" w14:textId="0DE4D8F8" w:rsidR="005E793C" w:rsidRPr="00885479" w:rsidRDefault="00885479" w:rsidP="00E30618">
            <w:pPr>
              <w:pStyle w:val="TableFiguresBold0"/>
            </w:pPr>
            <w:r w:rsidRPr="00885479">
              <w:t>11,130</w:t>
            </w:r>
          </w:p>
        </w:tc>
        <w:tc>
          <w:tcPr>
            <w:tcW w:w="1276" w:type="dxa"/>
            <w:tcBorders>
              <w:top w:val="single" w:sz="4" w:space="0" w:color="999999"/>
            </w:tcBorders>
            <w:shd w:val="clear" w:color="auto" w:fill="auto"/>
            <w:vAlign w:val="bottom"/>
          </w:tcPr>
          <w:p w14:paraId="040D99F8" w14:textId="58826804" w:rsidR="005E793C" w:rsidRPr="00885479" w:rsidRDefault="00885479" w:rsidP="00E30618">
            <w:pPr>
              <w:pStyle w:val="TableFiguresBold0"/>
            </w:pPr>
            <w:r w:rsidRPr="00885479">
              <w:t>5,609</w:t>
            </w:r>
          </w:p>
        </w:tc>
        <w:tc>
          <w:tcPr>
            <w:tcW w:w="1197" w:type="dxa"/>
            <w:tcBorders>
              <w:top w:val="single" w:sz="4" w:space="0" w:color="999999"/>
            </w:tcBorders>
            <w:shd w:val="clear" w:color="auto" w:fill="auto"/>
            <w:vAlign w:val="bottom"/>
          </w:tcPr>
          <w:p w14:paraId="18D86768" w14:textId="73B27273" w:rsidR="005E793C" w:rsidRPr="00885479" w:rsidRDefault="00885479" w:rsidP="00E30618">
            <w:pPr>
              <w:pStyle w:val="TableFiguresBold0"/>
            </w:pPr>
            <w:r w:rsidRPr="00885479">
              <w:t>16,739</w:t>
            </w:r>
          </w:p>
        </w:tc>
      </w:tr>
      <w:tr w:rsidR="00885479" w:rsidRPr="00885479" w14:paraId="29EFDBB6" w14:textId="77777777" w:rsidTr="00885479">
        <w:tc>
          <w:tcPr>
            <w:tcW w:w="6379" w:type="dxa"/>
            <w:tcBorders>
              <w:bottom w:val="single" w:sz="4" w:space="0" w:color="999999"/>
            </w:tcBorders>
            <w:shd w:val="clear" w:color="auto" w:fill="auto"/>
            <w:vAlign w:val="bottom"/>
          </w:tcPr>
          <w:p w14:paraId="4A4EA9CC" w14:textId="77777777" w:rsidR="005E793C" w:rsidRPr="00885479" w:rsidRDefault="005E793C" w:rsidP="00E30618">
            <w:pPr>
              <w:pStyle w:val="Tabletext"/>
              <w:rPr>
                <w:szCs w:val="20"/>
              </w:rPr>
            </w:pPr>
            <w:r w:rsidRPr="00885479">
              <w:rPr>
                <w:szCs w:val="20"/>
              </w:rPr>
              <w:t>Add notional purchasers’ costs</w:t>
            </w:r>
          </w:p>
        </w:tc>
        <w:tc>
          <w:tcPr>
            <w:tcW w:w="851" w:type="dxa"/>
            <w:tcBorders>
              <w:bottom w:val="single" w:sz="4" w:space="0" w:color="999999"/>
            </w:tcBorders>
            <w:shd w:val="clear" w:color="auto" w:fill="auto"/>
            <w:vAlign w:val="bottom"/>
          </w:tcPr>
          <w:p w14:paraId="46D4DA3D" w14:textId="77777777" w:rsidR="005E793C" w:rsidRPr="00B64915" w:rsidRDefault="005E793C" w:rsidP="00E30618">
            <w:pPr>
              <w:pStyle w:val="TableFiguresBold0"/>
              <w:rPr>
                <w:b w:val="0"/>
              </w:rPr>
            </w:pPr>
          </w:p>
        </w:tc>
        <w:tc>
          <w:tcPr>
            <w:tcW w:w="850" w:type="dxa"/>
            <w:tcBorders>
              <w:bottom w:val="single" w:sz="4" w:space="0" w:color="999999"/>
            </w:tcBorders>
            <w:shd w:val="clear" w:color="auto" w:fill="auto"/>
            <w:vAlign w:val="bottom"/>
          </w:tcPr>
          <w:p w14:paraId="6EC53BE9" w14:textId="56F14F98" w:rsidR="005E793C" w:rsidRPr="00885479" w:rsidRDefault="00885479" w:rsidP="00E30618">
            <w:pPr>
              <w:pStyle w:val="TableFigures"/>
            </w:pPr>
            <w:r w:rsidRPr="00885479">
              <w:t>754</w:t>
            </w:r>
          </w:p>
        </w:tc>
        <w:tc>
          <w:tcPr>
            <w:tcW w:w="1276" w:type="dxa"/>
            <w:tcBorders>
              <w:bottom w:val="single" w:sz="4" w:space="0" w:color="999999"/>
            </w:tcBorders>
            <w:shd w:val="clear" w:color="auto" w:fill="auto"/>
            <w:vAlign w:val="bottom"/>
          </w:tcPr>
          <w:p w14:paraId="1F984D1D" w14:textId="33B22FC4" w:rsidR="005E793C" w:rsidRPr="00885479" w:rsidRDefault="00885479" w:rsidP="00E30618">
            <w:pPr>
              <w:pStyle w:val="TableFigures"/>
            </w:pPr>
            <w:r w:rsidRPr="00885479">
              <w:t>267</w:t>
            </w:r>
          </w:p>
        </w:tc>
        <w:tc>
          <w:tcPr>
            <w:tcW w:w="1197" w:type="dxa"/>
            <w:tcBorders>
              <w:bottom w:val="single" w:sz="4" w:space="0" w:color="999999"/>
            </w:tcBorders>
            <w:shd w:val="clear" w:color="auto" w:fill="auto"/>
            <w:vAlign w:val="bottom"/>
          </w:tcPr>
          <w:p w14:paraId="30D30191" w14:textId="0D149FE3" w:rsidR="005E793C" w:rsidRPr="00885479" w:rsidRDefault="00885479" w:rsidP="00E30618">
            <w:pPr>
              <w:pStyle w:val="TableFigures"/>
            </w:pPr>
            <w:r w:rsidRPr="00885479">
              <w:t>1,021</w:t>
            </w:r>
          </w:p>
        </w:tc>
      </w:tr>
      <w:tr w:rsidR="00885479" w:rsidRPr="00885479" w14:paraId="00131199" w14:textId="77777777" w:rsidTr="00885479">
        <w:tc>
          <w:tcPr>
            <w:tcW w:w="6379" w:type="dxa"/>
            <w:tcBorders>
              <w:top w:val="single" w:sz="4" w:space="0" w:color="999999"/>
              <w:bottom w:val="single" w:sz="4" w:space="0" w:color="999999"/>
            </w:tcBorders>
            <w:shd w:val="clear" w:color="auto" w:fill="auto"/>
            <w:vAlign w:val="bottom"/>
          </w:tcPr>
          <w:p w14:paraId="71CCAC42" w14:textId="77777777" w:rsidR="005E793C" w:rsidRPr="00885479" w:rsidRDefault="005E793C" w:rsidP="00E30618">
            <w:pPr>
              <w:pStyle w:val="Tabletext"/>
              <w:rPr>
                <w:b/>
                <w:szCs w:val="20"/>
              </w:rPr>
            </w:pPr>
            <w:r w:rsidRPr="00885479">
              <w:rPr>
                <w:b/>
                <w:szCs w:val="20"/>
              </w:rPr>
              <w:t>Gross valuation of completed properties including notional purchasers’ costs</w:t>
            </w:r>
          </w:p>
        </w:tc>
        <w:tc>
          <w:tcPr>
            <w:tcW w:w="851" w:type="dxa"/>
            <w:tcBorders>
              <w:top w:val="single" w:sz="4" w:space="0" w:color="999999"/>
              <w:bottom w:val="single" w:sz="4" w:space="0" w:color="999999"/>
            </w:tcBorders>
            <w:shd w:val="clear" w:color="auto" w:fill="auto"/>
            <w:vAlign w:val="bottom"/>
          </w:tcPr>
          <w:p w14:paraId="53F94355" w14:textId="77777777" w:rsidR="005E793C" w:rsidRPr="00B64915" w:rsidRDefault="005E793C" w:rsidP="00E30618">
            <w:pPr>
              <w:pStyle w:val="TableFiguresBold0"/>
            </w:pPr>
            <w:r w:rsidRPr="00B64915">
              <w:t>A</w:t>
            </w:r>
          </w:p>
        </w:tc>
        <w:tc>
          <w:tcPr>
            <w:tcW w:w="850" w:type="dxa"/>
            <w:tcBorders>
              <w:top w:val="single" w:sz="4" w:space="0" w:color="999999"/>
              <w:bottom w:val="single" w:sz="4" w:space="0" w:color="999999"/>
            </w:tcBorders>
            <w:shd w:val="clear" w:color="auto" w:fill="auto"/>
            <w:vAlign w:val="bottom"/>
          </w:tcPr>
          <w:p w14:paraId="1C98E853" w14:textId="14E2D074" w:rsidR="005E793C" w:rsidRPr="00885479" w:rsidRDefault="00885479" w:rsidP="00E30618">
            <w:pPr>
              <w:pStyle w:val="TableFiguresBold0"/>
            </w:pPr>
            <w:r w:rsidRPr="00885479">
              <w:t>11,884</w:t>
            </w:r>
          </w:p>
        </w:tc>
        <w:tc>
          <w:tcPr>
            <w:tcW w:w="1276" w:type="dxa"/>
            <w:tcBorders>
              <w:top w:val="single" w:sz="4" w:space="0" w:color="999999"/>
              <w:bottom w:val="single" w:sz="4" w:space="0" w:color="999999"/>
            </w:tcBorders>
            <w:shd w:val="clear" w:color="auto" w:fill="auto"/>
            <w:vAlign w:val="bottom"/>
          </w:tcPr>
          <w:p w14:paraId="311586D4" w14:textId="2730A6CB" w:rsidR="005E793C" w:rsidRPr="00885479" w:rsidRDefault="00885479" w:rsidP="00E30618">
            <w:pPr>
              <w:pStyle w:val="TableFiguresBold0"/>
            </w:pPr>
            <w:r w:rsidRPr="00885479">
              <w:t>5,876</w:t>
            </w:r>
          </w:p>
        </w:tc>
        <w:tc>
          <w:tcPr>
            <w:tcW w:w="1197" w:type="dxa"/>
            <w:tcBorders>
              <w:top w:val="single" w:sz="4" w:space="0" w:color="999999"/>
              <w:bottom w:val="single" w:sz="4" w:space="0" w:color="999999"/>
            </w:tcBorders>
            <w:shd w:val="clear" w:color="auto" w:fill="auto"/>
            <w:vAlign w:val="bottom"/>
          </w:tcPr>
          <w:p w14:paraId="21E24238" w14:textId="5D71865E" w:rsidR="005E793C" w:rsidRPr="00885479" w:rsidRDefault="00885479" w:rsidP="00E30618">
            <w:pPr>
              <w:pStyle w:val="TableFiguresBold0"/>
            </w:pPr>
            <w:r w:rsidRPr="00885479">
              <w:t>17,760</w:t>
            </w:r>
          </w:p>
        </w:tc>
      </w:tr>
      <w:tr w:rsidR="00885479" w:rsidRPr="00885479" w14:paraId="33DFCA9A" w14:textId="77777777" w:rsidTr="00885479">
        <w:tc>
          <w:tcPr>
            <w:tcW w:w="6379" w:type="dxa"/>
            <w:tcBorders>
              <w:top w:val="single" w:sz="4" w:space="0" w:color="999999"/>
              <w:bottom w:val="single" w:sz="8" w:space="0" w:color="999999"/>
            </w:tcBorders>
            <w:shd w:val="clear" w:color="auto" w:fill="auto"/>
            <w:vAlign w:val="bottom"/>
          </w:tcPr>
          <w:p w14:paraId="7696D759" w14:textId="77777777" w:rsidR="005E793C" w:rsidRPr="00885479" w:rsidRDefault="005E793C" w:rsidP="00E30618">
            <w:pPr>
              <w:pStyle w:val="TabletextBold"/>
              <w:rPr>
                <w:szCs w:val="20"/>
              </w:rPr>
            </w:pPr>
            <w:r w:rsidRPr="00885479">
              <w:rPr>
                <w:szCs w:val="20"/>
              </w:rPr>
              <w:t>Income</w:t>
            </w:r>
          </w:p>
        </w:tc>
        <w:tc>
          <w:tcPr>
            <w:tcW w:w="851" w:type="dxa"/>
            <w:tcBorders>
              <w:top w:val="single" w:sz="4" w:space="0" w:color="999999"/>
              <w:bottom w:val="single" w:sz="8" w:space="0" w:color="999999"/>
            </w:tcBorders>
            <w:shd w:val="clear" w:color="auto" w:fill="auto"/>
            <w:vAlign w:val="bottom"/>
          </w:tcPr>
          <w:p w14:paraId="13D05717" w14:textId="77777777" w:rsidR="005E793C" w:rsidRPr="00B64915" w:rsidRDefault="005E793C" w:rsidP="00E30618">
            <w:pPr>
              <w:pStyle w:val="TableFiguresBold0"/>
              <w:rPr>
                <w:b w:val="0"/>
              </w:rPr>
            </w:pPr>
          </w:p>
        </w:tc>
        <w:tc>
          <w:tcPr>
            <w:tcW w:w="850" w:type="dxa"/>
            <w:tcBorders>
              <w:top w:val="single" w:sz="4" w:space="0" w:color="999999"/>
              <w:bottom w:val="single" w:sz="8" w:space="0" w:color="999999"/>
            </w:tcBorders>
            <w:shd w:val="clear" w:color="auto" w:fill="auto"/>
            <w:vAlign w:val="bottom"/>
          </w:tcPr>
          <w:p w14:paraId="3AA9C1E1" w14:textId="77777777" w:rsidR="005E793C" w:rsidRPr="00885479" w:rsidRDefault="005E793C" w:rsidP="00E30618">
            <w:pPr>
              <w:pStyle w:val="TableFiguresBold0"/>
            </w:pPr>
          </w:p>
        </w:tc>
        <w:tc>
          <w:tcPr>
            <w:tcW w:w="1276" w:type="dxa"/>
            <w:tcBorders>
              <w:top w:val="single" w:sz="4" w:space="0" w:color="999999"/>
              <w:bottom w:val="single" w:sz="8" w:space="0" w:color="999999"/>
            </w:tcBorders>
            <w:shd w:val="clear" w:color="auto" w:fill="auto"/>
            <w:vAlign w:val="bottom"/>
          </w:tcPr>
          <w:p w14:paraId="1D7FBB3E" w14:textId="77777777" w:rsidR="005E793C" w:rsidRPr="00885479" w:rsidRDefault="005E793C" w:rsidP="00E30618">
            <w:pPr>
              <w:pStyle w:val="TableFiguresBold0"/>
            </w:pPr>
          </w:p>
        </w:tc>
        <w:tc>
          <w:tcPr>
            <w:tcW w:w="1197" w:type="dxa"/>
            <w:tcBorders>
              <w:top w:val="single" w:sz="4" w:space="0" w:color="999999"/>
              <w:bottom w:val="single" w:sz="8" w:space="0" w:color="999999"/>
            </w:tcBorders>
            <w:shd w:val="clear" w:color="auto" w:fill="auto"/>
            <w:vAlign w:val="bottom"/>
          </w:tcPr>
          <w:p w14:paraId="483EFF95" w14:textId="77777777" w:rsidR="005E793C" w:rsidRPr="00885479" w:rsidRDefault="005E793C" w:rsidP="00E30618">
            <w:pPr>
              <w:pStyle w:val="TableFiguresBold0"/>
            </w:pPr>
          </w:p>
        </w:tc>
      </w:tr>
      <w:tr w:rsidR="00885479" w:rsidRPr="00885479" w14:paraId="57B56D18" w14:textId="77777777" w:rsidTr="00885479">
        <w:tc>
          <w:tcPr>
            <w:tcW w:w="6379" w:type="dxa"/>
            <w:tcBorders>
              <w:top w:val="single" w:sz="8" w:space="0" w:color="999999"/>
            </w:tcBorders>
            <w:shd w:val="clear" w:color="auto" w:fill="auto"/>
            <w:vAlign w:val="bottom"/>
          </w:tcPr>
          <w:p w14:paraId="2B6C36C3" w14:textId="77777777" w:rsidR="005E793C" w:rsidRPr="00885479" w:rsidRDefault="005E793C" w:rsidP="00E30618">
            <w:pPr>
              <w:pStyle w:val="TabletextBold"/>
              <w:rPr>
                <w:b w:val="0"/>
                <w:szCs w:val="20"/>
                <w:vertAlign w:val="superscript"/>
              </w:rPr>
            </w:pPr>
            <w:r w:rsidRPr="00885479">
              <w:rPr>
                <w:b w:val="0"/>
                <w:szCs w:val="20"/>
              </w:rPr>
              <w:t>Gross passing rents</w:t>
            </w:r>
            <w:r w:rsidRPr="00885479">
              <w:rPr>
                <w:b w:val="0"/>
                <w:szCs w:val="20"/>
                <w:vertAlign w:val="superscript"/>
              </w:rPr>
              <w:t>2</w:t>
            </w:r>
          </w:p>
        </w:tc>
        <w:tc>
          <w:tcPr>
            <w:tcW w:w="851" w:type="dxa"/>
            <w:tcBorders>
              <w:top w:val="single" w:sz="8" w:space="0" w:color="999999"/>
            </w:tcBorders>
            <w:shd w:val="clear" w:color="auto" w:fill="auto"/>
            <w:vAlign w:val="bottom"/>
          </w:tcPr>
          <w:p w14:paraId="717D8EE2" w14:textId="77777777" w:rsidR="005E793C" w:rsidRPr="00B64915" w:rsidRDefault="005E793C" w:rsidP="00E30618">
            <w:pPr>
              <w:pStyle w:val="TableFiguresBold0"/>
              <w:rPr>
                <w:b w:val="0"/>
              </w:rPr>
            </w:pPr>
          </w:p>
        </w:tc>
        <w:tc>
          <w:tcPr>
            <w:tcW w:w="850" w:type="dxa"/>
            <w:tcBorders>
              <w:top w:val="single" w:sz="8" w:space="0" w:color="999999"/>
            </w:tcBorders>
            <w:shd w:val="clear" w:color="auto" w:fill="auto"/>
            <w:vAlign w:val="bottom"/>
          </w:tcPr>
          <w:p w14:paraId="78DF6F35" w14:textId="0BA5BBE9" w:rsidR="005E793C" w:rsidRPr="00885479" w:rsidRDefault="00885479" w:rsidP="00E30618">
            <w:pPr>
              <w:pStyle w:val="TableFigures"/>
            </w:pPr>
            <w:r w:rsidRPr="00885479">
              <w:t>334</w:t>
            </w:r>
          </w:p>
        </w:tc>
        <w:tc>
          <w:tcPr>
            <w:tcW w:w="1276" w:type="dxa"/>
            <w:tcBorders>
              <w:top w:val="single" w:sz="8" w:space="0" w:color="999999"/>
            </w:tcBorders>
            <w:shd w:val="clear" w:color="auto" w:fill="auto"/>
            <w:vAlign w:val="bottom"/>
          </w:tcPr>
          <w:p w14:paraId="2EBA2EE1" w14:textId="0ED3D7C0" w:rsidR="005E793C" w:rsidRPr="00885479" w:rsidRDefault="00885479" w:rsidP="00E30618">
            <w:pPr>
              <w:pStyle w:val="TableFigures"/>
            </w:pPr>
            <w:r w:rsidRPr="00885479">
              <w:t>206</w:t>
            </w:r>
          </w:p>
        </w:tc>
        <w:tc>
          <w:tcPr>
            <w:tcW w:w="1197" w:type="dxa"/>
            <w:tcBorders>
              <w:top w:val="single" w:sz="8" w:space="0" w:color="999999"/>
            </w:tcBorders>
            <w:shd w:val="clear" w:color="auto" w:fill="auto"/>
            <w:vAlign w:val="bottom"/>
          </w:tcPr>
          <w:p w14:paraId="37A5337F" w14:textId="512192D6" w:rsidR="005E793C" w:rsidRPr="00885479" w:rsidRDefault="00885479" w:rsidP="00E30618">
            <w:pPr>
              <w:pStyle w:val="TableFigures"/>
            </w:pPr>
            <w:r w:rsidRPr="00885479">
              <w:t>540</w:t>
            </w:r>
          </w:p>
        </w:tc>
      </w:tr>
      <w:tr w:rsidR="00885479" w:rsidRPr="00885479" w14:paraId="552CB127" w14:textId="77777777" w:rsidTr="00885479">
        <w:tc>
          <w:tcPr>
            <w:tcW w:w="6379" w:type="dxa"/>
            <w:tcBorders>
              <w:bottom w:val="single" w:sz="4" w:space="0" w:color="999999"/>
            </w:tcBorders>
            <w:shd w:val="clear" w:color="auto" w:fill="auto"/>
            <w:vAlign w:val="bottom"/>
          </w:tcPr>
          <w:p w14:paraId="66272961" w14:textId="77777777" w:rsidR="005E793C" w:rsidRPr="00885479" w:rsidRDefault="005E793C" w:rsidP="00E30618">
            <w:pPr>
              <w:pStyle w:val="TabletextBold"/>
              <w:rPr>
                <w:b w:val="0"/>
                <w:szCs w:val="20"/>
              </w:rPr>
            </w:pPr>
            <w:r w:rsidRPr="00885479">
              <w:rPr>
                <w:b w:val="0"/>
                <w:szCs w:val="20"/>
              </w:rPr>
              <w:t>Less irrecoverable property costs</w:t>
            </w:r>
          </w:p>
        </w:tc>
        <w:tc>
          <w:tcPr>
            <w:tcW w:w="851" w:type="dxa"/>
            <w:tcBorders>
              <w:bottom w:val="single" w:sz="4" w:space="0" w:color="999999"/>
            </w:tcBorders>
            <w:shd w:val="clear" w:color="auto" w:fill="auto"/>
            <w:vAlign w:val="bottom"/>
          </w:tcPr>
          <w:p w14:paraId="076B4B27" w14:textId="77777777" w:rsidR="005E793C" w:rsidRPr="00B64915" w:rsidRDefault="005E793C" w:rsidP="00E30618">
            <w:pPr>
              <w:pStyle w:val="TableFiguresBold0"/>
              <w:rPr>
                <w:b w:val="0"/>
              </w:rPr>
            </w:pPr>
          </w:p>
        </w:tc>
        <w:tc>
          <w:tcPr>
            <w:tcW w:w="850" w:type="dxa"/>
            <w:tcBorders>
              <w:bottom w:val="single" w:sz="4" w:space="0" w:color="999999"/>
            </w:tcBorders>
            <w:shd w:val="clear" w:color="auto" w:fill="auto"/>
            <w:vAlign w:val="bottom"/>
          </w:tcPr>
          <w:p w14:paraId="3A2ED3A3" w14:textId="2D587119" w:rsidR="005E793C" w:rsidRPr="00885479" w:rsidRDefault="00885479" w:rsidP="00E30618">
            <w:pPr>
              <w:pStyle w:val="TableFiguresBrackets"/>
            </w:pPr>
            <w:r w:rsidRPr="00885479">
              <w:t>(4)</w:t>
            </w:r>
          </w:p>
        </w:tc>
        <w:tc>
          <w:tcPr>
            <w:tcW w:w="1276" w:type="dxa"/>
            <w:tcBorders>
              <w:bottom w:val="single" w:sz="4" w:space="0" w:color="999999"/>
            </w:tcBorders>
            <w:shd w:val="clear" w:color="auto" w:fill="auto"/>
            <w:vAlign w:val="bottom"/>
          </w:tcPr>
          <w:p w14:paraId="3179DE18" w14:textId="38EFFB2A" w:rsidR="005E793C" w:rsidRPr="00885479" w:rsidRDefault="00885479" w:rsidP="00E30618">
            <w:pPr>
              <w:pStyle w:val="TableFiguresBrackets"/>
            </w:pPr>
            <w:r w:rsidRPr="00885479">
              <w:t>(8)</w:t>
            </w:r>
          </w:p>
        </w:tc>
        <w:tc>
          <w:tcPr>
            <w:tcW w:w="1197" w:type="dxa"/>
            <w:tcBorders>
              <w:bottom w:val="single" w:sz="4" w:space="0" w:color="999999"/>
            </w:tcBorders>
            <w:shd w:val="clear" w:color="auto" w:fill="auto"/>
            <w:vAlign w:val="bottom"/>
          </w:tcPr>
          <w:p w14:paraId="2B4A1C4E" w14:textId="55CD6F95" w:rsidR="005E793C" w:rsidRPr="00885479" w:rsidRDefault="00885479" w:rsidP="00E30618">
            <w:pPr>
              <w:pStyle w:val="TableFiguresBrackets"/>
            </w:pPr>
            <w:r w:rsidRPr="00885479">
              <w:t>(12)</w:t>
            </w:r>
          </w:p>
        </w:tc>
      </w:tr>
      <w:tr w:rsidR="00885479" w:rsidRPr="00885479" w14:paraId="1C28185E" w14:textId="77777777" w:rsidTr="00885479">
        <w:tc>
          <w:tcPr>
            <w:tcW w:w="6379" w:type="dxa"/>
            <w:tcBorders>
              <w:top w:val="single" w:sz="4" w:space="0" w:color="999999"/>
            </w:tcBorders>
            <w:shd w:val="clear" w:color="auto" w:fill="auto"/>
            <w:vAlign w:val="bottom"/>
          </w:tcPr>
          <w:p w14:paraId="2E9516B0" w14:textId="77777777" w:rsidR="005E793C" w:rsidRPr="00885479" w:rsidRDefault="005E793C" w:rsidP="00E30618">
            <w:pPr>
              <w:pStyle w:val="TabletextBold"/>
              <w:rPr>
                <w:szCs w:val="20"/>
              </w:rPr>
            </w:pPr>
            <w:r w:rsidRPr="00885479">
              <w:rPr>
                <w:szCs w:val="20"/>
              </w:rPr>
              <w:t>Net passing rents</w:t>
            </w:r>
          </w:p>
        </w:tc>
        <w:tc>
          <w:tcPr>
            <w:tcW w:w="851" w:type="dxa"/>
            <w:tcBorders>
              <w:top w:val="single" w:sz="4" w:space="0" w:color="999999"/>
            </w:tcBorders>
            <w:shd w:val="clear" w:color="auto" w:fill="auto"/>
            <w:vAlign w:val="bottom"/>
          </w:tcPr>
          <w:p w14:paraId="28941888" w14:textId="77777777" w:rsidR="005E793C" w:rsidRPr="00B64915" w:rsidRDefault="005E793C" w:rsidP="00E30618">
            <w:pPr>
              <w:pStyle w:val="TableFiguresBold0"/>
            </w:pPr>
            <w:r w:rsidRPr="00B64915">
              <w:t>B</w:t>
            </w:r>
          </w:p>
        </w:tc>
        <w:tc>
          <w:tcPr>
            <w:tcW w:w="850" w:type="dxa"/>
            <w:tcBorders>
              <w:top w:val="single" w:sz="4" w:space="0" w:color="999999"/>
            </w:tcBorders>
            <w:shd w:val="clear" w:color="auto" w:fill="auto"/>
            <w:vAlign w:val="bottom"/>
          </w:tcPr>
          <w:p w14:paraId="547DF4E5" w14:textId="21278BC4" w:rsidR="005E793C" w:rsidRPr="00885479" w:rsidRDefault="00885479" w:rsidP="00E30618">
            <w:pPr>
              <w:pStyle w:val="TableFiguresBold0"/>
            </w:pPr>
            <w:r w:rsidRPr="00885479">
              <w:t>330</w:t>
            </w:r>
          </w:p>
        </w:tc>
        <w:tc>
          <w:tcPr>
            <w:tcW w:w="1276" w:type="dxa"/>
            <w:tcBorders>
              <w:top w:val="single" w:sz="4" w:space="0" w:color="999999"/>
            </w:tcBorders>
            <w:shd w:val="clear" w:color="auto" w:fill="auto"/>
            <w:vAlign w:val="bottom"/>
          </w:tcPr>
          <w:p w14:paraId="7F28C6B6" w14:textId="24370400" w:rsidR="005E793C" w:rsidRPr="00885479" w:rsidRDefault="00885479" w:rsidP="00E30618">
            <w:pPr>
              <w:pStyle w:val="TableFiguresBold0"/>
            </w:pPr>
            <w:r w:rsidRPr="00885479">
              <w:t>198</w:t>
            </w:r>
          </w:p>
        </w:tc>
        <w:tc>
          <w:tcPr>
            <w:tcW w:w="1197" w:type="dxa"/>
            <w:tcBorders>
              <w:top w:val="single" w:sz="4" w:space="0" w:color="999999"/>
            </w:tcBorders>
            <w:shd w:val="clear" w:color="auto" w:fill="auto"/>
            <w:vAlign w:val="bottom"/>
          </w:tcPr>
          <w:p w14:paraId="5A5C25EF" w14:textId="4F53926C" w:rsidR="005E793C" w:rsidRPr="00885479" w:rsidRDefault="00885479" w:rsidP="00E30618">
            <w:pPr>
              <w:pStyle w:val="TableFiguresBold0"/>
            </w:pPr>
            <w:r w:rsidRPr="00885479">
              <w:t>528</w:t>
            </w:r>
          </w:p>
        </w:tc>
      </w:tr>
      <w:tr w:rsidR="00885479" w:rsidRPr="00885479" w14:paraId="31FBB4EC" w14:textId="77777777" w:rsidTr="00885479">
        <w:tc>
          <w:tcPr>
            <w:tcW w:w="6379" w:type="dxa"/>
            <w:tcBorders>
              <w:bottom w:val="single" w:sz="4" w:space="0" w:color="999999"/>
            </w:tcBorders>
            <w:shd w:val="clear" w:color="auto" w:fill="auto"/>
            <w:vAlign w:val="bottom"/>
          </w:tcPr>
          <w:p w14:paraId="493BA01F" w14:textId="77777777" w:rsidR="005E793C" w:rsidRPr="00885479" w:rsidRDefault="005E793C" w:rsidP="00E30618">
            <w:pPr>
              <w:pStyle w:val="TabletextBold"/>
              <w:rPr>
                <w:b w:val="0"/>
                <w:szCs w:val="20"/>
              </w:rPr>
            </w:pPr>
            <w:r w:rsidRPr="00885479">
              <w:rPr>
                <w:b w:val="0"/>
                <w:szCs w:val="20"/>
              </w:rPr>
              <w:t>Adjustment for notional rent in respect of rent frees</w:t>
            </w:r>
          </w:p>
        </w:tc>
        <w:tc>
          <w:tcPr>
            <w:tcW w:w="851" w:type="dxa"/>
            <w:tcBorders>
              <w:bottom w:val="single" w:sz="4" w:space="0" w:color="999999"/>
            </w:tcBorders>
            <w:shd w:val="clear" w:color="auto" w:fill="auto"/>
            <w:vAlign w:val="bottom"/>
          </w:tcPr>
          <w:p w14:paraId="0F7A942A" w14:textId="77777777" w:rsidR="005E793C" w:rsidRPr="00B64915" w:rsidRDefault="005E793C" w:rsidP="00E30618">
            <w:pPr>
              <w:pStyle w:val="TableFiguresBold0"/>
              <w:rPr>
                <w:b w:val="0"/>
              </w:rPr>
            </w:pPr>
          </w:p>
        </w:tc>
        <w:tc>
          <w:tcPr>
            <w:tcW w:w="850" w:type="dxa"/>
            <w:tcBorders>
              <w:bottom w:val="single" w:sz="4" w:space="0" w:color="999999"/>
            </w:tcBorders>
            <w:shd w:val="clear" w:color="auto" w:fill="auto"/>
            <w:vAlign w:val="bottom"/>
          </w:tcPr>
          <w:p w14:paraId="6C92CCFF" w14:textId="5E89E3F1" w:rsidR="005E793C" w:rsidRPr="00885479" w:rsidRDefault="00885479" w:rsidP="00E30618">
            <w:pPr>
              <w:pStyle w:val="TableFigures"/>
            </w:pPr>
            <w:r w:rsidRPr="00885479">
              <w:t>33</w:t>
            </w:r>
          </w:p>
        </w:tc>
        <w:tc>
          <w:tcPr>
            <w:tcW w:w="1276" w:type="dxa"/>
            <w:tcBorders>
              <w:bottom w:val="single" w:sz="4" w:space="0" w:color="999999"/>
            </w:tcBorders>
            <w:shd w:val="clear" w:color="auto" w:fill="auto"/>
            <w:vAlign w:val="bottom"/>
          </w:tcPr>
          <w:p w14:paraId="56CF4640" w14:textId="554B2F33" w:rsidR="005E793C" w:rsidRPr="00885479" w:rsidRDefault="00885479" w:rsidP="00E30618">
            <w:pPr>
              <w:pStyle w:val="TableFigures"/>
            </w:pPr>
            <w:r w:rsidRPr="00885479">
              <w:t>28</w:t>
            </w:r>
          </w:p>
        </w:tc>
        <w:tc>
          <w:tcPr>
            <w:tcW w:w="1197" w:type="dxa"/>
            <w:tcBorders>
              <w:bottom w:val="single" w:sz="4" w:space="0" w:color="999999"/>
            </w:tcBorders>
            <w:shd w:val="clear" w:color="auto" w:fill="auto"/>
            <w:vAlign w:val="bottom"/>
          </w:tcPr>
          <w:p w14:paraId="68C6E994" w14:textId="471E1923" w:rsidR="005E793C" w:rsidRPr="00885479" w:rsidRDefault="00885479" w:rsidP="00E30618">
            <w:pPr>
              <w:pStyle w:val="TableFigures"/>
            </w:pPr>
            <w:r w:rsidRPr="00885479">
              <w:t>61</w:t>
            </w:r>
          </w:p>
        </w:tc>
      </w:tr>
      <w:tr w:rsidR="00885479" w:rsidRPr="00885479" w14:paraId="1B9D9CD4" w14:textId="77777777" w:rsidTr="00885479">
        <w:tc>
          <w:tcPr>
            <w:tcW w:w="6379" w:type="dxa"/>
            <w:tcBorders>
              <w:top w:val="single" w:sz="4" w:space="0" w:color="999999"/>
            </w:tcBorders>
            <w:shd w:val="clear" w:color="auto" w:fill="auto"/>
            <w:vAlign w:val="bottom"/>
          </w:tcPr>
          <w:p w14:paraId="205899A1" w14:textId="77777777" w:rsidR="005E793C" w:rsidRPr="00885479" w:rsidRDefault="005E793C" w:rsidP="00E30618">
            <w:pPr>
              <w:pStyle w:val="TabletextBold"/>
              <w:rPr>
                <w:szCs w:val="20"/>
              </w:rPr>
            </w:pPr>
            <w:r w:rsidRPr="00885479">
              <w:rPr>
                <w:szCs w:val="20"/>
              </w:rPr>
              <w:t>Topped up net rent</w:t>
            </w:r>
          </w:p>
        </w:tc>
        <w:tc>
          <w:tcPr>
            <w:tcW w:w="851" w:type="dxa"/>
            <w:tcBorders>
              <w:top w:val="single" w:sz="4" w:space="0" w:color="999999"/>
            </w:tcBorders>
            <w:shd w:val="clear" w:color="auto" w:fill="auto"/>
            <w:vAlign w:val="bottom"/>
          </w:tcPr>
          <w:p w14:paraId="020A6B71" w14:textId="77777777" w:rsidR="005E793C" w:rsidRPr="00B64915" w:rsidRDefault="005E793C" w:rsidP="00E30618">
            <w:pPr>
              <w:pStyle w:val="TableFiguresBold0"/>
            </w:pPr>
            <w:r w:rsidRPr="00B64915">
              <w:t>C</w:t>
            </w:r>
          </w:p>
        </w:tc>
        <w:tc>
          <w:tcPr>
            <w:tcW w:w="850" w:type="dxa"/>
            <w:tcBorders>
              <w:top w:val="single" w:sz="4" w:space="0" w:color="999999"/>
            </w:tcBorders>
            <w:shd w:val="clear" w:color="auto" w:fill="auto"/>
            <w:vAlign w:val="bottom"/>
          </w:tcPr>
          <w:p w14:paraId="64C87922" w14:textId="2AC96EF8" w:rsidR="005E793C" w:rsidRPr="00885479" w:rsidRDefault="00885479" w:rsidP="00E30618">
            <w:pPr>
              <w:pStyle w:val="TableFiguresBold0"/>
            </w:pPr>
            <w:r w:rsidRPr="00885479">
              <w:t>363</w:t>
            </w:r>
          </w:p>
        </w:tc>
        <w:tc>
          <w:tcPr>
            <w:tcW w:w="1276" w:type="dxa"/>
            <w:tcBorders>
              <w:top w:val="single" w:sz="4" w:space="0" w:color="999999"/>
            </w:tcBorders>
            <w:shd w:val="clear" w:color="auto" w:fill="auto"/>
            <w:vAlign w:val="bottom"/>
          </w:tcPr>
          <w:p w14:paraId="79DBF833" w14:textId="66E66235" w:rsidR="005E793C" w:rsidRPr="00885479" w:rsidRDefault="00885479" w:rsidP="00E30618">
            <w:pPr>
              <w:pStyle w:val="TableFiguresBold0"/>
            </w:pPr>
            <w:r w:rsidRPr="00885479">
              <w:t>226</w:t>
            </w:r>
          </w:p>
        </w:tc>
        <w:tc>
          <w:tcPr>
            <w:tcW w:w="1197" w:type="dxa"/>
            <w:tcBorders>
              <w:top w:val="single" w:sz="4" w:space="0" w:color="999999"/>
            </w:tcBorders>
            <w:shd w:val="clear" w:color="auto" w:fill="auto"/>
            <w:vAlign w:val="bottom"/>
          </w:tcPr>
          <w:p w14:paraId="06CDAE1F" w14:textId="4E7DF03D" w:rsidR="005E793C" w:rsidRPr="00885479" w:rsidRDefault="00885479" w:rsidP="00E30618">
            <w:pPr>
              <w:pStyle w:val="TableFiguresBold0"/>
            </w:pPr>
            <w:r w:rsidRPr="00885479">
              <w:t>589</w:t>
            </w:r>
          </w:p>
        </w:tc>
      </w:tr>
      <w:tr w:rsidR="00885479" w:rsidRPr="00885479" w14:paraId="0D101E0A" w14:textId="77777777" w:rsidTr="00885479">
        <w:tc>
          <w:tcPr>
            <w:tcW w:w="6379" w:type="dxa"/>
            <w:tcBorders>
              <w:bottom w:val="single" w:sz="4" w:space="0" w:color="A6A6A6"/>
            </w:tcBorders>
            <w:shd w:val="clear" w:color="auto" w:fill="auto"/>
            <w:vAlign w:val="bottom"/>
          </w:tcPr>
          <w:p w14:paraId="08962206" w14:textId="77777777" w:rsidR="005E793C" w:rsidRPr="00885479" w:rsidRDefault="005E793C" w:rsidP="00E30618">
            <w:pPr>
              <w:pStyle w:val="TabletextBold"/>
              <w:rPr>
                <w:b w:val="0"/>
                <w:szCs w:val="20"/>
              </w:rPr>
            </w:pPr>
            <w:r w:rsidRPr="00885479">
              <w:rPr>
                <w:b w:val="0"/>
                <w:szCs w:val="20"/>
              </w:rPr>
              <w:t>Including fixed/minimum uplifts</w:t>
            </w:r>
            <w:r w:rsidRPr="00885479">
              <w:rPr>
                <w:b w:val="0"/>
                <w:szCs w:val="20"/>
                <w:vertAlign w:val="superscript"/>
              </w:rPr>
              <w:t>4</w:t>
            </w:r>
          </w:p>
        </w:tc>
        <w:tc>
          <w:tcPr>
            <w:tcW w:w="851" w:type="dxa"/>
            <w:tcBorders>
              <w:bottom w:val="single" w:sz="4" w:space="0" w:color="A6A6A6"/>
            </w:tcBorders>
            <w:shd w:val="clear" w:color="auto" w:fill="auto"/>
            <w:vAlign w:val="bottom"/>
          </w:tcPr>
          <w:p w14:paraId="02A3EBB8" w14:textId="77777777" w:rsidR="005E793C" w:rsidRPr="00B64915" w:rsidRDefault="005E793C" w:rsidP="00E30618">
            <w:pPr>
              <w:pStyle w:val="TableFiguresBold0"/>
              <w:rPr>
                <w:b w:val="0"/>
                <w:szCs w:val="20"/>
              </w:rPr>
            </w:pPr>
          </w:p>
        </w:tc>
        <w:tc>
          <w:tcPr>
            <w:tcW w:w="850" w:type="dxa"/>
            <w:tcBorders>
              <w:bottom w:val="single" w:sz="4" w:space="0" w:color="A6A6A6"/>
            </w:tcBorders>
            <w:shd w:val="clear" w:color="auto" w:fill="auto"/>
            <w:vAlign w:val="bottom"/>
          </w:tcPr>
          <w:p w14:paraId="65969369" w14:textId="2BE3D012" w:rsidR="005E793C" w:rsidRPr="00885479" w:rsidRDefault="00885479" w:rsidP="00E30618">
            <w:pPr>
              <w:pStyle w:val="TableFigures"/>
            </w:pPr>
            <w:r w:rsidRPr="00885479">
              <w:t>10</w:t>
            </w:r>
          </w:p>
        </w:tc>
        <w:tc>
          <w:tcPr>
            <w:tcW w:w="1276" w:type="dxa"/>
            <w:tcBorders>
              <w:bottom w:val="single" w:sz="4" w:space="0" w:color="A6A6A6"/>
            </w:tcBorders>
            <w:shd w:val="clear" w:color="auto" w:fill="auto"/>
            <w:vAlign w:val="bottom"/>
          </w:tcPr>
          <w:p w14:paraId="5CA20B5F" w14:textId="1162902B" w:rsidR="005E793C" w:rsidRPr="00885479" w:rsidRDefault="00885479" w:rsidP="00E30618">
            <w:pPr>
              <w:pStyle w:val="TableFigures"/>
            </w:pPr>
            <w:r w:rsidRPr="00885479">
              <w:t>–</w:t>
            </w:r>
          </w:p>
        </w:tc>
        <w:tc>
          <w:tcPr>
            <w:tcW w:w="1197" w:type="dxa"/>
            <w:tcBorders>
              <w:bottom w:val="single" w:sz="4" w:space="0" w:color="A6A6A6"/>
            </w:tcBorders>
            <w:shd w:val="clear" w:color="auto" w:fill="auto"/>
            <w:vAlign w:val="bottom"/>
          </w:tcPr>
          <w:p w14:paraId="4F9B1F64" w14:textId="5A5C222E" w:rsidR="005E793C" w:rsidRPr="00885479" w:rsidRDefault="00885479" w:rsidP="00E30618">
            <w:pPr>
              <w:pStyle w:val="TableFigures"/>
            </w:pPr>
            <w:r w:rsidRPr="00885479">
              <w:t>10</w:t>
            </w:r>
          </w:p>
        </w:tc>
      </w:tr>
      <w:tr w:rsidR="00885479" w:rsidRPr="00885479" w14:paraId="1E74377D" w14:textId="77777777" w:rsidTr="00885479">
        <w:tc>
          <w:tcPr>
            <w:tcW w:w="6379" w:type="dxa"/>
            <w:tcBorders>
              <w:top w:val="single" w:sz="4" w:space="0" w:color="A6A6A6"/>
              <w:bottom w:val="single" w:sz="8" w:space="0" w:color="A6A6A6"/>
            </w:tcBorders>
            <w:shd w:val="clear" w:color="auto" w:fill="auto"/>
            <w:vAlign w:val="bottom"/>
          </w:tcPr>
          <w:p w14:paraId="3E5D2FE3" w14:textId="77777777" w:rsidR="005E793C" w:rsidRPr="00885479" w:rsidRDefault="005E793C" w:rsidP="00E30618">
            <w:pPr>
              <w:pStyle w:val="TabletextBold"/>
              <w:rPr>
                <w:szCs w:val="20"/>
              </w:rPr>
            </w:pPr>
            <w:r w:rsidRPr="00885479">
              <w:rPr>
                <w:szCs w:val="20"/>
              </w:rPr>
              <w:t>Total topped up net rent</w:t>
            </w:r>
          </w:p>
        </w:tc>
        <w:tc>
          <w:tcPr>
            <w:tcW w:w="851" w:type="dxa"/>
            <w:tcBorders>
              <w:top w:val="single" w:sz="4" w:space="0" w:color="A6A6A6"/>
              <w:bottom w:val="single" w:sz="8" w:space="0" w:color="A6A6A6"/>
            </w:tcBorders>
            <w:shd w:val="clear" w:color="auto" w:fill="auto"/>
            <w:vAlign w:val="bottom"/>
          </w:tcPr>
          <w:p w14:paraId="1802F188" w14:textId="77777777" w:rsidR="005E793C" w:rsidRPr="00B64915" w:rsidRDefault="005E793C" w:rsidP="00E30618">
            <w:pPr>
              <w:pStyle w:val="TableFiguresBold0"/>
              <w:rPr>
                <w:b w:val="0"/>
                <w:szCs w:val="20"/>
              </w:rPr>
            </w:pPr>
          </w:p>
        </w:tc>
        <w:tc>
          <w:tcPr>
            <w:tcW w:w="850" w:type="dxa"/>
            <w:tcBorders>
              <w:top w:val="single" w:sz="4" w:space="0" w:color="A6A6A6"/>
              <w:bottom w:val="single" w:sz="8" w:space="0" w:color="A6A6A6"/>
            </w:tcBorders>
            <w:shd w:val="clear" w:color="auto" w:fill="auto"/>
            <w:vAlign w:val="bottom"/>
          </w:tcPr>
          <w:p w14:paraId="43F8AE9F" w14:textId="63F71BEB" w:rsidR="005E793C" w:rsidRPr="00885479" w:rsidRDefault="00885479" w:rsidP="00E30618">
            <w:pPr>
              <w:pStyle w:val="TableFiguresBold0"/>
            </w:pPr>
            <w:r w:rsidRPr="00885479">
              <w:t>373</w:t>
            </w:r>
          </w:p>
        </w:tc>
        <w:tc>
          <w:tcPr>
            <w:tcW w:w="1276" w:type="dxa"/>
            <w:tcBorders>
              <w:top w:val="single" w:sz="4" w:space="0" w:color="A6A6A6"/>
              <w:bottom w:val="single" w:sz="8" w:space="0" w:color="A6A6A6"/>
            </w:tcBorders>
            <w:shd w:val="clear" w:color="auto" w:fill="auto"/>
            <w:vAlign w:val="bottom"/>
          </w:tcPr>
          <w:p w14:paraId="364FD6CA" w14:textId="63C198E5" w:rsidR="005E793C" w:rsidRPr="00885479" w:rsidRDefault="00885479" w:rsidP="00E30618">
            <w:pPr>
              <w:pStyle w:val="TableFiguresBold0"/>
            </w:pPr>
            <w:r w:rsidRPr="00885479">
              <w:t>226</w:t>
            </w:r>
          </w:p>
        </w:tc>
        <w:tc>
          <w:tcPr>
            <w:tcW w:w="1197" w:type="dxa"/>
            <w:tcBorders>
              <w:top w:val="single" w:sz="4" w:space="0" w:color="A6A6A6"/>
              <w:bottom w:val="single" w:sz="8" w:space="0" w:color="A6A6A6"/>
            </w:tcBorders>
            <w:shd w:val="clear" w:color="auto" w:fill="auto"/>
            <w:vAlign w:val="bottom"/>
          </w:tcPr>
          <w:p w14:paraId="2FEFD2BC" w14:textId="2A6736ED" w:rsidR="005E793C" w:rsidRPr="00885479" w:rsidRDefault="00885479" w:rsidP="00E30618">
            <w:pPr>
              <w:pStyle w:val="TableFiguresBold0"/>
            </w:pPr>
            <w:r w:rsidRPr="00885479">
              <w:t>599</w:t>
            </w:r>
          </w:p>
        </w:tc>
      </w:tr>
      <w:tr w:rsidR="00885479" w:rsidRPr="00885479" w14:paraId="7ECF58D8" w14:textId="77777777" w:rsidTr="00885479">
        <w:tc>
          <w:tcPr>
            <w:tcW w:w="6379" w:type="dxa"/>
            <w:tcBorders>
              <w:top w:val="single" w:sz="8" w:space="0" w:color="A6A6A6"/>
            </w:tcBorders>
            <w:shd w:val="clear" w:color="auto" w:fill="auto"/>
            <w:vAlign w:val="bottom"/>
          </w:tcPr>
          <w:p w14:paraId="6B816AEF" w14:textId="77777777" w:rsidR="005E793C" w:rsidRPr="00885479" w:rsidRDefault="005E793C" w:rsidP="00E30618">
            <w:pPr>
              <w:pStyle w:val="TabletextBold"/>
              <w:rPr>
                <w:szCs w:val="20"/>
              </w:rPr>
            </w:pPr>
          </w:p>
        </w:tc>
        <w:tc>
          <w:tcPr>
            <w:tcW w:w="851" w:type="dxa"/>
            <w:tcBorders>
              <w:top w:val="single" w:sz="8" w:space="0" w:color="A6A6A6"/>
            </w:tcBorders>
            <w:shd w:val="clear" w:color="auto" w:fill="auto"/>
            <w:vAlign w:val="bottom"/>
          </w:tcPr>
          <w:p w14:paraId="5EF03953" w14:textId="77777777" w:rsidR="005E793C" w:rsidRPr="00B64915" w:rsidRDefault="005E793C" w:rsidP="00E30618">
            <w:pPr>
              <w:pStyle w:val="TableFiguresBold0"/>
              <w:rPr>
                <w:b w:val="0"/>
              </w:rPr>
            </w:pPr>
          </w:p>
        </w:tc>
        <w:tc>
          <w:tcPr>
            <w:tcW w:w="850" w:type="dxa"/>
            <w:tcBorders>
              <w:top w:val="single" w:sz="8" w:space="0" w:color="A6A6A6"/>
            </w:tcBorders>
            <w:shd w:val="clear" w:color="auto" w:fill="auto"/>
            <w:vAlign w:val="bottom"/>
          </w:tcPr>
          <w:p w14:paraId="40D41193" w14:textId="77777777" w:rsidR="005E793C" w:rsidRPr="00885479" w:rsidRDefault="005E793C" w:rsidP="00E30618">
            <w:pPr>
              <w:pStyle w:val="TableFiguresBold0"/>
            </w:pPr>
          </w:p>
        </w:tc>
        <w:tc>
          <w:tcPr>
            <w:tcW w:w="1276" w:type="dxa"/>
            <w:tcBorders>
              <w:top w:val="single" w:sz="8" w:space="0" w:color="A6A6A6"/>
            </w:tcBorders>
            <w:shd w:val="clear" w:color="auto" w:fill="auto"/>
            <w:vAlign w:val="bottom"/>
          </w:tcPr>
          <w:p w14:paraId="22B307E0" w14:textId="77777777" w:rsidR="005E793C" w:rsidRPr="00885479" w:rsidRDefault="005E793C" w:rsidP="00E30618">
            <w:pPr>
              <w:pStyle w:val="TableFiguresBold0"/>
              <w:rPr>
                <w:b w:val="0"/>
              </w:rPr>
            </w:pPr>
          </w:p>
        </w:tc>
        <w:tc>
          <w:tcPr>
            <w:tcW w:w="1197" w:type="dxa"/>
            <w:tcBorders>
              <w:top w:val="single" w:sz="8" w:space="0" w:color="A6A6A6"/>
            </w:tcBorders>
            <w:shd w:val="clear" w:color="auto" w:fill="auto"/>
            <w:vAlign w:val="bottom"/>
          </w:tcPr>
          <w:p w14:paraId="4941DD30" w14:textId="77777777" w:rsidR="005E793C" w:rsidRPr="00885479" w:rsidRDefault="005E793C" w:rsidP="00E30618">
            <w:pPr>
              <w:pStyle w:val="TableFiguresBold0"/>
              <w:rPr>
                <w:b w:val="0"/>
              </w:rPr>
            </w:pPr>
          </w:p>
        </w:tc>
      </w:tr>
      <w:tr w:rsidR="00885479" w:rsidRPr="00885479" w14:paraId="40C05C78" w14:textId="77777777" w:rsidTr="00885479">
        <w:tc>
          <w:tcPr>
            <w:tcW w:w="6379" w:type="dxa"/>
            <w:tcBorders>
              <w:bottom w:val="single" w:sz="8" w:space="0" w:color="808080" w:themeColor="background1" w:themeShade="80"/>
            </w:tcBorders>
            <w:shd w:val="clear" w:color="auto" w:fill="auto"/>
            <w:vAlign w:val="bottom"/>
          </w:tcPr>
          <w:p w14:paraId="73905193" w14:textId="6C7031CC" w:rsidR="005E793C" w:rsidRPr="00885479" w:rsidRDefault="005E793C" w:rsidP="00E30618">
            <w:pPr>
              <w:pStyle w:val="TabletextBold"/>
              <w:rPr>
                <w:szCs w:val="20"/>
              </w:rPr>
            </w:pPr>
            <w:r w:rsidRPr="00885479">
              <w:rPr>
                <w:szCs w:val="20"/>
              </w:rPr>
              <w:t>Yields</w:t>
            </w:r>
            <w:r w:rsidRPr="00885479">
              <w:t xml:space="preserve"> – 20</w:t>
            </w:r>
            <w:r w:rsidR="00E83694" w:rsidRPr="00885479">
              <w:t>2</w:t>
            </w:r>
            <w:r w:rsidR="00885479" w:rsidRPr="00885479">
              <w:t>1</w:t>
            </w:r>
          </w:p>
        </w:tc>
        <w:tc>
          <w:tcPr>
            <w:tcW w:w="851" w:type="dxa"/>
            <w:tcBorders>
              <w:bottom w:val="single" w:sz="8" w:space="0" w:color="808080" w:themeColor="background1" w:themeShade="80"/>
            </w:tcBorders>
            <w:shd w:val="clear" w:color="auto" w:fill="auto"/>
            <w:vAlign w:val="bottom"/>
          </w:tcPr>
          <w:p w14:paraId="02965F08" w14:textId="77777777" w:rsidR="005E793C" w:rsidRPr="00B64915" w:rsidRDefault="005E793C" w:rsidP="00E30618">
            <w:pPr>
              <w:pStyle w:val="TableFiguresBold0"/>
              <w:rPr>
                <w:b w:val="0"/>
              </w:rPr>
            </w:pPr>
          </w:p>
        </w:tc>
        <w:tc>
          <w:tcPr>
            <w:tcW w:w="850" w:type="dxa"/>
            <w:tcBorders>
              <w:bottom w:val="single" w:sz="8" w:space="0" w:color="808080" w:themeColor="background1" w:themeShade="80"/>
            </w:tcBorders>
            <w:shd w:val="clear" w:color="auto" w:fill="auto"/>
            <w:vAlign w:val="bottom"/>
          </w:tcPr>
          <w:p w14:paraId="5DC8554D" w14:textId="77777777" w:rsidR="005E793C" w:rsidRPr="00885479" w:rsidRDefault="005E793C" w:rsidP="00E30618">
            <w:pPr>
              <w:pStyle w:val="TableFiguresBold0"/>
            </w:pPr>
            <w:r w:rsidRPr="00885479">
              <w:t>%</w:t>
            </w:r>
          </w:p>
        </w:tc>
        <w:tc>
          <w:tcPr>
            <w:tcW w:w="1276" w:type="dxa"/>
            <w:tcBorders>
              <w:bottom w:val="single" w:sz="8" w:space="0" w:color="808080" w:themeColor="background1" w:themeShade="80"/>
            </w:tcBorders>
            <w:shd w:val="clear" w:color="auto" w:fill="auto"/>
            <w:vAlign w:val="bottom"/>
          </w:tcPr>
          <w:p w14:paraId="697D48EF" w14:textId="77777777" w:rsidR="005E793C" w:rsidRPr="00885479" w:rsidRDefault="005E793C" w:rsidP="00E30618">
            <w:pPr>
              <w:pStyle w:val="TableFiguresBold0"/>
            </w:pPr>
            <w:r w:rsidRPr="00885479">
              <w:t>%</w:t>
            </w:r>
          </w:p>
        </w:tc>
        <w:tc>
          <w:tcPr>
            <w:tcW w:w="1197" w:type="dxa"/>
            <w:tcBorders>
              <w:bottom w:val="single" w:sz="8" w:space="0" w:color="808080" w:themeColor="background1" w:themeShade="80"/>
            </w:tcBorders>
            <w:shd w:val="clear" w:color="auto" w:fill="auto"/>
            <w:vAlign w:val="bottom"/>
          </w:tcPr>
          <w:p w14:paraId="0663E121" w14:textId="77777777" w:rsidR="005E793C" w:rsidRPr="00885479" w:rsidRDefault="005E793C" w:rsidP="00E30618">
            <w:pPr>
              <w:pStyle w:val="TableFiguresBold0"/>
            </w:pPr>
            <w:r w:rsidRPr="00885479">
              <w:t>%</w:t>
            </w:r>
          </w:p>
        </w:tc>
      </w:tr>
      <w:tr w:rsidR="00885479" w:rsidRPr="00885479" w14:paraId="53F44982" w14:textId="77777777" w:rsidTr="00885479">
        <w:tc>
          <w:tcPr>
            <w:tcW w:w="6379" w:type="dxa"/>
            <w:tcBorders>
              <w:top w:val="single" w:sz="8" w:space="0" w:color="808080" w:themeColor="background1" w:themeShade="80"/>
            </w:tcBorders>
            <w:shd w:val="clear" w:color="auto" w:fill="auto"/>
            <w:vAlign w:val="bottom"/>
          </w:tcPr>
          <w:p w14:paraId="2EA84B40" w14:textId="77777777" w:rsidR="005E793C" w:rsidRPr="00885479" w:rsidRDefault="005E793C" w:rsidP="00E30618">
            <w:pPr>
              <w:pStyle w:val="TabletextBold"/>
              <w:rPr>
                <w:b w:val="0"/>
                <w:szCs w:val="20"/>
                <w:vertAlign w:val="superscript"/>
              </w:rPr>
            </w:pPr>
            <w:r w:rsidRPr="00885479">
              <w:rPr>
                <w:b w:val="0"/>
                <w:szCs w:val="20"/>
              </w:rPr>
              <w:t>EPRA net initial yield</w:t>
            </w:r>
            <w:r w:rsidRPr="00885479">
              <w:rPr>
                <w:b w:val="0"/>
                <w:szCs w:val="20"/>
                <w:vertAlign w:val="superscript"/>
              </w:rPr>
              <w:t>3</w:t>
            </w:r>
          </w:p>
        </w:tc>
        <w:tc>
          <w:tcPr>
            <w:tcW w:w="851" w:type="dxa"/>
            <w:tcBorders>
              <w:top w:val="single" w:sz="8" w:space="0" w:color="808080" w:themeColor="background1" w:themeShade="80"/>
            </w:tcBorders>
            <w:shd w:val="clear" w:color="auto" w:fill="auto"/>
            <w:vAlign w:val="bottom"/>
          </w:tcPr>
          <w:p w14:paraId="095BA00F" w14:textId="77777777" w:rsidR="005E793C" w:rsidRPr="00B64915" w:rsidRDefault="005E793C" w:rsidP="00E30618">
            <w:pPr>
              <w:pStyle w:val="TableFiguresBold0"/>
            </w:pPr>
            <w:r w:rsidRPr="00B64915">
              <w:t>B/A</w:t>
            </w:r>
          </w:p>
        </w:tc>
        <w:tc>
          <w:tcPr>
            <w:tcW w:w="850" w:type="dxa"/>
            <w:tcBorders>
              <w:top w:val="single" w:sz="8" w:space="0" w:color="808080" w:themeColor="background1" w:themeShade="80"/>
            </w:tcBorders>
            <w:shd w:val="clear" w:color="auto" w:fill="auto"/>
            <w:vAlign w:val="bottom"/>
          </w:tcPr>
          <w:p w14:paraId="1B180FB5" w14:textId="2084C600" w:rsidR="005E793C" w:rsidRPr="00885479" w:rsidRDefault="00885479" w:rsidP="00E30618">
            <w:pPr>
              <w:pStyle w:val="TableFiguresBold0"/>
            </w:pPr>
            <w:r w:rsidRPr="00885479">
              <w:t>2.8</w:t>
            </w:r>
          </w:p>
        </w:tc>
        <w:tc>
          <w:tcPr>
            <w:tcW w:w="1276" w:type="dxa"/>
            <w:tcBorders>
              <w:top w:val="single" w:sz="8" w:space="0" w:color="808080" w:themeColor="background1" w:themeShade="80"/>
            </w:tcBorders>
            <w:shd w:val="clear" w:color="auto" w:fill="auto"/>
            <w:vAlign w:val="bottom"/>
          </w:tcPr>
          <w:p w14:paraId="051F4556" w14:textId="40D8C409" w:rsidR="005E793C" w:rsidRPr="00885479" w:rsidRDefault="00885479" w:rsidP="00E30618">
            <w:pPr>
              <w:pStyle w:val="TableFiguresBold0"/>
            </w:pPr>
            <w:r w:rsidRPr="00885479">
              <w:t>3.4</w:t>
            </w:r>
          </w:p>
        </w:tc>
        <w:tc>
          <w:tcPr>
            <w:tcW w:w="1197" w:type="dxa"/>
            <w:tcBorders>
              <w:top w:val="single" w:sz="8" w:space="0" w:color="808080" w:themeColor="background1" w:themeShade="80"/>
            </w:tcBorders>
            <w:shd w:val="clear" w:color="auto" w:fill="auto"/>
            <w:vAlign w:val="bottom"/>
          </w:tcPr>
          <w:p w14:paraId="1BB398A9" w14:textId="5FE92CE1" w:rsidR="005E793C" w:rsidRPr="00885479" w:rsidRDefault="00885479" w:rsidP="00E30618">
            <w:pPr>
              <w:pStyle w:val="TableFiguresBold0"/>
            </w:pPr>
            <w:r w:rsidRPr="00885479">
              <w:t>3.0</w:t>
            </w:r>
          </w:p>
        </w:tc>
      </w:tr>
      <w:tr w:rsidR="00885479" w:rsidRPr="00885479" w14:paraId="76D7BE2A" w14:textId="77777777" w:rsidTr="00885479">
        <w:tc>
          <w:tcPr>
            <w:tcW w:w="6379" w:type="dxa"/>
            <w:shd w:val="clear" w:color="auto" w:fill="auto"/>
            <w:vAlign w:val="bottom"/>
          </w:tcPr>
          <w:p w14:paraId="5DB4F051" w14:textId="77777777" w:rsidR="005E793C" w:rsidRPr="00885479" w:rsidRDefault="005E793C" w:rsidP="00E30618">
            <w:pPr>
              <w:pStyle w:val="TabletextBold"/>
              <w:rPr>
                <w:b w:val="0"/>
                <w:szCs w:val="20"/>
                <w:vertAlign w:val="superscript"/>
              </w:rPr>
            </w:pPr>
            <w:r w:rsidRPr="00885479">
              <w:rPr>
                <w:b w:val="0"/>
                <w:szCs w:val="20"/>
              </w:rPr>
              <w:t>EPRA topped up net initial yield</w:t>
            </w:r>
            <w:r w:rsidRPr="00885479">
              <w:rPr>
                <w:b w:val="0"/>
                <w:szCs w:val="20"/>
                <w:vertAlign w:val="superscript"/>
              </w:rPr>
              <w:t>3</w:t>
            </w:r>
          </w:p>
        </w:tc>
        <w:tc>
          <w:tcPr>
            <w:tcW w:w="851" w:type="dxa"/>
            <w:shd w:val="clear" w:color="auto" w:fill="auto"/>
            <w:vAlign w:val="bottom"/>
          </w:tcPr>
          <w:p w14:paraId="01744971" w14:textId="77777777" w:rsidR="005E793C" w:rsidRPr="00B64915" w:rsidRDefault="005E793C" w:rsidP="00E30618">
            <w:pPr>
              <w:pStyle w:val="TableFiguresBold0"/>
            </w:pPr>
            <w:r w:rsidRPr="00B64915">
              <w:t>C/A</w:t>
            </w:r>
          </w:p>
        </w:tc>
        <w:tc>
          <w:tcPr>
            <w:tcW w:w="850" w:type="dxa"/>
            <w:shd w:val="clear" w:color="auto" w:fill="auto"/>
            <w:vAlign w:val="bottom"/>
          </w:tcPr>
          <w:p w14:paraId="65322ABF" w14:textId="423A1EB3" w:rsidR="005E793C" w:rsidRPr="00885479" w:rsidRDefault="00885479" w:rsidP="00E30618">
            <w:pPr>
              <w:pStyle w:val="TableFiguresBold0"/>
            </w:pPr>
            <w:r w:rsidRPr="00885479">
              <w:t>3.1</w:t>
            </w:r>
          </w:p>
        </w:tc>
        <w:tc>
          <w:tcPr>
            <w:tcW w:w="1276" w:type="dxa"/>
            <w:shd w:val="clear" w:color="auto" w:fill="auto"/>
            <w:vAlign w:val="bottom"/>
          </w:tcPr>
          <w:p w14:paraId="509ED227" w14:textId="4B733D99" w:rsidR="005E793C" w:rsidRPr="00885479" w:rsidRDefault="00885479" w:rsidP="00E30618">
            <w:pPr>
              <w:pStyle w:val="TableFiguresBold0"/>
            </w:pPr>
            <w:r w:rsidRPr="00885479">
              <w:t>3.8</w:t>
            </w:r>
          </w:p>
        </w:tc>
        <w:tc>
          <w:tcPr>
            <w:tcW w:w="1197" w:type="dxa"/>
            <w:shd w:val="clear" w:color="auto" w:fill="auto"/>
            <w:vAlign w:val="bottom"/>
          </w:tcPr>
          <w:p w14:paraId="77F115A1" w14:textId="13B9D1C0" w:rsidR="005E793C" w:rsidRPr="00885479" w:rsidRDefault="00885479" w:rsidP="00E30618">
            <w:pPr>
              <w:pStyle w:val="TableFiguresBold0"/>
            </w:pPr>
            <w:r w:rsidRPr="00885479">
              <w:t>3.3</w:t>
            </w:r>
          </w:p>
        </w:tc>
      </w:tr>
      <w:tr w:rsidR="00885479" w:rsidRPr="00885479" w14:paraId="2F0B52A4" w14:textId="77777777" w:rsidTr="00885479">
        <w:tc>
          <w:tcPr>
            <w:tcW w:w="6379" w:type="dxa"/>
            <w:tcBorders>
              <w:bottom w:val="single" w:sz="8" w:space="0" w:color="999999"/>
            </w:tcBorders>
            <w:shd w:val="clear" w:color="auto" w:fill="auto"/>
            <w:vAlign w:val="bottom"/>
          </w:tcPr>
          <w:p w14:paraId="4DA75B0D" w14:textId="77777777" w:rsidR="005E793C" w:rsidRPr="00885479" w:rsidRDefault="005E793C" w:rsidP="00E30618">
            <w:pPr>
              <w:pStyle w:val="TabletextBold"/>
              <w:rPr>
                <w:b w:val="0"/>
                <w:szCs w:val="20"/>
              </w:rPr>
            </w:pPr>
            <w:r w:rsidRPr="00885479">
              <w:rPr>
                <w:b w:val="0"/>
                <w:szCs w:val="20"/>
              </w:rPr>
              <w:t>Net true equivalent yield</w:t>
            </w:r>
          </w:p>
        </w:tc>
        <w:tc>
          <w:tcPr>
            <w:tcW w:w="851" w:type="dxa"/>
            <w:tcBorders>
              <w:bottom w:val="single" w:sz="8" w:space="0" w:color="999999"/>
            </w:tcBorders>
            <w:shd w:val="clear" w:color="auto" w:fill="auto"/>
            <w:vAlign w:val="bottom"/>
          </w:tcPr>
          <w:p w14:paraId="285CDD10" w14:textId="77777777" w:rsidR="005E793C" w:rsidRPr="00B64915" w:rsidRDefault="005E793C" w:rsidP="00E30618">
            <w:pPr>
              <w:pStyle w:val="TableFiguresBold0"/>
              <w:rPr>
                <w:b w:val="0"/>
              </w:rPr>
            </w:pPr>
          </w:p>
        </w:tc>
        <w:tc>
          <w:tcPr>
            <w:tcW w:w="850" w:type="dxa"/>
            <w:tcBorders>
              <w:bottom w:val="single" w:sz="8" w:space="0" w:color="999999"/>
            </w:tcBorders>
            <w:shd w:val="clear" w:color="auto" w:fill="auto"/>
            <w:vAlign w:val="bottom"/>
          </w:tcPr>
          <w:p w14:paraId="0D997267" w14:textId="37BE5FCE" w:rsidR="005E793C" w:rsidRPr="00885479" w:rsidRDefault="00885479" w:rsidP="00E30618">
            <w:pPr>
              <w:pStyle w:val="TableFiguresBold0"/>
            </w:pPr>
            <w:r w:rsidRPr="00885479">
              <w:t>3.7</w:t>
            </w:r>
          </w:p>
        </w:tc>
        <w:tc>
          <w:tcPr>
            <w:tcW w:w="1276" w:type="dxa"/>
            <w:tcBorders>
              <w:bottom w:val="single" w:sz="8" w:space="0" w:color="999999"/>
            </w:tcBorders>
            <w:shd w:val="clear" w:color="auto" w:fill="auto"/>
            <w:vAlign w:val="bottom"/>
          </w:tcPr>
          <w:p w14:paraId="52C686C0" w14:textId="78C8A971" w:rsidR="005E793C" w:rsidRPr="00885479" w:rsidRDefault="00885479" w:rsidP="00E30618">
            <w:pPr>
              <w:pStyle w:val="TableFiguresBold0"/>
            </w:pPr>
            <w:r w:rsidRPr="00885479">
              <w:t>4.0</w:t>
            </w:r>
          </w:p>
        </w:tc>
        <w:tc>
          <w:tcPr>
            <w:tcW w:w="1197" w:type="dxa"/>
            <w:tcBorders>
              <w:bottom w:val="single" w:sz="8" w:space="0" w:color="999999"/>
            </w:tcBorders>
            <w:shd w:val="clear" w:color="auto" w:fill="auto"/>
            <w:vAlign w:val="bottom"/>
          </w:tcPr>
          <w:p w14:paraId="252C4978" w14:textId="27798F7B" w:rsidR="005E793C" w:rsidRPr="00885479" w:rsidRDefault="00885479" w:rsidP="00E30618">
            <w:pPr>
              <w:pStyle w:val="TableFiguresBold0"/>
            </w:pPr>
            <w:r w:rsidRPr="00885479">
              <w:t>3.8</w:t>
            </w:r>
          </w:p>
        </w:tc>
      </w:tr>
    </w:tbl>
    <w:p w14:paraId="606E3372" w14:textId="77777777" w:rsidR="005E793C" w:rsidRPr="005F6D8A" w:rsidRDefault="005E793C" w:rsidP="005E793C">
      <w:pPr>
        <w:pStyle w:val="FootnotesNoSpace"/>
        <w:rPr>
          <w:color w:val="FF0000"/>
          <w:highlight w:val="yellow"/>
        </w:rPr>
      </w:pPr>
    </w:p>
    <w:p w14:paraId="7EB87C65" w14:textId="133476EE" w:rsidR="005E793C" w:rsidRPr="00885479" w:rsidRDefault="005E793C" w:rsidP="005E793C">
      <w:pPr>
        <w:pStyle w:val="FootnotesNoSpace"/>
        <w:rPr>
          <w:i w:val="0"/>
        </w:rPr>
      </w:pPr>
      <w:r w:rsidRPr="00885479">
        <w:rPr>
          <w:i w:val="0"/>
        </w:rPr>
        <w:t xml:space="preserve">1 </w:t>
      </w:r>
      <w:r w:rsidR="00261EB2" w:rsidRPr="00885479">
        <w:t>Trading properties are recorded in the Financial Statements at the lower of cost and net realisable value, therefore valuations above cost have not been recognised.</w:t>
      </w:r>
    </w:p>
    <w:p w14:paraId="068922AF" w14:textId="2535C422" w:rsidR="005E793C" w:rsidRPr="00885479" w:rsidRDefault="005E793C" w:rsidP="005E793C">
      <w:pPr>
        <w:pStyle w:val="FootnotesNoSpace"/>
        <w:rPr>
          <w:i w:val="0"/>
        </w:rPr>
      </w:pPr>
      <w:r w:rsidRPr="00885479">
        <w:rPr>
          <w:i w:val="0"/>
        </w:rPr>
        <w:t xml:space="preserve">2 </w:t>
      </w:r>
      <w:r w:rsidR="00261EB2" w:rsidRPr="00885479">
        <w:t>Gross passing rent excludes short-term lettings and licences</w:t>
      </w:r>
      <w:r w:rsidR="00A623A7" w:rsidRPr="00885479">
        <w:t>.</w:t>
      </w:r>
    </w:p>
    <w:p w14:paraId="56044DF1" w14:textId="74D1E872" w:rsidR="005E793C" w:rsidRPr="00885479" w:rsidRDefault="005E793C" w:rsidP="005E793C">
      <w:pPr>
        <w:pStyle w:val="FootnotesNoSpace"/>
        <w:rPr>
          <w:i w:val="0"/>
        </w:rPr>
      </w:pPr>
      <w:r w:rsidRPr="00885479">
        <w:rPr>
          <w:i w:val="0"/>
        </w:rPr>
        <w:t xml:space="preserve">3 </w:t>
      </w:r>
      <w:r w:rsidR="00261EB2" w:rsidRPr="00885479">
        <w:t>In accordance with the Best Practices Recommendations of EPRA.</w:t>
      </w:r>
    </w:p>
    <w:p w14:paraId="6CA5FD05" w14:textId="438C3C96" w:rsidR="005E793C" w:rsidRPr="00885479" w:rsidRDefault="005E793C" w:rsidP="005E793C">
      <w:pPr>
        <w:pStyle w:val="FootnotesNoSpace"/>
      </w:pPr>
      <w:r w:rsidRPr="00885479">
        <w:rPr>
          <w:i w:val="0"/>
        </w:rPr>
        <w:t xml:space="preserve">4 </w:t>
      </w:r>
      <w:r w:rsidR="00261EB2" w:rsidRPr="00885479">
        <w:t>Certain leases contain clauses which guarantee future rental increases, whereas most leases contain five-yearly, upwards only rent review clauses (UK) or indexation clauses (Continental Europe).</w:t>
      </w:r>
    </w:p>
    <w:p w14:paraId="75FD2C2B" w14:textId="7C071EF6" w:rsidR="00E4626B" w:rsidRDefault="00E4626B" w:rsidP="005E793C">
      <w:pPr>
        <w:pStyle w:val="FootnotesNoSpace"/>
        <w:rPr>
          <w:i w:val="0"/>
          <w:color w:val="FF0000"/>
        </w:rPr>
      </w:pPr>
    </w:p>
    <w:p w14:paraId="799D1B6C" w14:textId="006A7B61" w:rsidR="005E793C" w:rsidRPr="00885479" w:rsidRDefault="005E793C" w:rsidP="005E793C">
      <w:pPr>
        <w:pStyle w:val="Heading2"/>
        <w:rPr>
          <w:sz w:val="20"/>
        </w:rPr>
      </w:pPr>
      <w:r w:rsidRPr="00885479">
        <w:rPr>
          <w:sz w:val="20"/>
        </w:rPr>
        <w:t xml:space="preserve">TABLE </w:t>
      </w:r>
      <w:r w:rsidR="00335112">
        <w:rPr>
          <w:sz w:val="20"/>
        </w:rPr>
        <w:t>7</w:t>
      </w:r>
      <w:r w:rsidRPr="00885479">
        <w:rPr>
          <w:sz w:val="20"/>
        </w:rPr>
        <w:t>: EPRA VACANCY RATE</w:t>
      </w:r>
    </w:p>
    <w:tbl>
      <w:tblPr>
        <w:tblW w:w="10546" w:type="dxa"/>
        <w:tblCellMar>
          <w:left w:w="0" w:type="dxa"/>
          <w:right w:w="0" w:type="dxa"/>
        </w:tblCellMar>
        <w:tblLook w:val="01E0" w:firstRow="1" w:lastRow="1" w:firstColumn="1" w:lastColumn="1" w:noHBand="0" w:noVBand="0"/>
      </w:tblPr>
      <w:tblGrid>
        <w:gridCol w:w="6322"/>
        <w:gridCol w:w="1333"/>
        <w:gridCol w:w="1276"/>
        <w:gridCol w:w="1615"/>
      </w:tblGrid>
      <w:tr w:rsidR="005F6D8A" w:rsidRPr="00885479" w14:paraId="5867B051" w14:textId="77777777" w:rsidTr="00E30618">
        <w:tc>
          <w:tcPr>
            <w:tcW w:w="6322" w:type="dxa"/>
            <w:tcBorders>
              <w:bottom w:val="single" w:sz="8" w:space="0" w:color="808080" w:themeColor="background1" w:themeShade="80"/>
            </w:tcBorders>
            <w:shd w:val="clear" w:color="auto" w:fill="auto"/>
            <w:vAlign w:val="bottom"/>
          </w:tcPr>
          <w:p w14:paraId="1B31FC91" w14:textId="77777777" w:rsidR="005E793C" w:rsidRPr="00885479" w:rsidRDefault="005E793C" w:rsidP="00E30618">
            <w:pPr>
              <w:pStyle w:val="Tabletext"/>
              <w:spacing w:line="160" w:lineRule="atLeast"/>
            </w:pPr>
          </w:p>
        </w:tc>
        <w:tc>
          <w:tcPr>
            <w:tcW w:w="1333" w:type="dxa"/>
            <w:tcBorders>
              <w:bottom w:val="single" w:sz="8" w:space="0" w:color="808080" w:themeColor="background1" w:themeShade="80"/>
            </w:tcBorders>
            <w:shd w:val="clear" w:color="auto" w:fill="auto"/>
            <w:vAlign w:val="bottom"/>
          </w:tcPr>
          <w:p w14:paraId="67B303BE" w14:textId="77777777" w:rsidR="005E793C" w:rsidRPr="00885479" w:rsidRDefault="005E793C" w:rsidP="00E30618">
            <w:pPr>
              <w:pStyle w:val="TableColHeadsBold0"/>
            </w:pPr>
          </w:p>
        </w:tc>
        <w:tc>
          <w:tcPr>
            <w:tcW w:w="1276" w:type="dxa"/>
            <w:tcBorders>
              <w:bottom w:val="single" w:sz="8" w:space="0" w:color="808080" w:themeColor="background1" w:themeShade="80"/>
            </w:tcBorders>
            <w:shd w:val="clear" w:color="auto" w:fill="auto"/>
            <w:vAlign w:val="bottom"/>
          </w:tcPr>
          <w:p w14:paraId="59A36B49" w14:textId="70C9F5DF" w:rsidR="005E793C" w:rsidRPr="00885479" w:rsidRDefault="005E793C" w:rsidP="00E30618">
            <w:pPr>
              <w:pStyle w:val="TableColHeadsBold0"/>
            </w:pPr>
            <w:r w:rsidRPr="00885479">
              <w:t>20</w:t>
            </w:r>
            <w:r w:rsidR="00E83694" w:rsidRPr="00885479">
              <w:t>2</w:t>
            </w:r>
            <w:r w:rsidR="00885479" w:rsidRPr="00885479">
              <w:t>1</w:t>
            </w:r>
            <w:r w:rsidRPr="00885479">
              <w:br/>
              <w:t xml:space="preserve"> £m</w:t>
            </w:r>
          </w:p>
        </w:tc>
        <w:tc>
          <w:tcPr>
            <w:tcW w:w="1615" w:type="dxa"/>
            <w:tcBorders>
              <w:bottom w:val="single" w:sz="8" w:space="0" w:color="808080" w:themeColor="background1" w:themeShade="80"/>
            </w:tcBorders>
            <w:shd w:val="clear" w:color="auto" w:fill="auto"/>
            <w:vAlign w:val="bottom"/>
          </w:tcPr>
          <w:p w14:paraId="6D57B27F" w14:textId="25D3AD97" w:rsidR="005E793C" w:rsidRPr="00885479" w:rsidRDefault="005E793C" w:rsidP="00E30618">
            <w:pPr>
              <w:pStyle w:val="TableColHeads"/>
              <w:spacing w:line="160" w:lineRule="atLeast"/>
            </w:pPr>
            <w:r w:rsidRPr="00885479">
              <w:t>20</w:t>
            </w:r>
            <w:r w:rsidR="00885479" w:rsidRPr="00885479">
              <w:t>20</w:t>
            </w:r>
            <w:r w:rsidRPr="00885479">
              <w:t xml:space="preserve"> </w:t>
            </w:r>
            <w:r w:rsidRPr="00885479">
              <w:br/>
              <w:t>£m</w:t>
            </w:r>
          </w:p>
        </w:tc>
      </w:tr>
      <w:tr w:rsidR="005F6D8A" w:rsidRPr="00885479" w14:paraId="07AFC4F3" w14:textId="77777777" w:rsidTr="00E30618">
        <w:tc>
          <w:tcPr>
            <w:tcW w:w="6322" w:type="dxa"/>
            <w:tcBorders>
              <w:top w:val="single" w:sz="8" w:space="0" w:color="808080" w:themeColor="background1" w:themeShade="80"/>
            </w:tcBorders>
            <w:shd w:val="clear" w:color="auto" w:fill="auto"/>
            <w:vAlign w:val="bottom"/>
          </w:tcPr>
          <w:p w14:paraId="1CE3E8C6" w14:textId="715F72BC" w:rsidR="00A17B67" w:rsidRPr="00885479" w:rsidRDefault="00A17B67" w:rsidP="00A17B67">
            <w:pPr>
              <w:pStyle w:val="TabletextBold"/>
              <w:rPr>
                <w:b w:val="0"/>
                <w:szCs w:val="20"/>
              </w:rPr>
            </w:pPr>
            <w:r w:rsidRPr="00885479">
              <w:rPr>
                <w:b w:val="0"/>
                <w:szCs w:val="20"/>
              </w:rPr>
              <w:t xml:space="preserve">Annualised </w:t>
            </w:r>
            <w:r w:rsidR="000645E4" w:rsidRPr="00885479">
              <w:rPr>
                <w:b w:val="0"/>
                <w:szCs w:val="20"/>
              </w:rPr>
              <w:t xml:space="preserve">estimated </w:t>
            </w:r>
            <w:r w:rsidRPr="00885479">
              <w:rPr>
                <w:b w:val="0"/>
                <w:szCs w:val="20"/>
              </w:rPr>
              <w:t>rental value of vacant premises</w:t>
            </w:r>
          </w:p>
        </w:tc>
        <w:tc>
          <w:tcPr>
            <w:tcW w:w="1333" w:type="dxa"/>
            <w:tcBorders>
              <w:top w:val="single" w:sz="8" w:space="0" w:color="808080" w:themeColor="background1" w:themeShade="80"/>
            </w:tcBorders>
            <w:shd w:val="clear" w:color="auto" w:fill="auto"/>
            <w:vAlign w:val="bottom"/>
          </w:tcPr>
          <w:p w14:paraId="6E65A322" w14:textId="77777777" w:rsidR="00A17B67" w:rsidRPr="00885479" w:rsidRDefault="00A17B67" w:rsidP="00A17B67">
            <w:pPr>
              <w:pStyle w:val="TableFiguresBold0"/>
            </w:pPr>
          </w:p>
        </w:tc>
        <w:tc>
          <w:tcPr>
            <w:tcW w:w="1276" w:type="dxa"/>
            <w:tcBorders>
              <w:top w:val="single" w:sz="8" w:space="0" w:color="808080" w:themeColor="background1" w:themeShade="80"/>
            </w:tcBorders>
            <w:shd w:val="clear" w:color="auto" w:fill="auto"/>
            <w:vAlign w:val="bottom"/>
          </w:tcPr>
          <w:p w14:paraId="4C3039D3" w14:textId="286D82A4" w:rsidR="00A17B67" w:rsidRPr="00885479" w:rsidRDefault="00885479" w:rsidP="00A17B67">
            <w:pPr>
              <w:pStyle w:val="TableFiguresBold0"/>
            </w:pPr>
            <w:r w:rsidRPr="00885479">
              <w:t>22</w:t>
            </w:r>
          </w:p>
        </w:tc>
        <w:tc>
          <w:tcPr>
            <w:tcW w:w="1615" w:type="dxa"/>
            <w:tcBorders>
              <w:top w:val="single" w:sz="8" w:space="0" w:color="808080" w:themeColor="background1" w:themeShade="80"/>
            </w:tcBorders>
            <w:vAlign w:val="bottom"/>
          </w:tcPr>
          <w:p w14:paraId="712731D6" w14:textId="56DC9AE7" w:rsidR="00A17B67" w:rsidRPr="00885479" w:rsidRDefault="00885479" w:rsidP="00A17B67">
            <w:pPr>
              <w:pStyle w:val="TableFigures"/>
            </w:pPr>
            <w:r w:rsidRPr="00885479">
              <w:t>22</w:t>
            </w:r>
          </w:p>
        </w:tc>
      </w:tr>
      <w:tr w:rsidR="005F6D8A" w:rsidRPr="00885479" w14:paraId="5753364A" w14:textId="77777777" w:rsidTr="00E30618">
        <w:tc>
          <w:tcPr>
            <w:tcW w:w="6322" w:type="dxa"/>
            <w:tcBorders>
              <w:bottom w:val="single" w:sz="4" w:space="0" w:color="808080" w:themeColor="background1" w:themeShade="80"/>
            </w:tcBorders>
            <w:shd w:val="clear" w:color="auto" w:fill="auto"/>
            <w:vAlign w:val="bottom"/>
          </w:tcPr>
          <w:p w14:paraId="7D234875" w14:textId="75C19AFE" w:rsidR="00A17B67" w:rsidRPr="00885479" w:rsidRDefault="00A17B67" w:rsidP="00A17B67">
            <w:pPr>
              <w:pStyle w:val="Tabletext"/>
              <w:rPr>
                <w:szCs w:val="20"/>
              </w:rPr>
            </w:pPr>
            <w:r w:rsidRPr="00885479">
              <w:rPr>
                <w:szCs w:val="20"/>
              </w:rPr>
              <w:t xml:space="preserve">Annualised </w:t>
            </w:r>
            <w:r w:rsidR="000645E4" w:rsidRPr="00885479">
              <w:rPr>
                <w:szCs w:val="20"/>
              </w:rPr>
              <w:t>estimated</w:t>
            </w:r>
            <w:r w:rsidRPr="00885479">
              <w:rPr>
                <w:szCs w:val="20"/>
              </w:rPr>
              <w:t xml:space="preserve"> rental value for the completed property portfolio</w:t>
            </w:r>
          </w:p>
        </w:tc>
        <w:tc>
          <w:tcPr>
            <w:tcW w:w="1333" w:type="dxa"/>
            <w:tcBorders>
              <w:bottom w:val="single" w:sz="4" w:space="0" w:color="808080" w:themeColor="background1" w:themeShade="80"/>
            </w:tcBorders>
            <w:shd w:val="clear" w:color="auto" w:fill="auto"/>
            <w:vAlign w:val="bottom"/>
          </w:tcPr>
          <w:p w14:paraId="4D9FBAD2" w14:textId="77777777" w:rsidR="00A17B67" w:rsidRPr="00885479" w:rsidRDefault="00A17B67" w:rsidP="00A17B67">
            <w:pPr>
              <w:pStyle w:val="TableFiguresBold0"/>
            </w:pPr>
          </w:p>
        </w:tc>
        <w:tc>
          <w:tcPr>
            <w:tcW w:w="1276" w:type="dxa"/>
            <w:tcBorders>
              <w:bottom w:val="single" w:sz="4" w:space="0" w:color="808080" w:themeColor="background1" w:themeShade="80"/>
            </w:tcBorders>
            <w:shd w:val="clear" w:color="auto" w:fill="auto"/>
            <w:vAlign w:val="bottom"/>
          </w:tcPr>
          <w:p w14:paraId="03CEF01F" w14:textId="3AFF8B2C" w:rsidR="00A17B67" w:rsidRPr="00885479" w:rsidRDefault="00702017" w:rsidP="00A17B67">
            <w:pPr>
              <w:pStyle w:val="TableFiguresBold0"/>
            </w:pPr>
            <w:r>
              <w:t>693</w:t>
            </w:r>
          </w:p>
        </w:tc>
        <w:tc>
          <w:tcPr>
            <w:tcW w:w="1615" w:type="dxa"/>
            <w:tcBorders>
              <w:bottom w:val="single" w:sz="4" w:space="0" w:color="808080" w:themeColor="background1" w:themeShade="80"/>
            </w:tcBorders>
            <w:vAlign w:val="bottom"/>
          </w:tcPr>
          <w:p w14:paraId="34DE82F8" w14:textId="64E50091" w:rsidR="00A17B67" w:rsidRPr="00885479" w:rsidRDefault="00885479" w:rsidP="00A17B67">
            <w:pPr>
              <w:pStyle w:val="TableFigures"/>
            </w:pPr>
            <w:r w:rsidRPr="00885479">
              <w:t>561</w:t>
            </w:r>
          </w:p>
        </w:tc>
      </w:tr>
      <w:tr w:rsidR="00A17B67" w:rsidRPr="00885479" w14:paraId="459B26D0" w14:textId="77777777" w:rsidTr="00E30618">
        <w:tc>
          <w:tcPr>
            <w:tcW w:w="6322" w:type="dxa"/>
            <w:tcBorders>
              <w:top w:val="single" w:sz="4" w:space="0" w:color="808080" w:themeColor="background1" w:themeShade="80"/>
              <w:bottom w:val="single" w:sz="8" w:space="0" w:color="808080" w:themeColor="background1" w:themeShade="80"/>
            </w:tcBorders>
            <w:shd w:val="clear" w:color="auto" w:fill="auto"/>
            <w:vAlign w:val="bottom"/>
          </w:tcPr>
          <w:p w14:paraId="2E5698B0" w14:textId="5B97C9A0" w:rsidR="00A17B67" w:rsidRPr="00885479" w:rsidRDefault="00A17B67" w:rsidP="00A17B67">
            <w:pPr>
              <w:pStyle w:val="TabletextBold"/>
              <w:rPr>
                <w:szCs w:val="20"/>
              </w:rPr>
            </w:pPr>
            <w:r w:rsidRPr="00885479">
              <w:rPr>
                <w:szCs w:val="20"/>
              </w:rPr>
              <w:t>EPRA vacancy rate</w:t>
            </w:r>
            <w:r w:rsidR="004946FA" w:rsidRPr="00B64915">
              <w:rPr>
                <w:szCs w:val="20"/>
                <w:vertAlign w:val="superscript"/>
              </w:rPr>
              <w:t>1</w:t>
            </w:r>
          </w:p>
        </w:tc>
        <w:tc>
          <w:tcPr>
            <w:tcW w:w="1333" w:type="dxa"/>
            <w:tcBorders>
              <w:top w:val="single" w:sz="4" w:space="0" w:color="808080" w:themeColor="background1" w:themeShade="80"/>
              <w:bottom w:val="single" w:sz="8" w:space="0" w:color="808080" w:themeColor="background1" w:themeShade="80"/>
            </w:tcBorders>
            <w:shd w:val="clear" w:color="auto" w:fill="auto"/>
            <w:vAlign w:val="bottom"/>
          </w:tcPr>
          <w:p w14:paraId="4B2C6FAE" w14:textId="77777777" w:rsidR="00A17B67" w:rsidRPr="00885479" w:rsidRDefault="00A17B67" w:rsidP="00A17B67">
            <w:pPr>
              <w:pStyle w:val="TableFiguresBold0"/>
            </w:pPr>
          </w:p>
        </w:tc>
        <w:tc>
          <w:tcPr>
            <w:tcW w:w="1276" w:type="dxa"/>
            <w:tcBorders>
              <w:top w:val="single" w:sz="4" w:space="0" w:color="808080" w:themeColor="background1" w:themeShade="80"/>
              <w:bottom w:val="single" w:sz="8" w:space="0" w:color="808080" w:themeColor="background1" w:themeShade="80"/>
            </w:tcBorders>
            <w:shd w:val="clear" w:color="auto" w:fill="auto"/>
            <w:vAlign w:val="bottom"/>
          </w:tcPr>
          <w:p w14:paraId="02C53497" w14:textId="650494A0" w:rsidR="00A17B67" w:rsidRPr="00885479" w:rsidRDefault="00E83694" w:rsidP="00A17B67">
            <w:pPr>
              <w:pStyle w:val="TableFiguresBold0"/>
            </w:pPr>
            <w:r w:rsidRPr="00885479">
              <w:t>3.</w:t>
            </w:r>
            <w:r w:rsidR="00885479" w:rsidRPr="00885479">
              <w:t>2</w:t>
            </w:r>
            <w:r w:rsidRPr="00885479">
              <w:t>%</w:t>
            </w:r>
          </w:p>
        </w:tc>
        <w:tc>
          <w:tcPr>
            <w:tcW w:w="1615" w:type="dxa"/>
            <w:tcBorders>
              <w:top w:val="single" w:sz="4" w:space="0" w:color="808080" w:themeColor="background1" w:themeShade="80"/>
              <w:bottom w:val="single" w:sz="8" w:space="0" w:color="808080" w:themeColor="background1" w:themeShade="80"/>
            </w:tcBorders>
            <w:vAlign w:val="bottom"/>
          </w:tcPr>
          <w:p w14:paraId="627F382E" w14:textId="4755890F" w:rsidR="00A17B67" w:rsidRPr="00885479" w:rsidRDefault="00885479" w:rsidP="00A17B67">
            <w:pPr>
              <w:pStyle w:val="TableFigures"/>
              <w:rPr>
                <w:b/>
              </w:rPr>
            </w:pPr>
            <w:r w:rsidRPr="00885479">
              <w:t>3.9</w:t>
            </w:r>
            <w:r w:rsidR="00E83694" w:rsidRPr="00885479">
              <w:t>%</w:t>
            </w:r>
          </w:p>
        </w:tc>
      </w:tr>
    </w:tbl>
    <w:p w14:paraId="4D24C716" w14:textId="77777777" w:rsidR="004946FA" w:rsidRDefault="004946FA" w:rsidP="004946FA">
      <w:pPr>
        <w:pStyle w:val="FootnotesNoSpace"/>
      </w:pPr>
    </w:p>
    <w:p w14:paraId="6133D95B" w14:textId="7A87F73D" w:rsidR="004946FA" w:rsidRPr="00B64915" w:rsidRDefault="004946FA" w:rsidP="00B64915">
      <w:pPr>
        <w:pStyle w:val="FootnotesNoSpace"/>
      </w:pPr>
      <w:r>
        <w:t xml:space="preserve">1 Vacancy rate percentages have been calculated using the figures presented in the table above in millions accurate to one decimal place. </w:t>
      </w:r>
    </w:p>
    <w:p w14:paraId="1611218A" w14:textId="2F442EA5" w:rsidR="00D565C4" w:rsidRDefault="00D565C4" w:rsidP="005E793C">
      <w:pPr>
        <w:pStyle w:val="Heading2"/>
      </w:pPr>
    </w:p>
    <w:p w14:paraId="65BE3AA5" w14:textId="4DDCA974" w:rsidR="00B940B6" w:rsidRDefault="00B940B6" w:rsidP="005E793C">
      <w:pPr>
        <w:pStyle w:val="Heading2"/>
      </w:pPr>
    </w:p>
    <w:p w14:paraId="255D94FE" w14:textId="1229A38D" w:rsidR="00B940B6" w:rsidRDefault="00B940B6" w:rsidP="005E793C">
      <w:pPr>
        <w:pStyle w:val="Heading2"/>
      </w:pPr>
    </w:p>
    <w:p w14:paraId="62741271" w14:textId="19F45810" w:rsidR="00B940B6" w:rsidRDefault="00B940B6" w:rsidP="005E793C">
      <w:pPr>
        <w:pStyle w:val="Heading2"/>
      </w:pPr>
    </w:p>
    <w:p w14:paraId="4DE31D93" w14:textId="1CF28059" w:rsidR="00B940B6" w:rsidRDefault="00B940B6" w:rsidP="005E793C">
      <w:pPr>
        <w:pStyle w:val="Heading2"/>
      </w:pPr>
    </w:p>
    <w:p w14:paraId="1E32980C" w14:textId="15FFC34D" w:rsidR="00B940B6" w:rsidRDefault="00B940B6" w:rsidP="005E793C">
      <w:pPr>
        <w:pStyle w:val="Heading2"/>
      </w:pPr>
    </w:p>
    <w:p w14:paraId="0FF42AA1" w14:textId="25142B2C" w:rsidR="00B940B6" w:rsidRDefault="00B940B6" w:rsidP="005E793C">
      <w:pPr>
        <w:pStyle w:val="Heading2"/>
      </w:pPr>
    </w:p>
    <w:p w14:paraId="11C8F1CE" w14:textId="64F135DD" w:rsidR="00B940B6" w:rsidRDefault="00B940B6" w:rsidP="005E793C">
      <w:pPr>
        <w:pStyle w:val="Heading2"/>
      </w:pPr>
    </w:p>
    <w:p w14:paraId="14AC4ACF" w14:textId="30BEB3C7" w:rsidR="00B940B6" w:rsidRDefault="00B940B6" w:rsidP="005E793C">
      <w:pPr>
        <w:pStyle w:val="Heading2"/>
      </w:pPr>
    </w:p>
    <w:p w14:paraId="1F03A533" w14:textId="69E54913" w:rsidR="00B940B6" w:rsidRDefault="00B940B6" w:rsidP="005E793C">
      <w:pPr>
        <w:pStyle w:val="Heading2"/>
      </w:pPr>
    </w:p>
    <w:p w14:paraId="1C315CE9" w14:textId="2CC6058D" w:rsidR="00B940B6" w:rsidRDefault="00B940B6" w:rsidP="005E793C">
      <w:pPr>
        <w:pStyle w:val="Heading2"/>
      </w:pPr>
    </w:p>
    <w:p w14:paraId="5787421B" w14:textId="77777777" w:rsidR="005F5CF1" w:rsidRDefault="005F5CF1" w:rsidP="005E793C">
      <w:pPr>
        <w:pStyle w:val="Heading2"/>
      </w:pPr>
    </w:p>
    <w:p w14:paraId="0D949528" w14:textId="502C88C1" w:rsidR="005E793C" w:rsidRPr="00885479" w:rsidRDefault="00335112" w:rsidP="005E793C">
      <w:pPr>
        <w:pStyle w:val="Heading2"/>
        <w:rPr>
          <w:sz w:val="20"/>
        </w:rPr>
      </w:pPr>
      <w:r w:rsidRPr="00B64915">
        <w:lastRenderedPageBreak/>
        <w:t>T</w:t>
      </w:r>
      <w:r w:rsidR="005E793C" w:rsidRPr="00335112">
        <w:rPr>
          <w:sz w:val="20"/>
        </w:rPr>
        <w:t>A</w:t>
      </w:r>
      <w:r w:rsidR="005E793C" w:rsidRPr="00885479">
        <w:rPr>
          <w:sz w:val="20"/>
        </w:rPr>
        <w:t xml:space="preserve">BLE </w:t>
      </w:r>
      <w:r w:rsidR="00D46885" w:rsidRPr="00885479">
        <w:rPr>
          <w:sz w:val="20"/>
        </w:rPr>
        <w:t>8</w:t>
      </w:r>
      <w:r w:rsidR="005E793C" w:rsidRPr="00885479">
        <w:rPr>
          <w:sz w:val="20"/>
        </w:rPr>
        <w:t>: TOTAL COST RATIO/EPRA COST RATIO</w:t>
      </w:r>
      <w:r w:rsidR="005E793C" w:rsidRPr="00885479">
        <w:rPr>
          <w:sz w:val="20"/>
        </w:rPr>
        <w:tab/>
      </w:r>
    </w:p>
    <w:tbl>
      <w:tblPr>
        <w:tblW w:w="10348" w:type="dxa"/>
        <w:tblCellMar>
          <w:left w:w="0" w:type="dxa"/>
          <w:right w:w="0" w:type="dxa"/>
        </w:tblCellMar>
        <w:tblLook w:val="01E0" w:firstRow="1" w:lastRow="1" w:firstColumn="1" w:lastColumn="1" w:noHBand="0" w:noVBand="0"/>
      </w:tblPr>
      <w:tblGrid>
        <w:gridCol w:w="7513"/>
        <w:gridCol w:w="851"/>
        <w:gridCol w:w="1134"/>
        <w:gridCol w:w="850"/>
      </w:tblGrid>
      <w:tr w:rsidR="005F6D8A" w:rsidRPr="00885479" w14:paraId="07EB6514" w14:textId="77777777" w:rsidTr="00735AFD">
        <w:tc>
          <w:tcPr>
            <w:tcW w:w="7513" w:type="dxa"/>
            <w:tcBorders>
              <w:bottom w:val="single" w:sz="8" w:space="0" w:color="808080" w:themeColor="background1" w:themeShade="80"/>
            </w:tcBorders>
            <w:shd w:val="clear" w:color="auto" w:fill="auto"/>
            <w:vAlign w:val="bottom"/>
          </w:tcPr>
          <w:p w14:paraId="182ACCDE" w14:textId="77777777" w:rsidR="005E793C" w:rsidRPr="00885479" w:rsidRDefault="005E793C" w:rsidP="00E30618">
            <w:pPr>
              <w:pStyle w:val="Tabletext"/>
              <w:spacing w:line="160" w:lineRule="atLeast"/>
            </w:pPr>
          </w:p>
        </w:tc>
        <w:tc>
          <w:tcPr>
            <w:tcW w:w="851" w:type="dxa"/>
            <w:tcBorders>
              <w:bottom w:val="single" w:sz="8" w:space="0" w:color="808080" w:themeColor="background1" w:themeShade="80"/>
            </w:tcBorders>
            <w:shd w:val="clear" w:color="auto" w:fill="auto"/>
            <w:vAlign w:val="bottom"/>
          </w:tcPr>
          <w:p w14:paraId="3D021001" w14:textId="77777777" w:rsidR="005E793C" w:rsidRPr="00B64915" w:rsidRDefault="005E793C" w:rsidP="00E30618">
            <w:pPr>
              <w:pStyle w:val="TableColHeadsBold0"/>
            </w:pPr>
            <w:r w:rsidRPr="00B64915">
              <w:t>Notes</w:t>
            </w:r>
          </w:p>
        </w:tc>
        <w:tc>
          <w:tcPr>
            <w:tcW w:w="1134" w:type="dxa"/>
            <w:tcBorders>
              <w:bottom w:val="single" w:sz="8" w:space="0" w:color="808080" w:themeColor="background1" w:themeShade="80"/>
            </w:tcBorders>
            <w:shd w:val="clear" w:color="auto" w:fill="auto"/>
            <w:vAlign w:val="bottom"/>
          </w:tcPr>
          <w:p w14:paraId="132CC86A" w14:textId="72B4D473" w:rsidR="005E793C" w:rsidRPr="00885479" w:rsidRDefault="005E793C" w:rsidP="00E30618">
            <w:pPr>
              <w:pStyle w:val="TableColHeadsBold0"/>
            </w:pPr>
            <w:r w:rsidRPr="00885479">
              <w:t>20</w:t>
            </w:r>
            <w:r w:rsidR="00E83694" w:rsidRPr="00885479">
              <w:t>2</w:t>
            </w:r>
            <w:r w:rsidR="00885479" w:rsidRPr="00885479">
              <w:t>1</w:t>
            </w:r>
            <w:r w:rsidRPr="00885479">
              <w:br/>
              <w:t xml:space="preserve"> £m</w:t>
            </w:r>
          </w:p>
        </w:tc>
        <w:tc>
          <w:tcPr>
            <w:tcW w:w="850" w:type="dxa"/>
            <w:tcBorders>
              <w:bottom w:val="single" w:sz="8" w:space="0" w:color="808080" w:themeColor="background1" w:themeShade="80"/>
            </w:tcBorders>
            <w:shd w:val="clear" w:color="auto" w:fill="auto"/>
            <w:vAlign w:val="bottom"/>
          </w:tcPr>
          <w:p w14:paraId="38113A03" w14:textId="0B680A09" w:rsidR="005E793C" w:rsidRPr="00885479" w:rsidRDefault="005E793C" w:rsidP="00E30618">
            <w:pPr>
              <w:pStyle w:val="TableColHeads"/>
              <w:spacing w:line="160" w:lineRule="atLeast"/>
            </w:pPr>
            <w:r w:rsidRPr="00885479">
              <w:t>20</w:t>
            </w:r>
            <w:r w:rsidR="00885479" w:rsidRPr="00885479">
              <w:t>20</w:t>
            </w:r>
            <w:r w:rsidRPr="00885479">
              <w:t xml:space="preserve"> </w:t>
            </w:r>
            <w:r w:rsidRPr="00885479">
              <w:br/>
              <w:t>£m</w:t>
            </w:r>
          </w:p>
        </w:tc>
      </w:tr>
      <w:tr w:rsidR="005F6D8A" w:rsidRPr="00885479" w14:paraId="1EC57790" w14:textId="77777777" w:rsidTr="00735AFD">
        <w:tc>
          <w:tcPr>
            <w:tcW w:w="7513" w:type="dxa"/>
            <w:tcBorders>
              <w:top w:val="single" w:sz="8" w:space="0" w:color="808080" w:themeColor="background1" w:themeShade="80"/>
            </w:tcBorders>
            <w:shd w:val="clear" w:color="auto" w:fill="auto"/>
            <w:vAlign w:val="bottom"/>
          </w:tcPr>
          <w:p w14:paraId="6C915787" w14:textId="77777777" w:rsidR="005E793C" w:rsidRPr="00885479" w:rsidRDefault="005E793C" w:rsidP="00E30618">
            <w:pPr>
              <w:pStyle w:val="TabletextBold"/>
              <w:rPr>
                <w:szCs w:val="20"/>
              </w:rPr>
            </w:pPr>
            <w:r w:rsidRPr="00885479">
              <w:rPr>
                <w:szCs w:val="20"/>
              </w:rPr>
              <w:t>Costs</w:t>
            </w:r>
          </w:p>
        </w:tc>
        <w:tc>
          <w:tcPr>
            <w:tcW w:w="851" w:type="dxa"/>
            <w:tcBorders>
              <w:top w:val="single" w:sz="8" w:space="0" w:color="808080" w:themeColor="background1" w:themeShade="80"/>
            </w:tcBorders>
            <w:shd w:val="clear" w:color="auto" w:fill="auto"/>
            <w:vAlign w:val="bottom"/>
          </w:tcPr>
          <w:p w14:paraId="1ED7B6C7" w14:textId="77777777" w:rsidR="005E793C" w:rsidRPr="00B64915" w:rsidRDefault="005E793C" w:rsidP="00E30618">
            <w:pPr>
              <w:pStyle w:val="TableFiguresBold0"/>
            </w:pPr>
          </w:p>
        </w:tc>
        <w:tc>
          <w:tcPr>
            <w:tcW w:w="1134" w:type="dxa"/>
            <w:tcBorders>
              <w:top w:val="single" w:sz="8" w:space="0" w:color="808080" w:themeColor="background1" w:themeShade="80"/>
            </w:tcBorders>
            <w:shd w:val="clear" w:color="auto" w:fill="auto"/>
            <w:vAlign w:val="bottom"/>
          </w:tcPr>
          <w:p w14:paraId="548BB6F3" w14:textId="77777777" w:rsidR="005E793C" w:rsidRPr="00885479" w:rsidRDefault="005E793C" w:rsidP="00E30618">
            <w:pPr>
              <w:pStyle w:val="TableFiguresBold0"/>
              <w:rPr>
                <w:b w:val="0"/>
              </w:rPr>
            </w:pPr>
          </w:p>
        </w:tc>
        <w:tc>
          <w:tcPr>
            <w:tcW w:w="850" w:type="dxa"/>
            <w:tcBorders>
              <w:top w:val="single" w:sz="8" w:space="0" w:color="808080" w:themeColor="background1" w:themeShade="80"/>
            </w:tcBorders>
            <w:shd w:val="clear" w:color="auto" w:fill="auto"/>
            <w:vAlign w:val="bottom"/>
          </w:tcPr>
          <w:p w14:paraId="0EF66D22" w14:textId="77777777" w:rsidR="005E793C" w:rsidRPr="00885479" w:rsidRDefault="005E793C" w:rsidP="00E30618">
            <w:pPr>
              <w:pStyle w:val="TableFiguresBold0"/>
              <w:rPr>
                <w:b w:val="0"/>
              </w:rPr>
            </w:pPr>
          </w:p>
        </w:tc>
      </w:tr>
      <w:tr w:rsidR="005F6D8A" w:rsidRPr="00F16CE9" w14:paraId="601B53E1" w14:textId="77777777" w:rsidTr="00735AFD">
        <w:tc>
          <w:tcPr>
            <w:tcW w:w="7513" w:type="dxa"/>
            <w:shd w:val="clear" w:color="auto" w:fill="auto"/>
            <w:vAlign w:val="bottom"/>
          </w:tcPr>
          <w:p w14:paraId="18888A5C" w14:textId="77777777" w:rsidR="00E83694" w:rsidRPr="00F16CE9" w:rsidRDefault="00E83694" w:rsidP="00E83694">
            <w:pPr>
              <w:pStyle w:val="Tabletext"/>
              <w:rPr>
                <w:szCs w:val="20"/>
                <w:vertAlign w:val="superscript"/>
              </w:rPr>
            </w:pPr>
            <w:r w:rsidRPr="00F16CE9">
              <w:rPr>
                <w:szCs w:val="20"/>
              </w:rPr>
              <w:t>Property operating expenses</w:t>
            </w:r>
            <w:r w:rsidRPr="00F16CE9">
              <w:rPr>
                <w:szCs w:val="20"/>
                <w:vertAlign w:val="superscript"/>
              </w:rPr>
              <w:t>1</w:t>
            </w:r>
          </w:p>
        </w:tc>
        <w:tc>
          <w:tcPr>
            <w:tcW w:w="851" w:type="dxa"/>
            <w:shd w:val="clear" w:color="auto" w:fill="auto"/>
            <w:vAlign w:val="bottom"/>
          </w:tcPr>
          <w:p w14:paraId="4930A3FE" w14:textId="77777777" w:rsidR="00E83694" w:rsidRPr="00B64915" w:rsidRDefault="00E83694" w:rsidP="00E83694">
            <w:pPr>
              <w:pStyle w:val="TableFigures"/>
            </w:pPr>
            <w:r w:rsidRPr="00B64915">
              <w:t>5</w:t>
            </w:r>
          </w:p>
        </w:tc>
        <w:tc>
          <w:tcPr>
            <w:tcW w:w="1134" w:type="dxa"/>
            <w:shd w:val="clear" w:color="auto" w:fill="auto"/>
            <w:vAlign w:val="bottom"/>
          </w:tcPr>
          <w:p w14:paraId="6A10266E" w14:textId="5230E877" w:rsidR="00E83694" w:rsidRPr="00F16CE9" w:rsidRDefault="00F16CE9" w:rsidP="00E83694">
            <w:pPr>
              <w:pStyle w:val="TableFiguresBold0"/>
            </w:pPr>
            <w:r w:rsidRPr="00F16CE9">
              <w:t>100</w:t>
            </w:r>
          </w:p>
        </w:tc>
        <w:tc>
          <w:tcPr>
            <w:tcW w:w="850" w:type="dxa"/>
            <w:vAlign w:val="bottom"/>
          </w:tcPr>
          <w:p w14:paraId="089F3E07" w14:textId="32CB0158" w:rsidR="00E83694" w:rsidRPr="00F16CE9" w:rsidRDefault="00F16CE9" w:rsidP="00E83694">
            <w:pPr>
              <w:pStyle w:val="TableFigures"/>
            </w:pPr>
            <w:r w:rsidRPr="00F16CE9">
              <w:t>88</w:t>
            </w:r>
          </w:p>
        </w:tc>
      </w:tr>
      <w:tr w:rsidR="005F6D8A" w:rsidRPr="00F16CE9" w14:paraId="0C56AD33" w14:textId="77777777" w:rsidTr="00735AFD">
        <w:tc>
          <w:tcPr>
            <w:tcW w:w="7513" w:type="dxa"/>
            <w:shd w:val="clear" w:color="auto" w:fill="auto"/>
            <w:vAlign w:val="bottom"/>
          </w:tcPr>
          <w:p w14:paraId="136DC791" w14:textId="77777777" w:rsidR="00E83694" w:rsidRPr="00F16CE9" w:rsidRDefault="00E83694" w:rsidP="00E83694">
            <w:pPr>
              <w:pStyle w:val="Tabletext"/>
              <w:rPr>
                <w:szCs w:val="20"/>
              </w:rPr>
            </w:pPr>
            <w:r w:rsidRPr="00F16CE9">
              <w:rPr>
                <w:szCs w:val="20"/>
              </w:rPr>
              <w:t>Administration expenses</w:t>
            </w:r>
          </w:p>
        </w:tc>
        <w:tc>
          <w:tcPr>
            <w:tcW w:w="851" w:type="dxa"/>
            <w:shd w:val="clear" w:color="auto" w:fill="auto"/>
            <w:vAlign w:val="bottom"/>
          </w:tcPr>
          <w:p w14:paraId="758DBD92" w14:textId="1BE59C34" w:rsidR="00E83694" w:rsidRPr="00B64915" w:rsidRDefault="00E83694" w:rsidP="00E83694">
            <w:pPr>
              <w:pStyle w:val="TableFigures"/>
            </w:pPr>
          </w:p>
        </w:tc>
        <w:tc>
          <w:tcPr>
            <w:tcW w:w="1134" w:type="dxa"/>
            <w:shd w:val="clear" w:color="auto" w:fill="auto"/>
            <w:vAlign w:val="bottom"/>
          </w:tcPr>
          <w:p w14:paraId="59AE7735" w14:textId="50574DFC" w:rsidR="00E83694" w:rsidRPr="00F16CE9" w:rsidRDefault="00F16CE9" w:rsidP="00E83694">
            <w:pPr>
              <w:pStyle w:val="TableFiguresBold0"/>
            </w:pPr>
            <w:r w:rsidRPr="00F16CE9">
              <w:t>59</w:t>
            </w:r>
          </w:p>
        </w:tc>
        <w:tc>
          <w:tcPr>
            <w:tcW w:w="850" w:type="dxa"/>
            <w:vAlign w:val="bottom"/>
          </w:tcPr>
          <w:p w14:paraId="15201F1F" w14:textId="0B86FE8A" w:rsidR="00E83694" w:rsidRPr="00F16CE9" w:rsidRDefault="00F16CE9" w:rsidP="00E83694">
            <w:pPr>
              <w:pStyle w:val="TableFigures"/>
            </w:pPr>
            <w:r w:rsidRPr="00F16CE9">
              <w:t>52</w:t>
            </w:r>
          </w:p>
        </w:tc>
      </w:tr>
      <w:tr w:rsidR="005F6D8A" w:rsidRPr="00F16CE9" w14:paraId="7CFEA81B" w14:textId="77777777" w:rsidTr="00735AFD">
        <w:tc>
          <w:tcPr>
            <w:tcW w:w="7513" w:type="dxa"/>
            <w:shd w:val="clear" w:color="auto" w:fill="auto"/>
            <w:vAlign w:val="bottom"/>
          </w:tcPr>
          <w:p w14:paraId="743F3532" w14:textId="63A0CC51" w:rsidR="00E83694" w:rsidRPr="00F16CE9" w:rsidRDefault="00E83694" w:rsidP="00E83694">
            <w:pPr>
              <w:pStyle w:val="Tabletext"/>
              <w:rPr>
                <w:szCs w:val="20"/>
              </w:rPr>
            </w:pPr>
            <w:r w:rsidRPr="00F16CE9">
              <w:rPr>
                <w:szCs w:val="20"/>
              </w:rPr>
              <w:t>Share of joint venture property operating and administration expense</w:t>
            </w:r>
            <w:r w:rsidR="008E56FC">
              <w:rPr>
                <w:szCs w:val="20"/>
              </w:rPr>
              <w:t>s</w:t>
            </w:r>
            <w:r w:rsidR="008E56FC" w:rsidRPr="00B64915">
              <w:rPr>
                <w:sz w:val="16"/>
                <w:szCs w:val="18"/>
                <w:vertAlign w:val="superscript"/>
              </w:rPr>
              <w:t>2</w:t>
            </w:r>
            <w:r w:rsidR="008E56FC">
              <w:rPr>
                <w:szCs w:val="20"/>
              </w:rPr>
              <w:t xml:space="preserve"> </w:t>
            </w:r>
          </w:p>
        </w:tc>
        <w:tc>
          <w:tcPr>
            <w:tcW w:w="851" w:type="dxa"/>
            <w:shd w:val="clear" w:color="auto" w:fill="auto"/>
            <w:vAlign w:val="bottom"/>
          </w:tcPr>
          <w:p w14:paraId="37E8BDCB" w14:textId="52A627AB" w:rsidR="00E83694" w:rsidRPr="00B64915" w:rsidRDefault="00E83694" w:rsidP="00E83694">
            <w:pPr>
              <w:pStyle w:val="TableFigures"/>
            </w:pPr>
            <w:r w:rsidRPr="00B64915">
              <w:t>6</w:t>
            </w:r>
          </w:p>
        </w:tc>
        <w:tc>
          <w:tcPr>
            <w:tcW w:w="1134" w:type="dxa"/>
            <w:shd w:val="clear" w:color="auto" w:fill="auto"/>
            <w:vAlign w:val="bottom"/>
          </w:tcPr>
          <w:p w14:paraId="76C5EDAF" w14:textId="477607EA" w:rsidR="00E83694" w:rsidRPr="00F16CE9" w:rsidRDefault="00F16CE9" w:rsidP="00E83694">
            <w:pPr>
              <w:pStyle w:val="TableFiguresBold0"/>
            </w:pPr>
            <w:r w:rsidRPr="00F16CE9">
              <w:t>48</w:t>
            </w:r>
          </w:p>
        </w:tc>
        <w:tc>
          <w:tcPr>
            <w:tcW w:w="850" w:type="dxa"/>
            <w:vAlign w:val="bottom"/>
          </w:tcPr>
          <w:p w14:paraId="223C43B8" w14:textId="26004808" w:rsidR="00E83694" w:rsidRPr="00F16CE9" w:rsidRDefault="00F16CE9" w:rsidP="00E83694">
            <w:pPr>
              <w:pStyle w:val="TableFigures"/>
            </w:pPr>
            <w:r w:rsidRPr="00F16CE9">
              <w:t>43</w:t>
            </w:r>
          </w:p>
        </w:tc>
      </w:tr>
      <w:tr w:rsidR="005F6D8A" w:rsidRPr="00F16CE9" w14:paraId="107BD499" w14:textId="77777777" w:rsidTr="00735AFD">
        <w:tc>
          <w:tcPr>
            <w:tcW w:w="7513" w:type="dxa"/>
            <w:shd w:val="clear" w:color="auto" w:fill="auto"/>
            <w:vAlign w:val="bottom"/>
          </w:tcPr>
          <w:p w14:paraId="508411D6" w14:textId="77777777" w:rsidR="00E83694" w:rsidRPr="00F16CE9" w:rsidRDefault="00E83694" w:rsidP="00E83694">
            <w:pPr>
              <w:pStyle w:val="Tabletext"/>
              <w:rPr>
                <w:szCs w:val="20"/>
              </w:rPr>
            </w:pPr>
            <w:r w:rsidRPr="00F16CE9">
              <w:rPr>
                <w:szCs w:val="20"/>
              </w:rPr>
              <w:t>Less:</w:t>
            </w:r>
          </w:p>
        </w:tc>
        <w:tc>
          <w:tcPr>
            <w:tcW w:w="851" w:type="dxa"/>
            <w:shd w:val="clear" w:color="auto" w:fill="auto"/>
            <w:vAlign w:val="bottom"/>
          </w:tcPr>
          <w:p w14:paraId="75AD2CA9" w14:textId="77777777" w:rsidR="00E83694" w:rsidRPr="00B64915" w:rsidRDefault="00E83694" w:rsidP="00E83694">
            <w:pPr>
              <w:pStyle w:val="TableFigures"/>
            </w:pPr>
          </w:p>
        </w:tc>
        <w:tc>
          <w:tcPr>
            <w:tcW w:w="1134" w:type="dxa"/>
            <w:shd w:val="clear" w:color="auto" w:fill="auto"/>
            <w:vAlign w:val="bottom"/>
          </w:tcPr>
          <w:p w14:paraId="0F973B25" w14:textId="77777777" w:rsidR="00E83694" w:rsidRPr="00F16CE9" w:rsidRDefault="00E83694" w:rsidP="00E83694">
            <w:pPr>
              <w:pStyle w:val="TableFiguresBracketsBold"/>
              <w:rPr>
                <w:b w:val="0"/>
              </w:rPr>
            </w:pPr>
          </w:p>
        </w:tc>
        <w:tc>
          <w:tcPr>
            <w:tcW w:w="850" w:type="dxa"/>
            <w:vAlign w:val="bottom"/>
          </w:tcPr>
          <w:p w14:paraId="37C4B5B6" w14:textId="77777777" w:rsidR="00E83694" w:rsidRPr="00F16CE9" w:rsidRDefault="00E83694" w:rsidP="00E83694">
            <w:pPr>
              <w:pStyle w:val="TableFigures"/>
            </w:pPr>
          </w:p>
        </w:tc>
      </w:tr>
      <w:tr w:rsidR="005F6D8A" w:rsidRPr="00F16CE9" w14:paraId="0ADC0443" w14:textId="77777777" w:rsidTr="00735AFD">
        <w:tc>
          <w:tcPr>
            <w:tcW w:w="7513" w:type="dxa"/>
            <w:tcBorders>
              <w:bottom w:val="single" w:sz="4" w:space="0" w:color="808080" w:themeColor="background1" w:themeShade="80"/>
            </w:tcBorders>
            <w:shd w:val="clear" w:color="auto" w:fill="auto"/>
            <w:vAlign w:val="bottom"/>
          </w:tcPr>
          <w:p w14:paraId="79979E03" w14:textId="2ACB3B49" w:rsidR="00E83694" w:rsidRPr="00F16CE9" w:rsidRDefault="00E83694" w:rsidP="00E83694">
            <w:pPr>
              <w:pStyle w:val="Tabletext"/>
              <w:rPr>
                <w:szCs w:val="20"/>
                <w:vertAlign w:val="superscript"/>
              </w:rPr>
            </w:pPr>
            <w:r w:rsidRPr="00F16CE9">
              <w:rPr>
                <w:szCs w:val="20"/>
              </w:rPr>
              <w:t xml:space="preserve">Joint venture property management fee income, </w:t>
            </w:r>
            <w:r w:rsidR="00D46885" w:rsidRPr="00F16CE9">
              <w:rPr>
                <w:szCs w:val="20"/>
              </w:rPr>
              <w:t xml:space="preserve">service charge income, </w:t>
            </w:r>
            <w:r w:rsidRPr="00F16CE9">
              <w:rPr>
                <w:szCs w:val="20"/>
              </w:rPr>
              <w:t>management fees and other costs recovered through rents but not separately invoiced</w:t>
            </w:r>
            <w:r w:rsidR="004946FA">
              <w:rPr>
                <w:szCs w:val="20"/>
                <w:vertAlign w:val="superscript"/>
              </w:rPr>
              <w:t>3</w:t>
            </w:r>
          </w:p>
        </w:tc>
        <w:tc>
          <w:tcPr>
            <w:tcW w:w="851" w:type="dxa"/>
            <w:tcBorders>
              <w:bottom w:val="single" w:sz="4" w:space="0" w:color="808080" w:themeColor="background1" w:themeShade="80"/>
            </w:tcBorders>
            <w:shd w:val="clear" w:color="auto" w:fill="auto"/>
            <w:vAlign w:val="bottom"/>
          </w:tcPr>
          <w:p w14:paraId="4895CE47" w14:textId="77777777" w:rsidR="00E83694" w:rsidRPr="00B64915" w:rsidRDefault="00E83694" w:rsidP="00E83694">
            <w:pPr>
              <w:pStyle w:val="TableFigures"/>
            </w:pPr>
          </w:p>
        </w:tc>
        <w:tc>
          <w:tcPr>
            <w:tcW w:w="1134" w:type="dxa"/>
            <w:tcBorders>
              <w:bottom w:val="single" w:sz="4" w:space="0" w:color="808080" w:themeColor="background1" w:themeShade="80"/>
            </w:tcBorders>
            <w:shd w:val="clear" w:color="auto" w:fill="auto"/>
            <w:vAlign w:val="bottom"/>
          </w:tcPr>
          <w:p w14:paraId="361756EE" w14:textId="51AE1CA9" w:rsidR="00E83694" w:rsidRPr="00F16CE9" w:rsidRDefault="00E83694" w:rsidP="00E83694">
            <w:pPr>
              <w:pStyle w:val="TableFiguresBracketsBold"/>
            </w:pPr>
            <w:r w:rsidRPr="00F16CE9">
              <w:t>(</w:t>
            </w:r>
            <w:r w:rsidR="00F16CE9" w:rsidRPr="00F16CE9">
              <w:t>10</w:t>
            </w:r>
            <w:r w:rsidR="004946FA">
              <w:t>4</w:t>
            </w:r>
            <w:r w:rsidRPr="00F16CE9">
              <w:t>)</w:t>
            </w:r>
          </w:p>
        </w:tc>
        <w:tc>
          <w:tcPr>
            <w:tcW w:w="850" w:type="dxa"/>
            <w:tcBorders>
              <w:bottom w:val="single" w:sz="4" w:space="0" w:color="808080" w:themeColor="background1" w:themeShade="80"/>
            </w:tcBorders>
            <w:vAlign w:val="bottom"/>
          </w:tcPr>
          <w:p w14:paraId="386EB9D5" w14:textId="44A01CE3" w:rsidR="00E83694" w:rsidRPr="00F16CE9" w:rsidRDefault="00E83694" w:rsidP="00E83694">
            <w:pPr>
              <w:pStyle w:val="TableFiguresBrackets"/>
            </w:pPr>
            <w:r w:rsidRPr="00F16CE9">
              <w:t>(</w:t>
            </w:r>
            <w:r w:rsidR="00F16CE9" w:rsidRPr="00F16CE9">
              <w:t>88</w:t>
            </w:r>
            <w:r w:rsidRPr="00F16CE9">
              <w:t>)</w:t>
            </w:r>
          </w:p>
        </w:tc>
      </w:tr>
      <w:tr w:rsidR="005F6D8A" w:rsidRPr="00F16CE9" w14:paraId="265AC063" w14:textId="77777777" w:rsidTr="00735AFD">
        <w:tc>
          <w:tcPr>
            <w:tcW w:w="7513" w:type="dxa"/>
            <w:tcBorders>
              <w:top w:val="single" w:sz="4" w:space="0" w:color="808080" w:themeColor="background1" w:themeShade="80"/>
            </w:tcBorders>
            <w:shd w:val="clear" w:color="auto" w:fill="auto"/>
            <w:vAlign w:val="bottom"/>
          </w:tcPr>
          <w:p w14:paraId="359C36B0" w14:textId="77777777" w:rsidR="00E83694" w:rsidRPr="00F16CE9" w:rsidRDefault="00E83694" w:rsidP="00E83694">
            <w:pPr>
              <w:pStyle w:val="Tabletext"/>
              <w:rPr>
                <w:b/>
                <w:szCs w:val="20"/>
              </w:rPr>
            </w:pPr>
            <w:r w:rsidRPr="00F16CE9">
              <w:rPr>
                <w:b/>
                <w:szCs w:val="20"/>
              </w:rPr>
              <w:t>Total costs (A)</w:t>
            </w:r>
          </w:p>
        </w:tc>
        <w:tc>
          <w:tcPr>
            <w:tcW w:w="851" w:type="dxa"/>
            <w:tcBorders>
              <w:top w:val="single" w:sz="4" w:space="0" w:color="808080" w:themeColor="background1" w:themeShade="80"/>
            </w:tcBorders>
            <w:shd w:val="clear" w:color="auto" w:fill="auto"/>
            <w:vAlign w:val="bottom"/>
          </w:tcPr>
          <w:p w14:paraId="44EAC831" w14:textId="77777777" w:rsidR="00E83694" w:rsidRPr="00B64915" w:rsidRDefault="00E83694" w:rsidP="00E83694">
            <w:pPr>
              <w:pStyle w:val="TableFigures"/>
            </w:pPr>
          </w:p>
        </w:tc>
        <w:tc>
          <w:tcPr>
            <w:tcW w:w="1134" w:type="dxa"/>
            <w:tcBorders>
              <w:top w:val="single" w:sz="4" w:space="0" w:color="808080" w:themeColor="background1" w:themeShade="80"/>
            </w:tcBorders>
            <w:shd w:val="clear" w:color="auto" w:fill="auto"/>
            <w:vAlign w:val="bottom"/>
          </w:tcPr>
          <w:p w14:paraId="7E0ED9DC" w14:textId="1F8E61A1" w:rsidR="00E83694" w:rsidRPr="00F16CE9" w:rsidRDefault="00F16CE9" w:rsidP="00E83694">
            <w:pPr>
              <w:pStyle w:val="TableFiguresBold0"/>
            </w:pPr>
            <w:r w:rsidRPr="00F16CE9">
              <w:t>10</w:t>
            </w:r>
            <w:r w:rsidR="004946FA">
              <w:t>3</w:t>
            </w:r>
          </w:p>
        </w:tc>
        <w:tc>
          <w:tcPr>
            <w:tcW w:w="850" w:type="dxa"/>
            <w:tcBorders>
              <w:top w:val="single" w:sz="4" w:space="0" w:color="808080" w:themeColor="background1" w:themeShade="80"/>
            </w:tcBorders>
            <w:vAlign w:val="bottom"/>
          </w:tcPr>
          <w:p w14:paraId="1AC8D9DD" w14:textId="4D74509E" w:rsidR="00E83694" w:rsidRPr="00F16CE9" w:rsidRDefault="00F16CE9" w:rsidP="00E83694">
            <w:pPr>
              <w:pStyle w:val="TableFigures"/>
            </w:pPr>
            <w:r w:rsidRPr="00F16CE9">
              <w:t>95</w:t>
            </w:r>
          </w:p>
        </w:tc>
      </w:tr>
      <w:tr w:rsidR="005F6D8A" w:rsidRPr="00F16CE9" w14:paraId="095C45B5" w14:textId="77777777" w:rsidTr="00735AFD">
        <w:tc>
          <w:tcPr>
            <w:tcW w:w="7513" w:type="dxa"/>
            <w:shd w:val="clear" w:color="auto" w:fill="auto"/>
            <w:vAlign w:val="bottom"/>
          </w:tcPr>
          <w:p w14:paraId="02936C49" w14:textId="77777777" w:rsidR="00E83694" w:rsidRPr="00F16CE9" w:rsidRDefault="00E83694" w:rsidP="00E83694">
            <w:pPr>
              <w:pStyle w:val="Tabletext"/>
            </w:pPr>
            <w:r w:rsidRPr="00F16CE9">
              <w:rPr>
                <w:b/>
                <w:bCs/>
              </w:rPr>
              <w:t xml:space="preserve">Gross rental income </w:t>
            </w:r>
          </w:p>
        </w:tc>
        <w:tc>
          <w:tcPr>
            <w:tcW w:w="851" w:type="dxa"/>
            <w:shd w:val="clear" w:color="auto" w:fill="auto"/>
            <w:vAlign w:val="bottom"/>
          </w:tcPr>
          <w:p w14:paraId="6CADE995" w14:textId="77777777" w:rsidR="00E83694" w:rsidRPr="00B64915" w:rsidRDefault="00E83694" w:rsidP="00E83694">
            <w:pPr>
              <w:pStyle w:val="TableFigures"/>
            </w:pPr>
          </w:p>
        </w:tc>
        <w:tc>
          <w:tcPr>
            <w:tcW w:w="1134" w:type="dxa"/>
            <w:shd w:val="clear" w:color="auto" w:fill="auto"/>
            <w:vAlign w:val="bottom"/>
          </w:tcPr>
          <w:p w14:paraId="66E6FAC1" w14:textId="77777777" w:rsidR="00E83694" w:rsidRPr="00F16CE9" w:rsidRDefault="00E83694" w:rsidP="00E83694">
            <w:pPr>
              <w:pStyle w:val="TableFiguresBracketsBold"/>
              <w:rPr>
                <w:b w:val="0"/>
              </w:rPr>
            </w:pPr>
          </w:p>
        </w:tc>
        <w:tc>
          <w:tcPr>
            <w:tcW w:w="850" w:type="dxa"/>
            <w:vAlign w:val="bottom"/>
          </w:tcPr>
          <w:p w14:paraId="462EB82C" w14:textId="77777777" w:rsidR="00E83694" w:rsidRPr="00F16CE9" w:rsidRDefault="00E83694" w:rsidP="00E83694">
            <w:pPr>
              <w:pStyle w:val="TableFigures"/>
            </w:pPr>
          </w:p>
        </w:tc>
      </w:tr>
      <w:tr w:rsidR="005F6D8A" w:rsidRPr="00F16CE9" w14:paraId="0074E17F" w14:textId="77777777" w:rsidTr="00735AFD">
        <w:tc>
          <w:tcPr>
            <w:tcW w:w="7513" w:type="dxa"/>
            <w:shd w:val="clear" w:color="auto" w:fill="auto"/>
            <w:vAlign w:val="bottom"/>
          </w:tcPr>
          <w:p w14:paraId="33EADC70" w14:textId="77777777" w:rsidR="00E83694" w:rsidRPr="00F16CE9" w:rsidRDefault="00E83694" w:rsidP="00E83694">
            <w:pPr>
              <w:pStyle w:val="Tabletext"/>
              <w:rPr>
                <w:szCs w:val="20"/>
              </w:rPr>
            </w:pPr>
            <w:r w:rsidRPr="00F16CE9">
              <w:rPr>
                <w:szCs w:val="20"/>
              </w:rPr>
              <w:t>Gross rental income</w:t>
            </w:r>
          </w:p>
        </w:tc>
        <w:tc>
          <w:tcPr>
            <w:tcW w:w="851" w:type="dxa"/>
            <w:shd w:val="clear" w:color="auto" w:fill="auto"/>
            <w:vAlign w:val="bottom"/>
          </w:tcPr>
          <w:p w14:paraId="54178A8E" w14:textId="4B4CAE7A" w:rsidR="00E83694" w:rsidRPr="00B64915" w:rsidRDefault="00E83694" w:rsidP="00E83694">
            <w:pPr>
              <w:pStyle w:val="TableFigures"/>
            </w:pPr>
            <w:r w:rsidRPr="00B64915">
              <w:t>4</w:t>
            </w:r>
          </w:p>
        </w:tc>
        <w:tc>
          <w:tcPr>
            <w:tcW w:w="1134" w:type="dxa"/>
            <w:shd w:val="clear" w:color="auto" w:fill="auto"/>
            <w:vAlign w:val="bottom"/>
          </w:tcPr>
          <w:p w14:paraId="262B4992" w14:textId="2A0115A7" w:rsidR="00E83694" w:rsidRPr="00F16CE9" w:rsidRDefault="00F16CE9" w:rsidP="00E83694">
            <w:pPr>
              <w:pStyle w:val="TableFiguresBold0"/>
            </w:pPr>
            <w:r w:rsidRPr="00F16CE9">
              <w:t>447</w:t>
            </w:r>
          </w:p>
        </w:tc>
        <w:tc>
          <w:tcPr>
            <w:tcW w:w="850" w:type="dxa"/>
            <w:vAlign w:val="bottom"/>
          </w:tcPr>
          <w:p w14:paraId="65B233AA" w14:textId="7E1BEC39" w:rsidR="00E83694" w:rsidRPr="00F16CE9" w:rsidRDefault="00F16CE9" w:rsidP="00E83694">
            <w:pPr>
              <w:pStyle w:val="TableFigures"/>
            </w:pPr>
            <w:r w:rsidRPr="00F16CE9">
              <w:t>393</w:t>
            </w:r>
          </w:p>
        </w:tc>
      </w:tr>
      <w:tr w:rsidR="005F6D8A" w:rsidRPr="00F16CE9" w14:paraId="2B093A43" w14:textId="77777777" w:rsidTr="00735AFD">
        <w:tc>
          <w:tcPr>
            <w:tcW w:w="7513" w:type="dxa"/>
            <w:shd w:val="clear" w:color="auto" w:fill="auto"/>
            <w:vAlign w:val="bottom"/>
          </w:tcPr>
          <w:p w14:paraId="1EFB655C" w14:textId="77777777" w:rsidR="00E83694" w:rsidRPr="00F16CE9" w:rsidRDefault="00E83694" w:rsidP="00E83694">
            <w:pPr>
              <w:pStyle w:val="Tabletext"/>
              <w:rPr>
                <w:szCs w:val="20"/>
              </w:rPr>
            </w:pPr>
            <w:r w:rsidRPr="00F16CE9">
              <w:rPr>
                <w:szCs w:val="20"/>
              </w:rPr>
              <w:t>Share of joint venture property gross rental income</w:t>
            </w:r>
          </w:p>
        </w:tc>
        <w:tc>
          <w:tcPr>
            <w:tcW w:w="851" w:type="dxa"/>
            <w:shd w:val="clear" w:color="auto" w:fill="auto"/>
            <w:vAlign w:val="bottom"/>
          </w:tcPr>
          <w:p w14:paraId="2D6C31F2" w14:textId="57CE529D" w:rsidR="00E83694" w:rsidRPr="00B64915" w:rsidRDefault="00E83694" w:rsidP="00E83694">
            <w:pPr>
              <w:pStyle w:val="TableFigures"/>
            </w:pPr>
            <w:r w:rsidRPr="00B64915">
              <w:t>6</w:t>
            </w:r>
          </w:p>
        </w:tc>
        <w:tc>
          <w:tcPr>
            <w:tcW w:w="1134" w:type="dxa"/>
            <w:shd w:val="clear" w:color="auto" w:fill="auto"/>
            <w:vAlign w:val="bottom"/>
          </w:tcPr>
          <w:p w14:paraId="2AC4E6BF" w14:textId="486150DA" w:rsidR="00E83694" w:rsidRPr="00F16CE9" w:rsidRDefault="00F16CE9" w:rsidP="00E83694">
            <w:pPr>
              <w:pStyle w:val="TableFiguresBold0"/>
            </w:pPr>
            <w:r w:rsidRPr="00F16CE9">
              <w:t>135</w:t>
            </w:r>
          </w:p>
        </w:tc>
        <w:tc>
          <w:tcPr>
            <w:tcW w:w="850" w:type="dxa"/>
            <w:vAlign w:val="bottom"/>
          </w:tcPr>
          <w:p w14:paraId="5ED4F6B4" w14:textId="1015595F" w:rsidR="00E83694" w:rsidRPr="00F16CE9" w:rsidRDefault="00F16CE9" w:rsidP="00E83694">
            <w:pPr>
              <w:pStyle w:val="TableFigures"/>
            </w:pPr>
            <w:r w:rsidRPr="00F16CE9">
              <w:t>121</w:t>
            </w:r>
          </w:p>
        </w:tc>
      </w:tr>
      <w:tr w:rsidR="005F6D8A" w:rsidRPr="00F16CE9" w14:paraId="76F1EF2A" w14:textId="77777777" w:rsidTr="00735AFD">
        <w:tc>
          <w:tcPr>
            <w:tcW w:w="7513" w:type="dxa"/>
            <w:shd w:val="clear" w:color="auto" w:fill="auto"/>
            <w:vAlign w:val="bottom"/>
          </w:tcPr>
          <w:p w14:paraId="1C0CD67D" w14:textId="77777777" w:rsidR="00E83694" w:rsidRPr="00F16CE9" w:rsidRDefault="00E83694" w:rsidP="00E83694">
            <w:pPr>
              <w:pStyle w:val="Tabletext"/>
              <w:rPr>
                <w:szCs w:val="20"/>
              </w:rPr>
            </w:pPr>
            <w:r w:rsidRPr="00F16CE9">
              <w:rPr>
                <w:szCs w:val="20"/>
              </w:rPr>
              <w:t>Less:</w:t>
            </w:r>
          </w:p>
        </w:tc>
        <w:tc>
          <w:tcPr>
            <w:tcW w:w="851" w:type="dxa"/>
            <w:shd w:val="clear" w:color="auto" w:fill="auto"/>
            <w:vAlign w:val="bottom"/>
          </w:tcPr>
          <w:p w14:paraId="338D2B17" w14:textId="77777777" w:rsidR="00E83694" w:rsidRPr="00B64915" w:rsidRDefault="00E83694" w:rsidP="00E83694">
            <w:pPr>
              <w:pStyle w:val="TableFiguresBracketsBold"/>
              <w:rPr>
                <w:b w:val="0"/>
              </w:rPr>
            </w:pPr>
          </w:p>
        </w:tc>
        <w:tc>
          <w:tcPr>
            <w:tcW w:w="1134" w:type="dxa"/>
            <w:shd w:val="clear" w:color="auto" w:fill="auto"/>
            <w:vAlign w:val="bottom"/>
          </w:tcPr>
          <w:p w14:paraId="49BAD53E" w14:textId="77777777" w:rsidR="00E83694" w:rsidRPr="00F16CE9" w:rsidRDefault="00E83694" w:rsidP="00E83694">
            <w:pPr>
              <w:pStyle w:val="TableFigures"/>
            </w:pPr>
          </w:p>
        </w:tc>
        <w:tc>
          <w:tcPr>
            <w:tcW w:w="850" w:type="dxa"/>
            <w:vAlign w:val="bottom"/>
          </w:tcPr>
          <w:p w14:paraId="1F9374BB" w14:textId="77777777" w:rsidR="00E83694" w:rsidRPr="00F16CE9" w:rsidRDefault="00E83694" w:rsidP="00E83694">
            <w:pPr>
              <w:pStyle w:val="TableFigures"/>
            </w:pPr>
          </w:p>
        </w:tc>
      </w:tr>
      <w:tr w:rsidR="005F6D8A" w:rsidRPr="00F16CE9" w14:paraId="4A354C3E" w14:textId="77777777" w:rsidTr="00735AFD">
        <w:tc>
          <w:tcPr>
            <w:tcW w:w="7513" w:type="dxa"/>
            <w:tcBorders>
              <w:bottom w:val="single" w:sz="4" w:space="0" w:color="808080" w:themeColor="background1" w:themeShade="80"/>
            </w:tcBorders>
            <w:shd w:val="clear" w:color="auto" w:fill="auto"/>
            <w:vAlign w:val="bottom"/>
          </w:tcPr>
          <w:p w14:paraId="3A71182B" w14:textId="788AF35E" w:rsidR="00E83694" w:rsidRPr="00F16CE9" w:rsidRDefault="00E83694" w:rsidP="00E83694">
            <w:pPr>
              <w:pStyle w:val="Tabletext"/>
              <w:rPr>
                <w:szCs w:val="20"/>
              </w:rPr>
            </w:pPr>
            <w:r w:rsidRPr="00F16CE9">
              <w:rPr>
                <w:szCs w:val="20"/>
              </w:rPr>
              <w:t>Service charge income, management fees and other costs recovered through rents but not separately invoiced</w:t>
            </w:r>
            <w:r w:rsidR="00064621">
              <w:rPr>
                <w:szCs w:val="20"/>
                <w:vertAlign w:val="superscript"/>
              </w:rPr>
              <w:t>3</w:t>
            </w:r>
          </w:p>
        </w:tc>
        <w:tc>
          <w:tcPr>
            <w:tcW w:w="851" w:type="dxa"/>
            <w:tcBorders>
              <w:bottom w:val="single" w:sz="4" w:space="0" w:color="808080" w:themeColor="background1" w:themeShade="80"/>
            </w:tcBorders>
            <w:shd w:val="clear" w:color="auto" w:fill="auto"/>
            <w:vAlign w:val="bottom"/>
          </w:tcPr>
          <w:p w14:paraId="1FB8F17B" w14:textId="77777777" w:rsidR="00E83694" w:rsidRPr="00B64915" w:rsidRDefault="00E83694" w:rsidP="00E83694">
            <w:pPr>
              <w:pStyle w:val="TableFiguresBracketsBold"/>
              <w:rPr>
                <w:b w:val="0"/>
              </w:rPr>
            </w:pPr>
          </w:p>
        </w:tc>
        <w:tc>
          <w:tcPr>
            <w:tcW w:w="1134" w:type="dxa"/>
            <w:tcBorders>
              <w:bottom w:val="single" w:sz="4" w:space="0" w:color="808080" w:themeColor="background1" w:themeShade="80"/>
            </w:tcBorders>
            <w:shd w:val="clear" w:color="auto" w:fill="auto"/>
            <w:vAlign w:val="bottom"/>
          </w:tcPr>
          <w:p w14:paraId="1514B695" w14:textId="344415FC" w:rsidR="00E83694" w:rsidRPr="00F16CE9" w:rsidRDefault="00985BD8" w:rsidP="00E83694">
            <w:pPr>
              <w:pStyle w:val="TableFiguresBracketsBold"/>
            </w:pPr>
            <w:r w:rsidRPr="00F16CE9">
              <w:t>(</w:t>
            </w:r>
            <w:r w:rsidR="00F16CE9" w:rsidRPr="00F16CE9">
              <w:t>7</w:t>
            </w:r>
            <w:r w:rsidR="004946FA">
              <w:t>8</w:t>
            </w:r>
            <w:r w:rsidRPr="00F16CE9">
              <w:t>)</w:t>
            </w:r>
          </w:p>
        </w:tc>
        <w:tc>
          <w:tcPr>
            <w:tcW w:w="850" w:type="dxa"/>
            <w:tcBorders>
              <w:bottom w:val="single" w:sz="4" w:space="0" w:color="808080" w:themeColor="background1" w:themeShade="80"/>
            </w:tcBorders>
            <w:vAlign w:val="bottom"/>
          </w:tcPr>
          <w:p w14:paraId="56AD1CC3" w14:textId="2A86D1C0" w:rsidR="00E83694" w:rsidRPr="00F16CE9" w:rsidRDefault="00E83694" w:rsidP="00B64915">
            <w:pPr>
              <w:pStyle w:val="TableFiguresBrackets"/>
            </w:pPr>
            <w:r w:rsidRPr="00F16CE9">
              <w:t>(</w:t>
            </w:r>
            <w:r w:rsidR="00F16CE9" w:rsidRPr="00F16CE9">
              <w:t>66</w:t>
            </w:r>
            <w:r w:rsidRPr="00F16CE9">
              <w:t>)</w:t>
            </w:r>
          </w:p>
        </w:tc>
      </w:tr>
      <w:tr w:rsidR="005F6D8A" w:rsidRPr="00F16CE9" w14:paraId="7FCCE5EF" w14:textId="77777777" w:rsidTr="00735AFD">
        <w:tc>
          <w:tcPr>
            <w:tcW w:w="7513" w:type="dxa"/>
            <w:tcBorders>
              <w:top w:val="single" w:sz="4" w:space="0" w:color="808080" w:themeColor="background1" w:themeShade="80"/>
            </w:tcBorders>
            <w:shd w:val="clear" w:color="auto" w:fill="auto"/>
            <w:vAlign w:val="bottom"/>
          </w:tcPr>
          <w:p w14:paraId="79BAB379" w14:textId="77777777" w:rsidR="00E83694" w:rsidRPr="00F16CE9" w:rsidRDefault="00E83694" w:rsidP="00E83694">
            <w:pPr>
              <w:pStyle w:val="Tabletext"/>
              <w:rPr>
                <w:b/>
                <w:szCs w:val="20"/>
              </w:rPr>
            </w:pPr>
            <w:r w:rsidRPr="00F16CE9">
              <w:rPr>
                <w:b/>
                <w:szCs w:val="20"/>
              </w:rPr>
              <w:t>Total gross rental income (B)</w:t>
            </w:r>
          </w:p>
        </w:tc>
        <w:tc>
          <w:tcPr>
            <w:tcW w:w="851" w:type="dxa"/>
            <w:tcBorders>
              <w:top w:val="single" w:sz="4" w:space="0" w:color="808080" w:themeColor="background1" w:themeShade="80"/>
            </w:tcBorders>
            <w:shd w:val="clear" w:color="auto" w:fill="auto"/>
          </w:tcPr>
          <w:p w14:paraId="0A8417B4" w14:textId="77777777" w:rsidR="00E83694" w:rsidRPr="00B64915" w:rsidRDefault="00E83694" w:rsidP="00E83694">
            <w:pPr>
              <w:pStyle w:val="TableFiguresBracketsBold"/>
            </w:pPr>
          </w:p>
        </w:tc>
        <w:tc>
          <w:tcPr>
            <w:tcW w:w="1134" w:type="dxa"/>
            <w:tcBorders>
              <w:top w:val="single" w:sz="4" w:space="0" w:color="808080" w:themeColor="background1" w:themeShade="80"/>
            </w:tcBorders>
            <w:shd w:val="clear" w:color="auto" w:fill="auto"/>
            <w:vAlign w:val="bottom"/>
          </w:tcPr>
          <w:p w14:paraId="088E19DA" w14:textId="330C3CBD" w:rsidR="00E83694" w:rsidRPr="00F16CE9" w:rsidRDefault="00F16CE9" w:rsidP="00E83694">
            <w:pPr>
              <w:pStyle w:val="TableFiguresBold0"/>
            </w:pPr>
            <w:r w:rsidRPr="00F16CE9">
              <w:t>50</w:t>
            </w:r>
            <w:r w:rsidR="004946FA">
              <w:t>4</w:t>
            </w:r>
          </w:p>
        </w:tc>
        <w:tc>
          <w:tcPr>
            <w:tcW w:w="850" w:type="dxa"/>
            <w:tcBorders>
              <w:top w:val="single" w:sz="4" w:space="0" w:color="808080" w:themeColor="background1" w:themeShade="80"/>
            </w:tcBorders>
            <w:vAlign w:val="bottom"/>
          </w:tcPr>
          <w:p w14:paraId="4E828248" w14:textId="04BCE2BD" w:rsidR="00E83694" w:rsidRPr="00F16CE9" w:rsidRDefault="00F16CE9" w:rsidP="00E83694">
            <w:pPr>
              <w:pStyle w:val="TableFigures"/>
            </w:pPr>
            <w:r w:rsidRPr="00F16CE9">
              <w:t>448</w:t>
            </w:r>
          </w:p>
        </w:tc>
      </w:tr>
      <w:tr w:rsidR="005F6D8A" w:rsidRPr="00F16CE9" w14:paraId="2BFCDC0E" w14:textId="77777777" w:rsidTr="00735AFD">
        <w:tc>
          <w:tcPr>
            <w:tcW w:w="7513" w:type="dxa"/>
            <w:tcBorders>
              <w:bottom w:val="single" w:sz="8" w:space="0" w:color="808080" w:themeColor="background1" w:themeShade="80"/>
            </w:tcBorders>
            <w:shd w:val="clear" w:color="auto" w:fill="auto"/>
            <w:vAlign w:val="bottom"/>
          </w:tcPr>
          <w:p w14:paraId="729E0399" w14:textId="7AFFF885" w:rsidR="00E83694" w:rsidRPr="00F16CE9" w:rsidRDefault="00E83694" w:rsidP="00E83694">
            <w:pPr>
              <w:pStyle w:val="Tabletext"/>
              <w:rPr>
                <w:b/>
                <w:szCs w:val="20"/>
              </w:rPr>
            </w:pPr>
            <w:r w:rsidRPr="00F16CE9">
              <w:rPr>
                <w:b/>
                <w:szCs w:val="20"/>
              </w:rPr>
              <w:t>Total cost ratio (A)/(B)</w:t>
            </w:r>
            <w:r w:rsidR="005F5CF1" w:rsidRPr="00BA4E4C">
              <w:rPr>
                <w:b/>
                <w:szCs w:val="20"/>
                <w:vertAlign w:val="superscript"/>
              </w:rPr>
              <w:t>4</w:t>
            </w:r>
          </w:p>
        </w:tc>
        <w:tc>
          <w:tcPr>
            <w:tcW w:w="851" w:type="dxa"/>
            <w:tcBorders>
              <w:bottom w:val="single" w:sz="8" w:space="0" w:color="808080" w:themeColor="background1" w:themeShade="80"/>
            </w:tcBorders>
            <w:shd w:val="clear" w:color="auto" w:fill="auto"/>
          </w:tcPr>
          <w:p w14:paraId="32FCF580" w14:textId="77777777" w:rsidR="00E83694" w:rsidRPr="00B64915" w:rsidRDefault="00E83694" w:rsidP="00E83694">
            <w:pPr>
              <w:pStyle w:val="TableFiguresBracketsBold"/>
            </w:pPr>
          </w:p>
        </w:tc>
        <w:tc>
          <w:tcPr>
            <w:tcW w:w="1134" w:type="dxa"/>
            <w:tcBorders>
              <w:bottom w:val="single" w:sz="8" w:space="0" w:color="808080" w:themeColor="background1" w:themeShade="80"/>
            </w:tcBorders>
            <w:shd w:val="clear" w:color="auto" w:fill="auto"/>
            <w:vAlign w:val="bottom"/>
          </w:tcPr>
          <w:p w14:paraId="2D62FF26" w14:textId="7D33CEB9" w:rsidR="00E83694" w:rsidRPr="00F16CE9" w:rsidRDefault="00985BD8" w:rsidP="00E83694">
            <w:pPr>
              <w:pStyle w:val="TableFiguresBold0"/>
            </w:pPr>
            <w:r w:rsidRPr="00F16CE9">
              <w:t>2</w:t>
            </w:r>
            <w:r w:rsidR="00F16CE9" w:rsidRPr="00F16CE9">
              <w:t>0.2</w:t>
            </w:r>
            <w:r w:rsidRPr="00F16CE9">
              <w:t>%</w:t>
            </w:r>
          </w:p>
        </w:tc>
        <w:tc>
          <w:tcPr>
            <w:tcW w:w="850" w:type="dxa"/>
            <w:tcBorders>
              <w:bottom w:val="single" w:sz="8" w:space="0" w:color="808080" w:themeColor="background1" w:themeShade="80"/>
            </w:tcBorders>
            <w:vAlign w:val="bottom"/>
          </w:tcPr>
          <w:p w14:paraId="49E331DE" w14:textId="5D0AD91C" w:rsidR="00E83694" w:rsidRPr="00F16CE9" w:rsidRDefault="00E83694" w:rsidP="00E83694">
            <w:pPr>
              <w:pStyle w:val="TableFigures"/>
            </w:pPr>
            <w:r w:rsidRPr="00F16CE9">
              <w:t>2</w:t>
            </w:r>
            <w:r w:rsidR="00F16CE9" w:rsidRPr="00F16CE9">
              <w:t>1.1</w:t>
            </w:r>
            <w:r w:rsidRPr="00F16CE9">
              <w:t>%</w:t>
            </w:r>
          </w:p>
        </w:tc>
      </w:tr>
      <w:tr w:rsidR="005F6D8A" w:rsidRPr="00F16CE9" w14:paraId="5D23ACBE" w14:textId="77777777" w:rsidTr="00735AFD">
        <w:tc>
          <w:tcPr>
            <w:tcW w:w="7513" w:type="dxa"/>
            <w:tcBorders>
              <w:top w:val="single" w:sz="8" w:space="0" w:color="808080" w:themeColor="background1" w:themeShade="80"/>
            </w:tcBorders>
            <w:shd w:val="clear" w:color="auto" w:fill="auto"/>
            <w:vAlign w:val="bottom"/>
          </w:tcPr>
          <w:p w14:paraId="1E92C6BA" w14:textId="77777777" w:rsidR="00E83694" w:rsidRPr="00F16CE9" w:rsidRDefault="00E83694" w:rsidP="00E83694">
            <w:pPr>
              <w:pStyle w:val="Tabletext"/>
              <w:rPr>
                <w:b/>
                <w:szCs w:val="20"/>
              </w:rPr>
            </w:pPr>
            <w:r w:rsidRPr="00F16CE9">
              <w:rPr>
                <w:b/>
                <w:szCs w:val="20"/>
              </w:rPr>
              <w:t>Total costs (A)</w:t>
            </w:r>
          </w:p>
        </w:tc>
        <w:tc>
          <w:tcPr>
            <w:tcW w:w="851" w:type="dxa"/>
            <w:tcBorders>
              <w:top w:val="single" w:sz="8" w:space="0" w:color="808080" w:themeColor="background1" w:themeShade="80"/>
            </w:tcBorders>
            <w:shd w:val="clear" w:color="auto" w:fill="auto"/>
          </w:tcPr>
          <w:p w14:paraId="7FDE858A" w14:textId="77777777" w:rsidR="00E83694" w:rsidRPr="00B64915" w:rsidRDefault="00E83694" w:rsidP="00E83694">
            <w:pPr>
              <w:pStyle w:val="TableFiguresBracketsBold"/>
            </w:pPr>
          </w:p>
        </w:tc>
        <w:tc>
          <w:tcPr>
            <w:tcW w:w="1134" w:type="dxa"/>
            <w:tcBorders>
              <w:top w:val="single" w:sz="8" w:space="0" w:color="808080" w:themeColor="background1" w:themeShade="80"/>
            </w:tcBorders>
            <w:shd w:val="clear" w:color="auto" w:fill="auto"/>
            <w:vAlign w:val="bottom"/>
          </w:tcPr>
          <w:p w14:paraId="16B5F346" w14:textId="7782F07B" w:rsidR="00E83694" w:rsidRPr="00F16CE9" w:rsidRDefault="00F16CE9" w:rsidP="00E83694">
            <w:pPr>
              <w:pStyle w:val="TableFiguresBold0"/>
            </w:pPr>
            <w:r w:rsidRPr="00F16CE9">
              <w:t>10</w:t>
            </w:r>
            <w:r w:rsidR="004946FA">
              <w:t>3</w:t>
            </w:r>
          </w:p>
        </w:tc>
        <w:tc>
          <w:tcPr>
            <w:tcW w:w="850" w:type="dxa"/>
            <w:tcBorders>
              <w:top w:val="single" w:sz="8" w:space="0" w:color="808080" w:themeColor="background1" w:themeShade="80"/>
            </w:tcBorders>
            <w:vAlign w:val="bottom"/>
          </w:tcPr>
          <w:p w14:paraId="5D428CE2" w14:textId="38C3D234" w:rsidR="00E83694" w:rsidRPr="00F16CE9" w:rsidRDefault="00F16CE9" w:rsidP="00E83694">
            <w:pPr>
              <w:pStyle w:val="TableFigures"/>
            </w:pPr>
            <w:r w:rsidRPr="00F16CE9">
              <w:t>95</w:t>
            </w:r>
          </w:p>
        </w:tc>
      </w:tr>
      <w:tr w:rsidR="005F6D8A" w:rsidRPr="00F16CE9" w14:paraId="12F7694D" w14:textId="77777777" w:rsidTr="00735AFD">
        <w:tc>
          <w:tcPr>
            <w:tcW w:w="7513" w:type="dxa"/>
            <w:tcBorders>
              <w:bottom w:val="single" w:sz="8" w:space="0" w:color="808080" w:themeColor="background1" w:themeShade="80"/>
            </w:tcBorders>
            <w:shd w:val="clear" w:color="auto" w:fill="auto"/>
            <w:vAlign w:val="bottom"/>
          </w:tcPr>
          <w:p w14:paraId="3CA6CB6B" w14:textId="77777777" w:rsidR="00E83694" w:rsidRPr="00F16CE9" w:rsidRDefault="00E83694" w:rsidP="00E83694">
            <w:pPr>
              <w:pStyle w:val="Tabletext"/>
            </w:pPr>
            <w:r w:rsidRPr="00F16CE9">
              <w:t>Share based payments</w:t>
            </w:r>
          </w:p>
        </w:tc>
        <w:tc>
          <w:tcPr>
            <w:tcW w:w="851" w:type="dxa"/>
            <w:tcBorders>
              <w:bottom w:val="single" w:sz="8" w:space="0" w:color="808080" w:themeColor="background1" w:themeShade="80"/>
            </w:tcBorders>
            <w:shd w:val="clear" w:color="auto" w:fill="auto"/>
          </w:tcPr>
          <w:p w14:paraId="65D68BE7" w14:textId="21443824" w:rsidR="00E83694" w:rsidRPr="00B64915" w:rsidRDefault="00E83694" w:rsidP="00E83694">
            <w:pPr>
              <w:pStyle w:val="TableFiguresBracketsBold"/>
            </w:pPr>
          </w:p>
        </w:tc>
        <w:tc>
          <w:tcPr>
            <w:tcW w:w="1134" w:type="dxa"/>
            <w:tcBorders>
              <w:bottom w:val="single" w:sz="8" w:space="0" w:color="808080" w:themeColor="background1" w:themeShade="80"/>
            </w:tcBorders>
            <w:shd w:val="clear" w:color="auto" w:fill="auto"/>
            <w:vAlign w:val="bottom"/>
          </w:tcPr>
          <w:p w14:paraId="72C21A6C" w14:textId="36DFA1BC" w:rsidR="00E83694" w:rsidRPr="00F16CE9" w:rsidRDefault="00985BD8" w:rsidP="00B64915">
            <w:pPr>
              <w:pStyle w:val="TableFiguresBracketsBold"/>
            </w:pPr>
            <w:r w:rsidRPr="00F16CE9">
              <w:t>(1</w:t>
            </w:r>
            <w:r w:rsidR="00F16CE9" w:rsidRPr="00F16CE9">
              <w:t>3</w:t>
            </w:r>
            <w:r w:rsidRPr="00F16CE9">
              <w:t>)</w:t>
            </w:r>
          </w:p>
        </w:tc>
        <w:tc>
          <w:tcPr>
            <w:tcW w:w="850" w:type="dxa"/>
            <w:tcBorders>
              <w:bottom w:val="single" w:sz="8" w:space="0" w:color="808080" w:themeColor="background1" w:themeShade="80"/>
            </w:tcBorders>
            <w:vAlign w:val="bottom"/>
          </w:tcPr>
          <w:p w14:paraId="1B7C8498" w14:textId="4D7DB0FB" w:rsidR="00E83694" w:rsidRPr="00F16CE9" w:rsidRDefault="00E83694" w:rsidP="00B64915">
            <w:pPr>
              <w:pStyle w:val="TableFiguresBrackets"/>
            </w:pPr>
            <w:r w:rsidRPr="00F16CE9">
              <w:t>(1</w:t>
            </w:r>
            <w:r w:rsidR="00F16CE9" w:rsidRPr="00F16CE9">
              <w:t>0</w:t>
            </w:r>
            <w:r w:rsidRPr="00F16CE9">
              <w:t>)</w:t>
            </w:r>
          </w:p>
        </w:tc>
      </w:tr>
      <w:tr w:rsidR="005F6D8A" w:rsidRPr="00F16CE9" w14:paraId="33F15688" w14:textId="77777777" w:rsidTr="00735AFD">
        <w:tc>
          <w:tcPr>
            <w:tcW w:w="7513" w:type="dxa"/>
            <w:tcBorders>
              <w:top w:val="single" w:sz="8" w:space="0" w:color="808080" w:themeColor="background1" w:themeShade="80"/>
            </w:tcBorders>
            <w:shd w:val="clear" w:color="auto" w:fill="auto"/>
            <w:vAlign w:val="bottom"/>
          </w:tcPr>
          <w:p w14:paraId="388F7DA6" w14:textId="77777777" w:rsidR="00E83694" w:rsidRPr="00F16CE9" w:rsidRDefault="00E83694" w:rsidP="00E83694">
            <w:pPr>
              <w:pStyle w:val="Tabletext"/>
              <w:rPr>
                <w:b/>
                <w:szCs w:val="20"/>
              </w:rPr>
            </w:pPr>
            <w:r w:rsidRPr="00F16CE9">
              <w:rPr>
                <w:b/>
                <w:szCs w:val="20"/>
              </w:rPr>
              <w:t>Total costs after share based payments (C)</w:t>
            </w:r>
          </w:p>
        </w:tc>
        <w:tc>
          <w:tcPr>
            <w:tcW w:w="851" w:type="dxa"/>
            <w:tcBorders>
              <w:top w:val="single" w:sz="8" w:space="0" w:color="808080" w:themeColor="background1" w:themeShade="80"/>
            </w:tcBorders>
            <w:shd w:val="clear" w:color="auto" w:fill="auto"/>
          </w:tcPr>
          <w:p w14:paraId="73D41880" w14:textId="77777777" w:rsidR="00E83694" w:rsidRPr="00B64915" w:rsidRDefault="00E83694" w:rsidP="00E83694">
            <w:pPr>
              <w:pStyle w:val="TableFiguresBracketsBold"/>
            </w:pPr>
          </w:p>
        </w:tc>
        <w:tc>
          <w:tcPr>
            <w:tcW w:w="1134" w:type="dxa"/>
            <w:tcBorders>
              <w:top w:val="single" w:sz="8" w:space="0" w:color="808080" w:themeColor="background1" w:themeShade="80"/>
            </w:tcBorders>
            <w:shd w:val="clear" w:color="auto" w:fill="auto"/>
            <w:vAlign w:val="bottom"/>
          </w:tcPr>
          <w:p w14:paraId="2ABCE67B" w14:textId="75508602" w:rsidR="00E83694" w:rsidRPr="00F16CE9" w:rsidRDefault="00F16CE9" w:rsidP="00E83694">
            <w:pPr>
              <w:pStyle w:val="TableFiguresBold0"/>
            </w:pPr>
            <w:r w:rsidRPr="00F16CE9">
              <w:t>9</w:t>
            </w:r>
            <w:r w:rsidR="004946FA">
              <w:t>0</w:t>
            </w:r>
          </w:p>
        </w:tc>
        <w:tc>
          <w:tcPr>
            <w:tcW w:w="850" w:type="dxa"/>
            <w:tcBorders>
              <w:top w:val="single" w:sz="8" w:space="0" w:color="808080" w:themeColor="background1" w:themeShade="80"/>
            </w:tcBorders>
            <w:vAlign w:val="bottom"/>
          </w:tcPr>
          <w:p w14:paraId="2BE2B974" w14:textId="0755F54F" w:rsidR="00E83694" w:rsidRPr="00F16CE9" w:rsidRDefault="00F16CE9" w:rsidP="00E83694">
            <w:pPr>
              <w:pStyle w:val="TableFigures"/>
            </w:pPr>
            <w:r w:rsidRPr="00F16CE9">
              <w:t>85</w:t>
            </w:r>
          </w:p>
        </w:tc>
      </w:tr>
      <w:tr w:rsidR="005F6D8A" w:rsidRPr="00F16CE9" w14:paraId="7371B667" w14:textId="77777777" w:rsidTr="00735AFD">
        <w:tc>
          <w:tcPr>
            <w:tcW w:w="7513" w:type="dxa"/>
            <w:tcBorders>
              <w:bottom w:val="single" w:sz="8" w:space="0" w:color="808080" w:themeColor="background1" w:themeShade="80"/>
            </w:tcBorders>
            <w:shd w:val="clear" w:color="auto" w:fill="auto"/>
            <w:vAlign w:val="bottom"/>
          </w:tcPr>
          <w:p w14:paraId="4C916C82" w14:textId="38B08079" w:rsidR="00E83694" w:rsidRPr="00F16CE9" w:rsidRDefault="00E83694" w:rsidP="00E83694">
            <w:pPr>
              <w:pStyle w:val="Tabletext"/>
              <w:rPr>
                <w:b/>
                <w:szCs w:val="20"/>
              </w:rPr>
            </w:pPr>
            <w:r w:rsidRPr="00F16CE9">
              <w:rPr>
                <w:b/>
                <w:szCs w:val="20"/>
              </w:rPr>
              <w:t>Total cost ratio after share based payments (C)/(B)</w:t>
            </w:r>
            <w:r w:rsidR="005F5CF1" w:rsidRPr="00BA4E4C">
              <w:rPr>
                <w:b/>
                <w:szCs w:val="20"/>
                <w:vertAlign w:val="superscript"/>
              </w:rPr>
              <w:t>4</w:t>
            </w:r>
          </w:p>
        </w:tc>
        <w:tc>
          <w:tcPr>
            <w:tcW w:w="851" w:type="dxa"/>
            <w:tcBorders>
              <w:bottom w:val="single" w:sz="8" w:space="0" w:color="808080" w:themeColor="background1" w:themeShade="80"/>
            </w:tcBorders>
            <w:shd w:val="clear" w:color="auto" w:fill="auto"/>
          </w:tcPr>
          <w:p w14:paraId="01FC8D8C" w14:textId="77777777" w:rsidR="00E83694" w:rsidRPr="00B64915" w:rsidRDefault="00E83694" w:rsidP="00E83694">
            <w:pPr>
              <w:pStyle w:val="TableFiguresBracketsBold"/>
            </w:pPr>
          </w:p>
        </w:tc>
        <w:tc>
          <w:tcPr>
            <w:tcW w:w="1134" w:type="dxa"/>
            <w:tcBorders>
              <w:bottom w:val="single" w:sz="8" w:space="0" w:color="808080" w:themeColor="background1" w:themeShade="80"/>
            </w:tcBorders>
            <w:shd w:val="clear" w:color="auto" w:fill="auto"/>
            <w:vAlign w:val="bottom"/>
          </w:tcPr>
          <w:p w14:paraId="50CEF0ED" w14:textId="5A452D6D" w:rsidR="00E83694" w:rsidRPr="00F16CE9" w:rsidRDefault="00985BD8" w:rsidP="00E83694">
            <w:pPr>
              <w:pStyle w:val="TableFiguresBold0"/>
            </w:pPr>
            <w:r w:rsidRPr="00F16CE9">
              <w:t>1</w:t>
            </w:r>
            <w:r w:rsidR="00F16CE9" w:rsidRPr="00F16CE9">
              <w:t>7.6</w:t>
            </w:r>
            <w:r w:rsidRPr="00F16CE9">
              <w:t>%</w:t>
            </w:r>
          </w:p>
        </w:tc>
        <w:tc>
          <w:tcPr>
            <w:tcW w:w="850" w:type="dxa"/>
            <w:tcBorders>
              <w:bottom w:val="single" w:sz="8" w:space="0" w:color="808080" w:themeColor="background1" w:themeShade="80"/>
            </w:tcBorders>
            <w:vAlign w:val="bottom"/>
          </w:tcPr>
          <w:p w14:paraId="2DFD8F5D" w14:textId="396252E0" w:rsidR="00E83694" w:rsidRPr="00F16CE9" w:rsidRDefault="00E83694" w:rsidP="00E83694">
            <w:pPr>
              <w:pStyle w:val="TableFigures"/>
            </w:pPr>
            <w:r w:rsidRPr="00F16CE9">
              <w:t>1</w:t>
            </w:r>
            <w:r w:rsidR="00F16CE9" w:rsidRPr="00F16CE9">
              <w:t>8.8</w:t>
            </w:r>
            <w:r w:rsidRPr="00F16CE9">
              <w:t>%</w:t>
            </w:r>
          </w:p>
        </w:tc>
      </w:tr>
      <w:tr w:rsidR="005F6D8A" w:rsidRPr="00F16CE9" w14:paraId="11581DFE" w14:textId="77777777" w:rsidTr="00735AFD">
        <w:tc>
          <w:tcPr>
            <w:tcW w:w="7513" w:type="dxa"/>
            <w:tcBorders>
              <w:top w:val="single" w:sz="8" w:space="0" w:color="808080" w:themeColor="background1" w:themeShade="80"/>
            </w:tcBorders>
            <w:shd w:val="clear" w:color="auto" w:fill="auto"/>
            <w:vAlign w:val="bottom"/>
          </w:tcPr>
          <w:p w14:paraId="6C6F8287" w14:textId="77777777" w:rsidR="00E83694" w:rsidRPr="00F16CE9" w:rsidRDefault="00E83694" w:rsidP="00E83694">
            <w:pPr>
              <w:pStyle w:val="Tabletext"/>
              <w:rPr>
                <w:b/>
                <w:szCs w:val="20"/>
              </w:rPr>
            </w:pPr>
          </w:p>
        </w:tc>
        <w:tc>
          <w:tcPr>
            <w:tcW w:w="851" w:type="dxa"/>
            <w:tcBorders>
              <w:top w:val="single" w:sz="8" w:space="0" w:color="808080" w:themeColor="background1" w:themeShade="80"/>
            </w:tcBorders>
            <w:shd w:val="clear" w:color="auto" w:fill="auto"/>
          </w:tcPr>
          <w:p w14:paraId="0CEF71A7" w14:textId="77777777" w:rsidR="00E83694" w:rsidRPr="00B64915" w:rsidRDefault="00E83694" w:rsidP="00E83694">
            <w:pPr>
              <w:pStyle w:val="TableFiguresBracketsBold"/>
            </w:pPr>
          </w:p>
        </w:tc>
        <w:tc>
          <w:tcPr>
            <w:tcW w:w="1134" w:type="dxa"/>
            <w:tcBorders>
              <w:top w:val="single" w:sz="8" w:space="0" w:color="808080" w:themeColor="background1" w:themeShade="80"/>
            </w:tcBorders>
            <w:shd w:val="clear" w:color="auto" w:fill="auto"/>
            <w:vAlign w:val="bottom"/>
          </w:tcPr>
          <w:p w14:paraId="58E7C9D7" w14:textId="77777777" w:rsidR="00E83694" w:rsidRPr="00F16CE9" w:rsidRDefault="00E83694" w:rsidP="00E83694">
            <w:pPr>
              <w:pStyle w:val="TableFiguresBracketsBold"/>
              <w:rPr>
                <w:b w:val="0"/>
              </w:rPr>
            </w:pPr>
          </w:p>
        </w:tc>
        <w:tc>
          <w:tcPr>
            <w:tcW w:w="850" w:type="dxa"/>
            <w:tcBorders>
              <w:top w:val="single" w:sz="8" w:space="0" w:color="808080" w:themeColor="background1" w:themeShade="80"/>
            </w:tcBorders>
            <w:shd w:val="clear" w:color="auto" w:fill="auto"/>
            <w:vAlign w:val="bottom"/>
          </w:tcPr>
          <w:p w14:paraId="4F372375" w14:textId="77777777" w:rsidR="00E83694" w:rsidRPr="00F16CE9" w:rsidRDefault="00E83694" w:rsidP="00E83694">
            <w:pPr>
              <w:pStyle w:val="TableFiguresBracketsBold"/>
              <w:rPr>
                <w:b w:val="0"/>
              </w:rPr>
            </w:pPr>
          </w:p>
        </w:tc>
      </w:tr>
      <w:tr w:rsidR="005F6D8A" w:rsidRPr="00F16CE9" w14:paraId="2762A991" w14:textId="77777777" w:rsidTr="00735AFD">
        <w:tc>
          <w:tcPr>
            <w:tcW w:w="7513" w:type="dxa"/>
            <w:tcBorders>
              <w:bottom w:val="single" w:sz="12" w:space="0" w:color="808080" w:themeColor="background1" w:themeShade="80"/>
            </w:tcBorders>
            <w:shd w:val="clear" w:color="auto" w:fill="auto"/>
            <w:vAlign w:val="bottom"/>
          </w:tcPr>
          <w:p w14:paraId="7C834E9E" w14:textId="77777777" w:rsidR="00E83694" w:rsidRPr="00F16CE9" w:rsidRDefault="00E83694" w:rsidP="00E83694">
            <w:pPr>
              <w:pStyle w:val="Tabletext"/>
              <w:rPr>
                <w:b/>
                <w:szCs w:val="20"/>
              </w:rPr>
            </w:pPr>
            <w:r w:rsidRPr="00F16CE9">
              <w:rPr>
                <w:b/>
                <w:szCs w:val="20"/>
              </w:rPr>
              <w:t>EPRA cost ratio</w:t>
            </w:r>
          </w:p>
        </w:tc>
        <w:tc>
          <w:tcPr>
            <w:tcW w:w="851" w:type="dxa"/>
            <w:tcBorders>
              <w:bottom w:val="single" w:sz="12" w:space="0" w:color="808080" w:themeColor="background1" w:themeShade="80"/>
            </w:tcBorders>
            <w:shd w:val="clear" w:color="auto" w:fill="auto"/>
          </w:tcPr>
          <w:p w14:paraId="546C1030" w14:textId="77777777" w:rsidR="00E83694" w:rsidRPr="00B64915" w:rsidRDefault="00E83694" w:rsidP="00E83694">
            <w:pPr>
              <w:pStyle w:val="TableFiguresBracketsBold"/>
            </w:pPr>
          </w:p>
        </w:tc>
        <w:tc>
          <w:tcPr>
            <w:tcW w:w="1134" w:type="dxa"/>
            <w:tcBorders>
              <w:bottom w:val="single" w:sz="12" w:space="0" w:color="808080" w:themeColor="background1" w:themeShade="80"/>
            </w:tcBorders>
            <w:shd w:val="clear" w:color="auto" w:fill="auto"/>
            <w:vAlign w:val="bottom"/>
          </w:tcPr>
          <w:p w14:paraId="50B5E6F7" w14:textId="77777777" w:rsidR="00E83694" w:rsidRPr="00F16CE9" w:rsidRDefault="00E83694" w:rsidP="00E83694">
            <w:pPr>
              <w:pStyle w:val="TableFiguresBracketsBold"/>
              <w:rPr>
                <w:b w:val="0"/>
              </w:rPr>
            </w:pPr>
          </w:p>
        </w:tc>
        <w:tc>
          <w:tcPr>
            <w:tcW w:w="850" w:type="dxa"/>
            <w:tcBorders>
              <w:bottom w:val="single" w:sz="12" w:space="0" w:color="808080" w:themeColor="background1" w:themeShade="80"/>
            </w:tcBorders>
            <w:shd w:val="clear" w:color="auto" w:fill="auto"/>
            <w:vAlign w:val="bottom"/>
          </w:tcPr>
          <w:p w14:paraId="6D6A704A" w14:textId="77777777" w:rsidR="00E83694" w:rsidRPr="00F16CE9" w:rsidRDefault="00E83694" w:rsidP="00E83694">
            <w:pPr>
              <w:pStyle w:val="TableFiguresBracketsBold"/>
              <w:rPr>
                <w:b w:val="0"/>
              </w:rPr>
            </w:pPr>
          </w:p>
        </w:tc>
      </w:tr>
      <w:tr w:rsidR="005F6D8A" w:rsidRPr="00F16CE9" w14:paraId="5E372A79" w14:textId="77777777" w:rsidTr="00735AFD">
        <w:tc>
          <w:tcPr>
            <w:tcW w:w="7513" w:type="dxa"/>
            <w:tcBorders>
              <w:top w:val="single" w:sz="12" w:space="0" w:color="808080" w:themeColor="background1" w:themeShade="80"/>
            </w:tcBorders>
            <w:shd w:val="clear" w:color="auto" w:fill="auto"/>
            <w:vAlign w:val="bottom"/>
          </w:tcPr>
          <w:p w14:paraId="0F0FDBB2" w14:textId="77777777" w:rsidR="00E83694" w:rsidRPr="00F16CE9" w:rsidRDefault="00E83694" w:rsidP="00E83694">
            <w:pPr>
              <w:pStyle w:val="Tabletext"/>
              <w:rPr>
                <w:b/>
                <w:szCs w:val="20"/>
              </w:rPr>
            </w:pPr>
            <w:r w:rsidRPr="00F16CE9">
              <w:rPr>
                <w:b/>
                <w:szCs w:val="20"/>
              </w:rPr>
              <w:t>Total costs (A)</w:t>
            </w:r>
          </w:p>
        </w:tc>
        <w:tc>
          <w:tcPr>
            <w:tcW w:w="851" w:type="dxa"/>
            <w:tcBorders>
              <w:top w:val="single" w:sz="12" w:space="0" w:color="808080" w:themeColor="background1" w:themeShade="80"/>
            </w:tcBorders>
            <w:shd w:val="clear" w:color="auto" w:fill="auto"/>
          </w:tcPr>
          <w:p w14:paraId="6E6C0218" w14:textId="77777777" w:rsidR="00E83694" w:rsidRPr="00B64915" w:rsidRDefault="00E83694" w:rsidP="00E83694">
            <w:pPr>
              <w:pStyle w:val="TableFiguresBracketsBold"/>
            </w:pPr>
          </w:p>
        </w:tc>
        <w:tc>
          <w:tcPr>
            <w:tcW w:w="1134" w:type="dxa"/>
            <w:tcBorders>
              <w:top w:val="single" w:sz="12" w:space="0" w:color="808080" w:themeColor="background1" w:themeShade="80"/>
            </w:tcBorders>
            <w:shd w:val="clear" w:color="auto" w:fill="auto"/>
            <w:vAlign w:val="bottom"/>
          </w:tcPr>
          <w:p w14:paraId="40994908" w14:textId="2D31E726" w:rsidR="00E83694" w:rsidRPr="00F16CE9" w:rsidRDefault="00F16CE9" w:rsidP="002A206B">
            <w:pPr>
              <w:pStyle w:val="TableFiguresBold0"/>
            </w:pPr>
            <w:r w:rsidRPr="00F16CE9">
              <w:t>10</w:t>
            </w:r>
            <w:r w:rsidR="004946FA">
              <w:t>3</w:t>
            </w:r>
          </w:p>
        </w:tc>
        <w:tc>
          <w:tcPr>
            <w:tcW w:w="850" w:type="dxa"/>
            <w:tcBorders>
              <w:top w:val="single" w:sz="12" w:space="0" w:color="808080" w:themeColor="background1" w:themeShade="80"/>
            </w:tcBorders>
            <w:shd w:val="clear" w:color="auto" w:fill="auto"/>
            <w:vAlign w:val="bottom"/>
          </w:tcPr>
          <w:p w14:paraId="53938A8D" w14:textId="5E252093" w:rsidR="00E83694" w:rsidRPr="00F16CE9" w:rsidRDefault="00F16CE9" w:rsidP="00E83694">
            <w:pPr>
              <w:pStyle w:val="TableFigures"/>
            </w:pPr>
            <w:r w:rsidRPr="00F16CE9">
              <w:t>95</w:t>
            </w:r>
          </w:p>
        </w:tc>
      </w:tr>
      <w:tr w:rsidR="005F6D8A" w:rsidRPr="00F16CE9" w14:paraId="001A6513" w14:textId="77777777" w:rsidTr="00735AFD">
        <w:tc>
          <w:tcPr>
            <w:tcW w:w="7513" w:type="dxa"/>
            <w:tcBorders>
              <w:bottom w:val="single" w:sz="8" w:space="0" w:color="808080" w:themeColor="background1" w:themeShade="80"/>
            </w:tcBorders>
            <w:shd w:val="clear" w:color="auto" w:fill="auto"/>
            <w:vAlign w:val="bottom"/>
          </w:tcPr>
          <w:p w14:paraId="05654957" w14:textId="417EDA89" w:rsidR="00E83694" w:rsidRPr="00F16CE9" w:rsidRDefault="00985BD8" w:rsidP="00E83694">
            <w:pPr>
              <w:pStyle w:val="Tabletext"/>
            </w:pPr>
            <w:r w:rsidRPr="00F16CE9">
              <w:t>Non-EPRA adjustments</w:t>
            </w:r>
          </w:p>
        </w:tc>
        <w:tc>
          <w:tcPr>
            <w:tcW w:w="851" w:type="dxa"/>
            <w:tcBorders>
              <w:bottom w:val="single" w:sz="8" w:space="0" w:color="808080" w:themeColor="background1" w:themeShade="80"/>
            </w:tcBorders>
            <w:shd w:val="clear" w:color="auto" w:fill="auto"/>
          </w:tcPr>
          <w:p w14:paraId="19BB38DE" w14:textId="512A6E28" w:rsidR="00E83694" w:rsidRPr="00B64915" w:rsidRDefault="00E83694" w:rsidP="00E83694">
            <w:pPr>
              <w:pStyle w:val="TableFigures"/>
            </w:pPr>
            <w:r w:rsidRPr="00B64915">
              <w:t>2</w:t>
            </w:r>
          </w:p>
        </w:tc>
        <w:tc>
          <w:tcPr>
            <w:tcW w:w="1134" w:type="dxa"/>
            <w:tcBorders>
              <w:bottom w:val="single" w:sz="8" w:space="0" w:color="808080" w:themeColor="background1" w:themeShade="80"/>
            </w:tcBorders>
            <w:shd w:val="clear" w:color="auto" w:fill="auto"/>
            <w:vAlign w:val="bottom"/>
          </w:tcPr>
          <w:p w14:paraId="3E816135" w14:textId="46E8D7B0" w:rsidR="00E83694" w:rsidRPr="00F16CE9" w:rsidRDefault="00E83694" w:rsidP="002A206B">
            <w:pPr>
              <w:pStyle w:val="TableFiguresBold0"/>
            </w:pPr>
            <w:r w:rsidRPr="00F16CE9">
              <w:t>–</w:t>
            </w:r>
          </w:p>
        </w:tc>
        <w:tc>
          <w:tcPr>
            <w:tcW w:w="850" w:type="dxa"/>
            <w:tcBorders>
              <w:bottom w:val="single" w:sz="8" w:space="0" w:color="808080" w:themeColor="background1" w:themeShade="80"/>
            </w:tcBorders>
            <w:shd w:val="clear" w:color="auto" w:fill="auto"/>
            <w:vAlign w:val="bottom"/>
          </w:tcPr>
          <w:p w14:paraId="047B0FD1" w14:textId="34FC86E6" w:rsidR="00E83694" w:rsidRPr="00F16CE9" w:rsidRDefault="00E83694" w:rsidP="00E83694">
            <w:pPr>
              <w:pStyle w:val="TableFigures"/>
            </w:pPr>
            <w:r w:rsidRPr="00F16CE9">
              <w:t>–</w:t>
            </w:r>
          </w:p>
        </w:tc>
      </w:tr>
      <w:tr w:rsidR="005F6D8A" w:rsidRPr="00F16CE9" w14:paraId="057A2B01" w14:textId="77777777" w:rsidTr="00735AFD">
        <w:tc>
          <w:tcPr>
            <w:tcW w:w="7513" w:type="dxa"/>
            <w:tcBorders>
              <w:top w:val="single" w:sz="8" w:space="0" w:color="808080" w:themeColor="background1" w:themeShade="80"/>
            </w:tcBorders>
            <w:shd w:val="clear" w:color="auto" w:fill="auto"/>
            <w:vAlign w:val="bottom"/>
          </w:tcPr>
          <w:p w14:paraId="0FA43A76" w14:textId="77777777" w:rsidR="00E83694" w:rsidRPr="00F16CE9" w:rsidRDefault="00E83694" w:rsidP="00E83694">
            <w:pPr>
              <w:pStyle w:val="Tabletext"/>
              <w:rPr>
                <w:b/>
                <w:szCs w:val="20"/>
              </w:rPr>
            </w:pPr>
            <w:r w:rsidRPr="00F16CE9">
              <w:rPr>
                <w:b/>
                <w:szCs w:val="20"/>
              </w:rPr>
              <w:t>EPRA total costs including vacant property costs (D)</w:t>
            </w:r>
          </w:p>
        </w:tc>
        <w:tc>
          <w:tcPr>
            <w:tcW w:w="851" w:type="dxa"/>
            <w:tcBorders>
              <w:top w:val="single" w:sz="8" w:space="0" w:color="808080" w:themeColor="background1" w:themeShade="80"/>
            </w:tcBorders>
            <w:shd w:val="clear" w:color="auto" w:fill="auto"/>
          </w:tcPr>
          <w:p w14:paraId="2A6368F5" w14:textId="77777777" w:rsidR="00E83694" w:rsidRPr="00B64915" w:rsidRDefault="00E83694" w:rsidP="00E83694">
            <w:pPr>
              <w:pStyle w:val="TableFigures"/>
            </w:pPr>
          </w:p>
        </w:tc>
        <w:tc>
          <w:tcPr>
            <w:tcW w:w="1134" w:type="dxa"/>
            <w:tcBorders>
              <w:top w:val="single" w:sz="8" w:space="0" w:color="808080" w:themeColor="background1" w:themeShade="80"/>
            </w:tcBorders>
            <w:shd w:val="clear" w:color="auto" w:fill="auto"/>
            <w:vAlign w:val="bottom"/>
          </w:tcPr>
          <w:p w14:paraId="42BE47AA" w14:textId="6E7D7059" w:rsidR="00E83694" w:rsidRPr="00F16CE9" w:rsidRDefault="00F16CE9" w:rsidP="002A206B">
            <w:pPr>
              <w:pStyle w:val="TableFiguresBold0"/>
            </w:pPr>
            <w:r w:rsidRPr="00F16CE9">
              <w:t>10</w:t>
            </w:r>
            <w:r w:rsidR="004946FA">
              <w:t>3</w:t>
            </w:r>
          </w:p>
        </w:tc>
        <w:tc>
          <w:tcPr>
            <w:tcW w:w="850" w:type="dxa"/>
            <w:tcBorders>
              <w:top w:val="single" w:sz="8" w:space="0" w:color="808080" w:themeColor="background1" w:themeShade="80"/>
            </w:tcBorders>
            <w:shd w:val="clear" w:color="auto" w:fill="auto"/>
            <w:vAlign w:val="bottom"/>
          </w:tcPr>
          <w:p w14:paraId="18D02DCF" w14:textId="6D3A3E49" w:rsidR="00E83694" w:rsidRPr="00F16CE9" w:rsidRDefault="00F16CE9" w:rsidP="00E83694">
            <w:pPr>
              <w:pStyle w:val="TableFigures"/>
            </w:pPr>
            <w:r w:rsidRPr="00F16CE9">
              <w:t>95</w:t>
            </w:r>
          </w:p>
        </w:tc>
      </w:tr>
      <w:tr w:rsidR="005F6D8A" w:rsidRPr="00F16CE9" w14:paraId="1BF97449" w14:textId="77777777" w:rsidTr="00735AFD">
        <w:tc>
          <w:tcPr>
            <w:tcW w:w="7513" w:type="dxa"/>
            <w:shd w:val="clear" w:color="auto" w:fill="auto"/>
            <w:vAlign w:val="bottom"/>
          </w:tcPr>
          <w:p w14:paraId="3AD07FCF" w14:textId="77777777" w:rsidR="00E83694" w:rsidRPr="00F16CE9" w:rsidRDefault="00E83694" w:rsidP="00E83694">
            <w:pPr>
              <w:pStyle w:val="Tabletext"/>
            </w:pPr>
            <w:r w:rsidRPr="00F16CE9">
              <w:t>Group vacant property costs</w:t>
            </w:r>
          </w:p>
        </w:tc>
        <w:tc>
          <w:tcPr>
            <w:tcW w:w="851" w:type="dxa"/>
            <w:shd w:val="clear" w:color="auto" w:fill="auto"/>
          </w:tcPr>
          <w:p w14:paraId="6BC3F5BF" w14:textId="77777777" w:rsidR="00E83694" w:rsidRPr="00B64915" w:rsidRDefault="00E83694" w:rsidP="00E83694">
            <w:pPr>
              <w:pStyle w:val="TableFigures"/>
            </w:pPr>
            <w:r w:rsidRPr="00B64915">
              <w:t>5</w:t>
            </w:r>
          </w:p>
        </w:tc>
        <w:tc>
          <w:tcPr>
            <w:tcW w:w="1134" w:type="dxa"/>
            <w:shd w:val="clear" w:color="auto" w:fill="auto"/>
            <w:vAlign w:val="bottom"/>
          </w:tcPr>
          <w:p w14:paraId="57B7A083" w14:textId="76B7CD53" w:rsidR="00E83694" w:rsidRPr="00F16CE9" w:rsidRDefault="00F16CE9" w:rsidP="00B64915">
            <w:pPr>
              <w:pStyle w:val="TableFiguresBracketsBold"/>
            </w:pPr>
            <w:r w:rsidRPr="00F16CE9">
              <w:t>(5)</w:t>
            </w:r>
          </w:p>
        </w:tc>
        <w:tc>
          <w:tcPr>
            <w:tcW w:w="850" w:type="dxa"/>
            <w:shd w:val="clear" w:color="auto" w:fill="auto"/>
            <w:vAlign w:val="bottom"/>
          </w:tcPr>
          <w:p w14:paraId="3A95B2CF" w14:textId="72B4B0E2" w:rsidR="00E83694" w:rsidRPr="00F16CE9" w:rsidRDefault="00F16CE9" w:rsidP="00E83694">
            <w:pPr>
              <w:pStyle w:val="TableFiguresBrackets"/>
            </w:pPr>
            <w:r w:rsidRPr="00F16CE9">
              <w:t>(3)</w:t>
            </w:r>
          </w:p>
        </w:tc>
      </w:tr>
      <w:tr w:rsidR="005F6D8A" w:rsidRPr="00F16CE9" w14:paraId="5C28C62D" w14:textId="77777777" w:rsidTr="00735AFD">
        <w:tc>
          <w:tcPr>
            <w:tcW w:w="7513" w:type="dxa"/>
            <w:tcBorders>
              <w:bottom w:val="single" w:sz="8" w:space="0" w:color="808080" w:themeColor="background1" w:themeShade="80"/>
            </w:tcBorders>
            <w:shd w:val="clear" w:color="auto" w:fill="auto"/>
            <w:vAlign w:val="bottom"/>
          </w:tcPr>
          <w:p w14:paraId="4BEEDA21" w14:textId="77777777" w:rsidR="00E83694" w:rsidRPr="00F16CE9" w:rsidRDefault="00E83694" w:rsidP="00E83694">
            <w:pPr>
              <w:pStyle w:val="Tabletext"/>
            </w:pPr>
            <w:r w:rsidRPr="00F16CE9">
              <w:t>Share of joint venture vacant property costs</w:t>
            </w:r>
          </w:p>
        </w:tc>
        <w:tc>
          <w:tcPr>
            <w:tcW w:w="851" w:type="dxa"/>
            <w:tcBorders>
              <w:bottom w:val="single" w:sz="8" w:space="0" w:color="808080" w:themeColor="background1" w:themeShade="80"/>
            </w:tcBorders>
            <w:shd w:val="clear" w:color="auto" w:fill="auto"/>
          </w:tcPr>
          <w:p w14:paraId="2532F403" w14:textId="63D0CD65" w:rsidR="00E83694" w:rsidRPr="00B64915" w:rsidRDefault="00E83694" w:rsidP="00E83694">
            <w:pPr>
              <w:pStyle w:val="TableFigures"/>
            </w:pPr>
            <w:r w:rsidRPr="00B64915">
              <w:t>6</w:t>
            </w:r>
          </w:p>
        </w:tc>
        <w:tc>
          <w:tcPr>
            <w:tcW w:w="1134" w:type="dxa"/>
            <w:tcBorders>
              <w:bottom w:val="single" w:sz="8" w:space="0" w:color="808080" w:themeColor="background1" w:themeShade="80"/>
            </w:tcBorders>
            <w:shd w:val="clear" w:color="auto" w:fill="auto"/>
            <w:vAlign w:val="bottom"/>
          </w:tcPr>
          <w:p w14:paraId="2EC7F0A1" w14:textId="7BFB38B4" w:rsidR="00E83694" w:rsidRPr="00F16CE9" w:rsidRDefault="00F16CE9" w:rsidP="002A206B">
            <w:pPr>
              <w:pStyle w:val="TableFiguresBracketsBold"/>
            </w:pPr>
            <w:r w:rsidRPr="00F16CE9">
              <w:t>(1)</w:t>
            </w:r>
          </w:p>
        </w:tc>
        <w:tc>
          <w:tcPr>
            <w:tcW w:w="850" w:type="dxa"/>
            <w:tcBorders>
              <w:bottom w:val="single" w:sz="8" w:space="0" w:color="808080" w:themeColor="background1" w:themeShade="80"/>
            </w:tcBorders>
            <w:shd w:val="clear" w:color="auto" w:fill="auto"/>
            <w:vAlign w:val="bottom"/>
          </w:tcPr>
          <w:p w14:paraId="47672CA6" w14:textId="5D0F24E6" w:rsidR="00E83694" w:rsidRPr="00F16CE9" w:rsidRDefault="00F16CE9" w:rsidP="00E83694">
            <w:pPr>
              <w:pStyle w:val="TableFiguresBrackets"/>
            </w:pPr>
            <w:r w:rsidRPr="00F16CE9">
              <w:t>(2)</w:t>
            </w:r>
          </w:p>
        </w:tc>
      </w:tr>
      <w:tr w:rsidR="005F6D8A" w:rsidRPr="00F16CE9" w14:paraId="4C71AF3D" w14:textId="77777777" w:rsidTr="00735AFD">
        <w:tc>
          <w:tcPr>
            <w:tcW w:w="7513" w:type="dxa"/>
            <w:tcBorders>
              <w:top w:val="single" w:sz="8" w:space="0" w:color="808080" w:themeColor="background1" w:themeShade="80"/>
              <w:bottom w:val="single" w:sz="8" w:space="0" w:color="808080" w:themeColor="background1" w:themeShade="80"/>
            </w:tcBorders>
            <w:shd w:val="clear" w:color="auto" w:fill="auto"/>
            <w:vAlign w:val="bottom"/>
          </w:tcPr>
          <w:p w14:paraId="23479F71" w14:textId="77777777" w:rsidR="00E83694" w:rsidRPr="00F16CE9" w:rsidRDefault="00E83694" w:rsidP="00E83694">
            <w:pPr>
              <w:pStyle w:val="Tabletext"/>
              <w:rPr>
                <w:b/>
                <w:szCs w:val="20"/>
              </w:rPr>
            </w:pPr>
            <w:r w:rsidRPr="00F16CE9">
              <w:rPr>
                <w:b/>
                <w:szCs w:val="20"/>
              </w:rPr>
              <w:t>EPRA total costs excluding vacant property costs (E)</w:t>
            </w:r>
          </w:p>
        </w:tc>
        <w:tc>
          <w:tcPr>
            <w:tcW w:w="851" w:type="dxa"/>
            <w:tcBorders>
              <w:top w:val="single" w:sz="8" w:space="0" w:color="808080" w:themeColor="background1" w:themeShade="80"/>
              <w:bottom w:val="single" w:sz="8" w:space="0" w:color="808080" w:themeColor="background1" w:themeShade="80"/>
            </w:tcBorders>
            <w:shd w:val="clear" w:color="auto" w:fill="auto"/>
          </w:tcPr>
          <w:p w14:paraId="0DBC6588" w14:textId="77777777" w:rsidR="00E83694" w:rsidRPr="00B64915" w:rsidRDefault="00E83694" w:rsidP="00E83694">
            <w:pPr>
              <w:pStyle w:val="TableFiguresBracketsBold"/>
            </w:pPr>
          </w:p>
        </w:tc>
        <w:tc>
          <w:tcPr>
            <w:tcW w:w="1134" w:type="dxa"/>
            <w:tcBorders>
              <w:top w:val="single" w:sz="8" w:space="0" w:color="808080" w:themeColor="background1" w:themeShade="80"/>
              <w:bottom w:val="single" w:sz="8" w:space="0" w:color="808080" w:themeColor="background1" w:themeShade="80"/>
            </w:tcBorders>
            <w:shd w:val="clear" w:color="auto" w:fill="auto"/>
            <w:vAlign w:val="bottom"/>
          </w:tcPr>
          <w:p w14:paraId="0F8FBDB8" w14:textId="5D4BF47A" w:rsidR="00E83694" w:rsidRPr="00F16CE9" w:rsidRDefault="00F16CE9" w:rsidP="002A206B">
            <w:pPr>
              <w:pStyle w:val="TableFiguresBold0"/>
            </w:pPr>
            <w:r w:rsidRPr="00F16CE9">
              <w:t>9</w:t>
            </w:r>
            <w:r w:rsidR="004946FA">
              <w:t>7</w:t>
            </w:r>
          </w:p>
        </w:tc>
        <w:tc>
          <w:tcPr>
            <w:tcW w:w="850" w:type="dxa"/>
            <w:tcBorders>
              <w:top w:val="single" w:sz="8" w:space="0" w:color="808080" w:themeColor="background1" w:themeShade="80"/>
              <w:bottom w:val="single" w:sz="8" w:space="0" w:color="808080" w:themeColor="background1" w:themeShade="80"/>
            </w:tcBorders>
            <w:shd w:val="clear" w:color="auto" w:fill="auto"/>
            <w:vAlign w:val="bottom"/>
          </w:tcPr>
          <w:p w14:paraId="186DEEDF" w14:textId="3AEC1F8A" w:rsidR="00E83694" w:rsidRPr="00F16CE9" w:rsidRDefault="00F16CE9" w:rsidP="00E83694">
            <w:pPr>
              <w:pStyle w:val="TableFigures"/>
            </w:pPr>
            <w:r w:rsidRPr="00F16CE9">
              <w:t>90</w:t>
            </w:r>
          </w:p>
        </w:tc>
      </w:tr>
      <w:tr w:rsidR="005F6D8A" w:rsidRPr="00F16CE9" w14:paraId="2C1F8654" w14:textId="77777777" w:rsidTr="00735AFD">
        <w:tc>
          <w:tcPr>
            <w:tcW w:w="7513" w:type="dxa"/>
            <w:tcBorders>
              <w:top w:val="single" w:sz="8" w:space="0" w:color="808080" w:themeColor="background1" w:themeShade="80"/>
              <w:bottom w:val="single" w:sz="8" w:space="0" w:color="808080" w:themeColor="background1" w:themeShade="80"/>
            </w:tcBorders>
            <w:shd w:val="clear" w:color="auto" w:fill="auto"/>
            <w:vAlign w:val="bottom"/>
          </w:tcPr>
          <w:p w14:paraId="405C82EA" w14:textId="77777777" w:rsidR="00E83694" w:rsidRPr="00F16CE9" w:rsidRDefault="00E83694" w:rsidP="00E83694">
            <w:pPr>
              <w:pStyle w:val="Tabletext"/>
              <w:rPr>
                <w:b/>
                <w:szCs w:val="20"/>
              </w:rPr>
            </w:pPr>
            <w:r w:rsidRPr="00F16CE9">
              <w:rPr>
                <w:b/>
                <w:szCs w:val="20"/>
              </w:rPr>
              <w:t>Total gross rental income (B)</w:t>
            </w:r>
          </w:p>
        </w:tc>
        <w:tc>
          <w:tcPr>
            <w:tcW w:w="851" w:type="dxa"/>
            <w:tcBorders>
              <w:top w:val="single" w:sz="8" w:space="0" w:color="808080" w:themeColor="background1" w:themeShade="80"/>
              <w:bottom w:val="single" w:sz="8" w:space="0" w:color="808080" w:themeColor="background1" w:themeShade="80"/>
            </w:tcBorders>
            <w:shd w:val="clear" w:color="auto" w:fill="auto"/>
          </w:tcPr>
          <w:p w14:paraId="381716FC" w14:textId="77777777" w:rsidR="00E83694" w:rsidRPr="00B64915" w:rsidRDefault="00E83694" w:rsidP="00E83694">
            <w:pPr>
              <w:pStyle w:val="TableFiguresBracketsBold"/>
            </w:pPr>
          </w:p>
        </w:tc>
        <w:tc>
          <w:tcPr>
            <w:tcW w:w="1134" w:type="dxa"/>
            <w:tcBorders>
              <w:top w:val="single" w:sz="8" w:space="0" w:color="808080" w:themeColor="background1" w:themeShade="80"/>
              <w:bottom w:val="single" w:sz="8" w:space="0" w:color="808080" w:themeColor="background1" w:themeShade="80"/>
            </w:tcBorders>
            <w:shd w:val="clear" w:color="auto" w:fill="auto"/>
            <w:vAlign w:val="bottom"/>
          </w:tcPr>
          <w:p w14:paraId="68D9A26D" w14:textId="45EEC6C2" w:rsidR="00E83694" w:rsidRPr="00F16CE9" w:rsidRDefault="00F16CE9" w:rsidP="002A206B">
            <w:pPr>
              <w:pStyle w:val="TableFiguresBold0"/>
            </w:pPr>
            <w:r w:rsidRPr="00F16CE9">
              <w:t>50</w:t>
            </w:r>
            <w:r w:rsidR="004946FA">
              <w:t>4</w:t>
            </w:r>
          </w:p>
        </w:tc>
        <w:tc>
          <w:tcPr>
            <w:tcW w:w="850" w:type="dxa"/>
            <w:tcBorders>
              <w:top w:val="single" w:sz="8" w:space="0" w:color="808080" w:themeColor="background1" w:themeShade="80"/>
              <w:bottom w:val="single" w:sz="8" w:space="0" w:color="808080" w:themeColor="background1" w:themeShade="80"/>
            </w:tcBorders>
            <w:shd w:val="clear" w:color="auto" w:fill="auto"/>
            <w:vAlign w:val="bottom"/>
          </w:tcPr>
          <w:p w14:paraId="00392A7C" w14:textId="24481B67" w:rsidR="00E83694" w:rsidRPr="00F16CE9" w:rsidRDefault="00F16CE9" w:rsidP="00E83694">
            <w:pPr>
              <w:pStyle w:val="TableFigures"/>
            </w:pPr>
            <w:r w:rsidRPr="00F16CE9">
              <w:t>448</w:t>
            </w:r>
          </w:p>
        </w:tc>
      </w:tr>
      <w:tr w:rsidR="005F6D8A" w:rsidRPr="00F16CE9" w14:paraId="303B1F3B" w14:textId="77777777" w:rsidTr="00735AFD">
        <w:tc>
          <w:tcPr>
            <w:tcW w:w="7513" w:type="dxa"/>
            <w:tcBorders>
              <w:top w:val="single" w:sz="8" w:space="0" w:color="808080" w:themeColor="background1" w:themeShade="80"/>
              <w:bottom w:val="single" w:sz="8" w:space="0" w:color="808080" w:themeColor="background1" w:themeShade="80"/>
            </w:tcBorders>
            <w:shd w:val="clear" w:color="auto" w:fill="auto"/>
            <w:vAlign w:val="bottom"/>
          </w:tcPr>
          <w:p w14:paraId="50710F98" w14:textId="663D7F17" w:rsidR="00E83694" w:rsidRPr="00F16CE9" w:rsidRDefault="00E83694" w:rsidP="00E83694">
            <w:pPr>
              <w:pStyle w:val="Tabletext"/>
              <w:rPr>
                <w:b/>
                <w:szCs w:val="20"/>
              </w:rPr>
            </w:pPr>
            <w:r w:rsidRPr="00F16CE9">
              <w:rPr>
                <w:b/>
                <w:szCs w:val="20"/>
              </w:rPr>
              <w:t>Total EPRA cost ratio (including vacant property costs) (D)/(B)</w:t>
            </w:r>
            <w:r w:rsidR="005F5CF1" w:rsidRPr="00BA4E4C">
              <w:rPr>
                <w:b/>
                <w:szCs w:val="20"/>
                <w:vertAlign w:val="superscript"/>
              </w:rPr>
              <w:t>4</w:t>
            </w:r>
          </w:p>
        </w:tc>
        <w:tc>
          <w:tcPr>
            <w:tcW w:w="851" w:type="dxa"/>
            <w:tcBorders>
              <w:top w:val="single" w:sz="8" w:space="0" w:color="808080" w:themeColor="background1" w:themeShade="80"/>
              <w:bottom w:val="single" w:sz="8" w:space="0" w:color="808080" w:themeColor="background1" w:themeShade="80"/>
            </w:tcBorders>
            <w:shd w:val="clear" w:color="auto" w:fill="auto"/>
          </w:tcPr>
          <w:p w14:paraId="1C702299" w14:textId="77777777" w:rsidR="00E83694" w:rsidRPr="00B64915" w:rsidRDefault="00E83694" w:rsidP="00E83694">
            <w:pPr>
              <w:pStyle w:val="TableFiguresBracketsBold"/>
            </w:pPr>
          </w:p>
        </w:tc>
        <w:tc>
          <w:tcPr>
            <w:tcW w:w="1134" w:type="dxa"/>
            <w:tcBorders>
              <w:top w:val="single" w:sz="8" w:space="0" w:color="808080" w:themeColor="background1" w:themeShade="80"/>
              <w:bottom w:val="single" w:sz="8" w:space="0" w:color="808080" w:themeColor="background1" w:themeShade="80"/>
            </w:tcBorders>
            <w:shd w:val="clear" w:color="auto" w:fill="auto"/>
            <w:vAlign w:val="bottom"/>
          </w:tcPr>
          <w:p w14:paraId="14EBFC09" w14:textId="5A62179C" w:rsidR="00E83694" w:rsidRPr="00F16CE9" w:rsidRDefault="00985BD8" w:rsidP="002A206B">
            <w:pPr>
              <w:pStyle w:val="TableFiguresBold0"/>
            </w:pPr>
            <w:r w:rsidRPr="00F16CE9">
              <w:t>2</w:t>
            </w:r>
            <w:r w:rsidR="00F16CE9" w:rsidRPr="00F16CE9">
              <w:t>0.2</w:t>
            </w:r>
            <w:r w:rsidRPr="00F16CE9">
              <w:t>%</w:t>
            </w:r>
          </w:p>
        </w:tc>
        <w:tc>
          <w:tcPr>
            <w:tcW w:w="850" w:type="dxa"/>
            <w:tcBorders>
              <w:top w:val="single" w:sz="8" w:space="0" w:color="808080" w:themeColor="background1" w:themeShade="80"/>
              <w:bottom w:val="single" w:sz="8" w:space="0" w:color="808080" w:themeColor="background1" w:themeShade="80"/>
            </w:tcBorders>
            <w:shd w:val="clear" w:color="auto" w:fill="auto"/>
            <w:vAlign w:val="bottom"/>
          </w:tcPr>
          <w:p w14:paraId="3C309E71" w14:textId="4823AF86" w:rsidR="00E83694" w:rsidRPr="00F16CE9" w:rsidRDefault="00E83694" w:rsidP="00E83694">
            <w:pPr>
              <w:pStyle w:val="TableFiguresBracketsBold"/>
              <w:rPr>
                <w:b w:val="0"/>
              </w:rPr>
            </w:pPr>
            <w:r w:rsidRPr="00F16CE9">
              <w:rPr>
                <w:b w:val="0"/>
                <w:bCs w:val="0"/>
              </w:rPr>
              <w:t>2</w:t>
            </w:r>
            <w:r w:rsidR="00F16CE9" w:rsidRPr="00F16CE9">
              <w:rPr>
                <w:b w:val="0"/>
                <w:bCs w:val="0"/>
              </w:rPr>
              <w:t>1.1</w:t>
            </w:r>
            <w:r w:rsidRPr="00F16CE9">
              <w:rPr>
                <w:b w:val="0"/>
                <w:bCs w:val="0"/>
              </w:rPr>
              <w:t>%</w:t>
            </w:r>
          </w:p>
        </w:tc>
      </w:tr>
      <w:tr w:rsidR="00E83694" w:rsidRPr="00F16CE9" w14:paraId="22112EA4" w14:textId="77777777" w:rsidTr="00735AFD">
        <w:tc>
          <w:tcPr>
            <w:tcW w:w="7513" w:type="dxa"/>
            <w:tcBorders>
              <w:top w:val="single" w:sz="8" w:space="0" w:color="808080" w:themeColor="background1" w:themeShade="80"/>
              <w:bottom w:val="single" w:sz="8" w:space="0" w:color="808080" w:themeColor="background1" w:themeShade="80"/>
            </w:tcBorders>
            <w:shd w:val="clear" w:color="auto" w:fill="auto"/>
            <w:vAlign w:val="bottom"/>
          </w:tcPr>
          <w:p w14:paraId="6729ED87" w14:textId="60418D17" w:rsidR="00E83694" w:rsidRPr="00F16CE9" w:rsidRDefault="00E83694" w:rsidP="00E83694">
            <w:pPr>
              <w:pStyle w:val="Tabletext"/>
              <w:rPr>
                <w:b/>
                <w:szCs w:val="20"/>
              </w:rPr>
            </w:pPr>
            <w:r w:rsidRPr="00F16CE9">
              <w:rPr>
                <w:b/>
                <w:szCs w:val="20"/>
              </w:rPr>
              <w:t>Total EPRA cost ratio (excluding vacant property costs) (E)/(B)</w:t>
            </w:r>
            <w:r w:rsidR="005F5CF1" w:rsidRPr="00BA4E4C">
              <w:rPr>
                <w:b/>
                <w:szCs w:val="20"/>
                <w:vertAlign w:val="superscript"/>
              </w:rPr>
              <w:t>4</w:t>
            </w:r>
          </w:p>
        </w:tc>
        <w:tc>
          <w:tcPr>
            <w:tcW w:w="851" w:type="dxa"/>
            <w:tcBorders>
              <w:top w:val="single" w:sz="8" w:space="0" w:color="808080" w:themeColor="background1" w:themeShade="80"/>
              <w:bottom w:val="single" w:sz="8" w:space="0" w:color="808080" w:themeColor="background1" w:themeShade="80"/>
            </w:tcBorders>
            <w:shd w:val="clear" w:color="auto" w:fill="auto"/>
          </w:tcPr>
          <w:p w14:paraId="4E8A3EBE" w14:textId="77777777" w:rsidR="00E83694" w:rsidRPr="00B64915" w:rsidRDefault="00E83694" w:rsidP="00E83694">
            <w:pPr>
              <w:pStyle w:val="TableFiguresBracketsBold"/>
            </w:pPr>
          </w:p>
        </w:tc>
        <w:tc>
          <w:tcPr>
            <w:tcW w:w="1134" w:type="dxa"/>
            <w:tcBorders>
              <w:top w:val="single" w:sz="8" w:space="0" w:color="808080" w:themeColor="background1" w:themeShade="80"/>
              <w:bottom w:val="single" w:sz="8" w:space="0" w:color="808080" w:themeColor="background1" w:themeShade="80"/>
            </w:tcBorders>
            <w:shd w:val="clear" w:color="auto" w:fill="auto"/>
            <w:vAlign w:val="bottom"/>
          </w:tcPr>
          <w:p w14:paraId="2895CBAD" w14:textId="545838CD" w:rsidR="00E83694" w:rsidRPr="00F16CE9" w:rsidRDefault="00F16CE9" w:rsidP="002A206B">
            <w:pPr>
              <w:pStyle w:val="TableFiguresBold0"/>
            </w:pPr>
            <w:r w:rsidRPr="00F16CE9">
              <w:t>19.0</w:t>
            </w:r>
            <w:r w:rsidR="00985BD8" w:rsidRPr="00F16CE9">
              <w:t>%</w:t>
            </w:r>
          </w:p>
        </w:tc>
        <w:tc>
          <w:tcPr>
            <w:tcW w:w="850" w:type="dxa"/>
            <w:tcBorders>
              <w:top w:val="single" w:sz="8" w:space="0" w:color="808080" w:themeColor="background1" w:themeShade="80"/>
              <w:bottom w:val="single" w:sz="8" w:space="0" w:color="808080" w:themeColor="background1" w:themeShade="80"/>
            </w:tcBorders>
            <w:shd w:val="clear" w:color="auto" w:fill="auto"/>
            <w:vAlign w:val="bottom"/>
          </w:tcPr>
          <w:p w14:paraId="15B37EB9" w14:textId="293D3D33" w:rsidR="00E83694" w:rsidRPr="00F16CE9" w:rsidRDefault="00E83694" w:rsidP="00E83694">
            <w:pPr>
              <w:pStyle w:val="TableFiguresBracketsBold"/>
              <w:rPr>
                <w:b w:val="0"/>
              </w:rPr>
            </w:pPr>
            <w:r w:rsidRPr="00F16CE9">
              <w:rPr>
                <w:b w:val="0"/>
                <w:bCs w:val="0"/>
              </w:rPr>
              <w:t>2</w:t>
            </w:r>
            <w:r w:rsidR="00F16CE9" w:rsidRPr="00F16CE9">
              <w:rPr>
                <w:b w:val="0"/>
                <w:bCs w:val="0"/>
              </w:rPr>
              <w:t>0.1</w:t>
            </w:r>
            <w:r w:rsidRPr="00F16CE9">
              <w:rPr>
                <w:b w:val="0"/>
                <w:bCs w:val="0"/>
              </w:rPr>
              <w:t>%</w:t>
            </w:r>
          </w:p>
        </w:tc>
      </w:tr>
    </w:tbl>
    <w:p w14:paraId="0836FC3C" w14:textId="77777777" w:rsidR="005E793C" w:rsidRPr="005F6D8A" w:rsidRDefault="005E793C" w:rsidP="005E793C">
      <w:pPr>
        <w:pStyle w:val="FootnotesNoSpace"/>
        <w:rPr>
          <w:i w:val="0"/>
          <w:color w:val="FF0000"/>
          <w:highlight w:val="yellow"/>
        </w:rPr>
      </w:pPr>
    </w:p>
    <w:p w14:paraId="300923BA" w14:textId="77777777" w:rsidR="00F16CE9" w:rsidRDefault="00F16CE9" w:rsidP="005E793C">
      <w:pPr>
        <w:pStyle w:val="FootnotesNoSpace"/>
      </w:pPr>
      <w:r>
        <w:t xml:space="preserve">1 Property operating expenses are net of costs capitalised in accordance with IFRS of £9 million (2020: £9 million) (see Note 5 for further detail on the nature of costs capitalised). </w:t>
      </w:r>
    </w:p>
    <w:p w14:paraId="166CE8D0" w14:textId="744BE387" w:rsidR="00F16CE9" w:rsidRDefault="00F16CE9" w:rsidP="005E793C">
      <w:pPr>
        <w:pStyle w:val="FootnotesNoSpace"/>
      </w:pPr>
      <w:r>
        <w:t xml:space="preserve">2 Share of joint venture property operating and administration expenses after deducting costs related to performance fees. </w:t>
      </w:r>
    </w:p>
    <w:p w14:paraId="1891D46B" w14:textId="30A82FFF" w:rsidR="00F16CE9" w:rsidRDefault="00F16CE9" w:rsidP="005E793C">
      <w:pPr>
        <w:pStyle w:val="FootnotesNoSpace"/>
      </w:pPr>
      <w:r>
        <w:t>3 Total deduction of £10</w:t>
      </w:r>
      <w:r w:rsidR="004946FA">
        <w:t>4</w:t>
      </w:r>
      <w:r>
        <w:t xml:space="preserve"> million (2020: £88 million) from costs includes: joint venture management fees income of £26 million (2020: £22 million), service charge income including joint ventures of £70 million (2020: £59 million) and management fees and other costs recovered through rents but not separately invoiced, including joint ventures, of £</w:t>
      </w:r>
      <w:r w:rsidR="004946FA">
        <w:t>8</w:t>
      </w:r>
      <w:r>
        <w:t xml:space="preserve"> million (2020: £7 million). These items have been represented as an offset against costs rather than a component of income in accordance with EPRA BPR Guidelines as they are reimbursing the Group for costs incurred. Gross rental income of £447 million (2020: £393 million) does not include joint venture management fees income of £26 million (2020: £22 million) and these fees are not required to be included in the total deduction to income of £7</w:t>
      </w:r>
      <w:r w:rsidR="004946FA">
        <w:t>8</w:t>
      </w:r>
      <w:r>
        <w:t xml:space="preserve"> million (2020: £66 million). </w:t>
      </w:r>
    </w:p>
    <w:p w14:paraId="6E1F026F" w14:textId="6B2C2B9B" w:rsidR="00F16CE9" w:rsidRDefault="00F16CE9" w:rsidP="005E793C">
      <w:pPr>
        <w:pStyle w:val="FootnotesNoSpace"/>
      </w:pPr>
      <w:r>
        <w:t>4 Cost ratio percentages have been calculated using the figures presented in the table above in millions accurate to one decimal place.</w:t>
      </w:r>
    </w:p>
    <w:bookmarkEnd w:id="9"/>
    <w:p w14:paraId="24E04812" w14:textId="02A6D570" w:rsidR="005E793C" w:rsidRDefault="005E793C" w:rsidP="005E793C">
      <w:pPr>
        <w:spacing w:after="0" w:line="240" w:lineRule="auto"/>
        <w:rPr>
          <w:rFonts w:cs="Arial"/>
          <w:b/>
          <w:bCs/>
          <w:color w:val="FF0000"/>
          <w:szCs w:val="26"/>
          <w:highlight w:val="yellow"/>
        </w:rPr>
      </w:pPr>
    </w:p>
    <w:p w14:paraId="5556DA2A" w14:textId="07A8B667" w:rsidR="004709F5" w:rsidRDefault="004709F5" w:rsidP="005E793C">
      <w:pPr>
        <w:spacing w:after="0" w:line="240" w:lineRule="auto"/>
        <w:rPr>
          <w:rFonts w:cs="Arial"/>
          <w:b/>
          <w:bCs/>
          <w:color w:val="FF0000"/>
          <w:szCs w:val="26"/>
          <w:highlight w:val="yellow"/>
        </w:rPr>
      </w:pPr>
    </w:p>
    <w:p w14:paraId="6E6A31D5" w14:textId="7B069CDB" w:rsidR="00D565C4" w:rsidRDefault="00D565C4" w:rsidP="005E793C">
      <w:pPr>
        <w:spacing w:after="0" w:line="240" w:lineRule="auto"/>
        <w:rPr>
          <w:rFonts w:cs="Arial"/>
          <w:b/>
          <w:bCs/>
          <w:color w:val="FF0000"/>
          <w:szCs w:val="26"/>
          <w:highlight w:val="yellow"/>
        </w:rPr>
      </w:pPr>
    </w:p>
    <w:p w14:paraId="47BC6DBA" w14:textId="22CA4F44" w:rsidR="00D565C4" w:rsidRDefault="00D565C4" w:rsidP="005E793C">
      <w:pPr>
        <w:spacing w:after="0" w:line="240" w:lineRule="auto"/>
        <w:rPr>
          <w:rFonts w:cs="Arial"/>
          <w:b/>
          <w:bCs/>
          <w:color w:val="FF0000"/>
          <w:szCs w:val="26"/>
          <w:highlight w:val="yellow"/>
        </w:rPr>
      </w:pPr>
    </w:p>
    <w:p w14:paraId="464F9D3F" w14:textId="775066E8" w:rsidR="00D565C4" w:rsidRDefault="00D565C4" w:rsidP="005E793C">
      <w:pPr>
        <w:spacing w:after="0" w:line="240" w:lineRule="auto"/>
        <w:rPr>
          <w:rFonts w:cs="Arial"/>
          <w:b/>
          <w:bCs/>
          <w:color w:val="FF0000"/>
          <w:szCs w:val="26"/>
          <w:highlight w:val="yellow"/>
        </w:rPr>
      </w:pPr>
    </w:p>
    <w:p w14:paraId="6288B722" w14:textId="142526E3" w:rsidR="00D565C4" w:rsidRDefault="00D565C4" w:rsidP="005E793C">
      <w:pPr>
        <w:spacing w:after="0" w:line="240" w:lineRule="auto"/>
        <w:rPr>
          <w:rFonts w:cs="Arial"/>
          <w:b/>
          <w:bCs/>
          <w:color w:val="FF0000"/>
          <w:szCs w:val="26"/>
          <w:highlight w:val="yellow"/>
        </w:rPr>
      </w:pPr>
    </w:p>
    <w:p w14:paraId="705189D6" w14:textId="0321B980" w:rsidR="00B940B6" w:rsidRDefault="00B940B6" w:rsidP="005E793C">
      <w:pPr>
        <w:spacing w:after="0" w:line="240" w:lineRule="auto"/>
        <w:rPr>
          <w:rFonts w:cs="Arial"/>
          <w:b/>
          <w:bCs/>
          <w:color w:val="FF0000"/>
          <w:szCs w:val="26"/>
          <w:highlight w:val="yellow"/>
        </w:rPr>
      </w:pPr>
    </w:p>
    <w:p w14:paraId="3FD62690" w14:textId="15922B99" w:rsidR="00B940B6" w:rsidRDefault="00B940B6" w:rsidP="005E793C">
      <w:pPr>
        <w:spacing w:after="0" w:line="240" w:lineRule="auto"/>
        <w:rPr>
          <w:rFonts w:cs="Arial"/>
          <w:b/>
          <w:bCs/>
          <w:color w:val="FF0000"/>
          <w:szCs w:val="26"/>
          <w:highlight w:val="yellow"/>
        </w:rPr>
      </w:pPr>
    </w:p>
    <w:p w14:paraId="239F496D" w14:textId="30D0A0F5" w:rsidR="00B940B6" w:rsidRDefault="00B940B6" w:rsidP="005E793C">
      <w:pPr>
        <w:spacing w:after="0" w:line="240" w:lineRule="auto"/>
        <w:rPr>
          <w:rFonts w:cs="Arial"/>
          <w:b/>
          <w:bCs/>
          <w:color w:val="FF0000"/>
          <w:szCs w:val="26"/>
          <w:highlight w:val="yellow"/>
        </w:rPr>
      </w:pPr>
    </w:p>
    <w:p w14:paraId="4EBB9FFC" w14:textId="0EF55D3E" w:rsidR="00B940B6" w:rsidRDefault="00B940B6" w:rsidP="005E793C">
      <w:pPr>
        <w:spacing w:after="0" w:line="240" w:lineRule="auto"/>
        <w:rPr>
          <w:rFonts w:cs="Arial"/>
          <w:b/>
          <w:bCs/>
          <w:color w:val="FF0000"/>
          <w:szCs w:val="26"/>
          <w:highlight w:val="yellow"/>
        </w:rPr>
      </w:pPr>
    </w:p>
    <w:p w14:paraId="7606CD11" w14:textId="77777777" w:rsidR="00B940B6" w:rsidRDefault="00B940B6" w:rsidP="005E793C">
      <w:pPr>
        <w:spacing w:after="0" w:line="240" w:lineRule="auto"/>
        <w:rPr>
          <w:rFonts w:cs="Arial"/>
          <w:b/>
          <w:bCs/>
          <w:color w:val="FF0000"/>
          <w:szCs w:val="26"/>
          <w:highlight w:val="yellow"/>
        </w:rPr>
      </w:pPr>
    </w:p>
    <w:p w14:paraId="72CC21E1" w14:textId="1C3CB1CC" w:rsidR="00D565C4" w:rsidRDefault="00D565C4" w:rsidP="005E793C">
      <w:pPr>
        <w:spacing w:after="0" w:line="240" w:lineRule="auto"/>
        <w:rPr>
          <w:rFonts w:cs="Arial"/>
          <w:b/>
          <w:bCs/>
          <w:color w:val="FF0000"/>
          <w:szCs w:val="26"/>
          <w:highlight w:val="yellow"/>
        </w:rPr>
      </w:pPr>
    </w:p>
    <w:p w14:paraId="5F7D98BA" w14:textId="70590B8F" w:rsidR="00D565C4" w:rsidRDefault="00D565C4" w:rsidP="005E793C">
      <w:pPr>
        <w:spacing w:after="0" w:line="240" w:lineRule="auto"/>
        <w:rPr>
          <w:rFonts w:cs="Arial"/>
          <w:b/>
          <w:bCs/>
          <w:color w:val="FF0000"/>
          <w:szCs w:val="26"/>
          <w:highlight w:val="yellow"/>
        </w:rPr>
      </w:pPr>
    </w:p>
    <w:p w14:paraId="231D4DAF" w14:textId="3639F93C" w:rsidR="00D565C4" w:rsidRDefault="00D565C4" w:rsidP="005E793C">
      <w:pPr>
        <w:spacing w:after="0" w:line="240" w:lineRule="auto"/>
        <w:rPr>
          <w:rFonts w:cs="Arial"/>
          <w:b/>
          <w:bCs/>
          <w:color w:val="FF0000"/>
          <w:szCs w:val="26"/>
          <w:highlight w:val="yellow"/>
        </w:rPr>
      </w:pPr>
    </w:p>
    <w:p w14:paraId="691B3149" w14:textId="533EAA17" w:rsidR="00D565C4" w:rsidRDefault="00D565C4" w:rsidP="005E793C">
      <w:pPr>
        <w:spacing w:after="0" w:line="240" w:lineRule="auto"/>
        <w:rPr>
          <w:rFonts w:cs="Arial"/>
          <w:b/>
          <w:bCs/>
          <w:color w:val="FF0000"/>
          <w:szCs w:val="26"/>
          <w:highlight w:val="yellow"/>
        </w:rPr>
      </w:pPr>
    </w:p>
    <w:p w14:paraId="5E26B720" w14:textId="77777777" w:rsidR="005F5CF1" w:rsidRPr="00BA4E4C" w:rsidRDefault="005F5CF1" w:rsidP="00BA4E4C">
      <w:pPr>
        <w:rPr>
          <w:highlight w:val="yellow"/>
        </w:rPr>
      </w:pPr>
    </w:p>
    <w:p w14:paraId="7D2EDCE9" w14:textId="21F63E3E" w:rsidR="005E793C" w:rsidRPr="004709F5" w:rsidRDefault="004709F5" w:rsidP="00BA4E4C">
      <w:pPr>
        <w:pStyle w:val="Heading3"/>
      </w:pPr>
      <w:r w:rsidRPr="004709F5">
        <w:lastRenderedPageBreak/>
        <w:t>Responsible SEGRO</w:t>
      </w:r>
      <w:r w:rsidRPr="00454D51">
        <w:t xml:space="preserve"> Environmental</w:t>
      </w:r>
      <w:r w:rsidRPr="004709F5">
        <w:t xml:space="preserve"> Metrics</w:t>
      </w:r>
    </w:p>
    <w:p w14:paraId="64613157" w14:textId="618A9B9B" w:rsidR="005D53AB" w:rsidRDefault="004709F5" w:rsidP="005E793C">
      <w:pPr>
        <w:pStyle w:val="Normal1"/>
      </w:pPr>
      <w:r>
        <w:t>In 2021, as part of our Responsible SEGRO Framework commitment, we reviewed our carbon emissions targets which have been validated by the Science Based Targets Initiative (SBTi). We have therefore updated our formal carbon reduction targets to be in line with the science-based carbon emissions reduction pathway, using our 2020 performance as a benchmark. These targets, set out in the table below, are considered to be a required minimum for SEGRO and we will need to act faster to become a net-zero company by 2030.</w:t>
      </w:r>
    </w:p>
    <w:tbl>
      <w:tblPr>
        <w:tblW w:w="10546" w:type="dxa"/>
        <w:tblCellMar>
          <w:left w:w="0" w:type="dxa"/>
          <w:right w:w="0" w:type="dxa"/>
        </w:tblCellMar>
        <w:tblLook w:val="01E0" w:firstRow="1" w:lastRow="1" w:firstColumn="1" w:lastColumn="1" w:noHBand="0" w:noVBand="0"/>
      </w:tblPr>
      <w:tblGrid>
        <w:gridCol w:w="5812"/>
        <w:gridCol w:w="1559"/>
        <w:gridCol w:w="1564"/>
        <w:gridCol w:w="1611"/>
      </w:tblGrid>
      <w:tr w:rsidR="004709F5" w:rsidRPr="00885479" w14:paraId="035E8CFF" w14:textId="77777777" w:rsidTr="004709F5">
        <w:tc>
          <w:tcPr>
            <w:tcW w:w="5812" w:type="dxa"/>
            <w:tcBorders>
              <w:bottom w:val="single" w:sz="8" w:space="0" w:color="808080" w:themeColor="background1" w:themeShade="80"/>
            </w:tcBorders>
            <w:shd w:val="clear" w:color="auto" w:fill="auto"/>
            <w:vAlign w:val="bottom"/>
          </w:tcPr>
          <w:p w14:paraId="4CC09AA9" w14:textId="77777777" w:rsidR="004709F5" w:rsidRPr="00885479" w:rsidRDefault="004709F5" w:rsidP="00543D82">
            <w:pPr>
              <w:pStyle w:val="Tabletext"/>
              <w:spacing w:line="160" w:lineRule="atLeast"/>
            </w:pPr>
          </w:p>
        </w:tc>
        <w:tc>
          <w:tcPr>
            <w:tcW w:w="1559" w:type="dxa"/>
            <w:tcBorders>
              <w:bottom w:val="single" w:sz="8" w:space="0" w:color="808080" w:themeColor="background1" w:themeShade="80"/>
            </w:tcBorders>
            <w:shd w:val="clear" w:color="auto" w:fill="auto"/>
            <w:vAlign w:val="bottom"/>
          </w:tcPr>
          <w:p w14:paraId="13FA211C" w14:textId="6E2FAD6D" w:rsidR="004709F5" w:rsidRPr="00885479" w:rsidRDefault="004709F5" w:rsidP="00543D82">
            <w:pPr>
              <w:pStyle w:val="TableColHeadsBold0"/>
            </w:pPr>
            <w:r>
              <w:t>Baseline</w:t>
            </w:r>
          </w:p>
        </w:tc>
        <w:tc>
          <w:tcPr>
            <w:tcW w:w="1564" w:type="dxa"/>
            <w:tcBorders>
              <w:bottom w:val="single" w:sz="8" w:space="0" w:color="808080" w:themeColor="background1" w:themeShade="80"/>
            </w:tcBorders>
            <w:shd w:val="clear" w:color="auto" w:fill="auto"/>
            <w:vAlign w:val="bottom"/>
          </w:tcPr>
          <w:p w14:paraId="7DD4EF3B" w14:textId="6C0FCFCB" w:rsidR="004709F5" w:rsidRPr="00885479" w:rsidRDefault="004709F5" w:rsidP="00543D82">
            <w:pPr>
              <w:pStyle w:val="TableColHeadsBold0"/>
            </w:pPr>
            <w:r>
              <w:t>2021</w:t>
            </w:r>
          </w:p>
        </w:tc>
        <w:tc>
          <w:tcPr>
            <w:tcW w:w="1611" w:type="dxa"/>
            <w:tcBorders>
              <w:bottom w:val="single" w:sz="8" w:space="0" w:color="808080" w:themeColor="background1" w:themeShade="80"/>
            </w:tcBorders>
            <w:shd w:val="clear" w:color="auto" w:fill="auto"/>
            <w:vAlign w:val="bottom"/>
          </w:tcPr>
          <w:p w14:paraId="6CEAB63F" w14:textId="62985CE2" w:rsidR="004709F5" w:rsidRPr="00885479" w:rsidRDefault="004709F5" w:rsidP="00543D82">
            <w:pPr>
              <w:pStyle w:val="TableColHeads"/>
              <w:spacing w:line="160" w:lineRule="atLeast"/>
            </w:pPr>
            <w:r>
              <w:t>2020</w:t>
            </w:r>
          </w:p>
        </w:tc>
      </w:tr>
      <w:tr w:rsidR="004709F5" w:rsidRPr="00885479" w14:paraId="2111B729" w14:textId="77777777" w:rsidTr="004709F5">
        <w:tc>
          <w:tcPr>
            <w:tcW w:w="5812" w:type="dxa"/>
            <w:tcBorders>
              <w:top w:val="single" w:sz="8" w:space="0" w:color="808080" w:themeColor="background1" w:themeShade="80"/>
            </w:tcBorders>
            <w:shd w:val="clear" w:color="auto" w:fill="auto"/>
            <w:vAlign w:val="bottom"/>
          </w:tcPr>
          <w:p w14:paraId="7775F0E1" w14:textId="77777777" w:rsidR="004709F5" w:rsidRPr="004709F5" w:rsidRDefault="004709F5" w:rsidP="004709F5">
            <w:pPr>
              <w:pStyle w:val="Tabletext"/>
              <w:rPr>
                <w:b/>
                <w:bCs/>
              </w:rPr>
            </w:pPr>
            <w:r w:rsidRPr="004709F5">
              <w:rPr>
                <w:b/>
                <w:bCs/>
              </w:rPr>
              <w:t xml:space="preserve">Operational Carbon (SBTI validated target) </w:t>
            </w:r>
          </w:p>
          <w:p w14:paraId="5D53BAB9" w14:textId="0686ABB5" w:rsidR="004709F5" w:rsidRPr="00885479" w:rsidRDefault="004709F5" w:rsidP="004709F5">
            <w:pPr>
              <w:pStyle w:val="Tabletext"/>
              <w:rPr>
                <w:b/>
                <w:szCs w:val="20"/>
              </w:rPr>
            </w:pPr>
            <w:r>
              <w:t>We will reduce the absolute CO2e emissions from our portfolio by 42 per cent by 2030 against a 2020 baseline. The 2020 baseline has been re-stated to reflect actual recorded fuel use (54 per cent of the portfolio by floorspace) and an estimation for the portfolio for which we have no visibility (46 per cent of the portfolio). It includes Scope 1, 2 and Scope 3 Downstream Leased Assets.</w:t>
            </w:r>
          </w:p>
        </w:tc>
        <w:tc>
          <w:tcPr>
            <w:tcW w:w="1559" w:type="dxa"/>
            <w:tcBorders>
              <w:top w:val="single" w:sz="8" w:space="0" w:color="808080" w:themeColor="background1" w:themeShade="80"/>
            </w:tcBorders>
            <w:shd w:val="clear" w:color="auto" w:fill="auto"/>
          </w:tcPr>
          <w:p w14:paraId="702F2BDD" w14:textId="7D803A51" w:rsidR="004709F5" w:rsidRPr="004709F5" w:rsidRDefault="004709F5" w:rsidP="00543D82">
            <w:pPr>
              <w:pStyle w:val="TableFiguresBold0"/>
              <w:rPr>
                <w:b w:val="0"/>
                <w:bCs w:val="0"/>
              </w:rPr>
            </w:pPr>
            <w:r w:rsidRPr="004709F5">
              <w:rPr>
                <w:b w:val="0"/>
                <w:bCs w:val="0"/>
              </w:rPr>
              <w:t>312,115 tonnes</w:t>
            </w:r>
          </w:p>
        </w:tc>
        <w:tc>
          <w:tcPr>
            <w:tcW w:w="1564" w:type="dxa"/>
            <w:tcBorders>
              <w:top w:val="single" w:sz="8" w:space="0" w:color="808080" w:themeColor="background1" w:themeShade="80"/>
            </w:tcBorders>
            <w:shd w:val="clear" w:color="auto" w:fill="auto"/>
          </w:tcPr>
          <w:p w14:paraId="5CB2A343" w14:textId="1BCAF835" w:rsidR="004709F5" w:rsidRPr="00885479" w:rsidRDefault="004709F5" w:rsidP="00543D82">
            <w:pPr>
              <w:pStyle w:val="TableFiguresBold0"/>
            </w:pPr>
            <w:r>
              <w:t>280,575 tonnes</w:t>
            </w:r>
          </w:p>
        </w:tc>
        <w:tc>
          <w:tcPr>
            <w:tcW w:w="1611" w:type="dxa"/>
            <w:tcBorders>
              <w:top w:val="single" w:sz="8" w:space="0" w:color="808080" w:themeColor="background1" w:themeShade="80"/>
            </w:tcBorders>
          </w:tcPr>
          <w:p w14:paraId="4C2E236C" w14:textId="33543219" w:rsidR="004709F5" w:rsidRPr="00885479" w:rsidRDefault="004709F5" w:rsidP="00543D82">
            <w:pPr>
              <w:pStyle w:val="TableFigures"/>
            </w:pPr>
            <w:r>
              <w:t>312,115 tonnes</w:t>
            </w:r>
          </w:p>
        </w:tc>
      </w:tr>
      <w:tr w:rsidR="004709F5" w:rsidRPr="00885479" w14:paraId="3C39A0BB" w14:textId="77777777" w:rsidTr="004709F5">
        <w:tc>
          <w:tcPr>
            <w:tcW w:w="5812" w:type="dxa"/>
            <w:shd w:val="clear" w:color="auto" w:fill="auto"/>
            <w:vAlign w:val="bottom"/>
          </w:tcPr>
          <w:p w14:paraId="2AFF186D" w14:textId="77777777" w:rsidR="004709F5" w:rsidRPr="004709F5" w:rsidRDefault="004709F5" w:rsidP="00543D82">
            <w:pPr>
              <w:pStyle w:val="Tabletext"/>
              <w:rPr>
                <w:b/>
                <w:bCs/>
              </w:rPr>
            </w:pPr>
            <w:r w:rsidRPr="004709F5">
              <w:rPr>
                <w:b/>
                <w:bCs/>
              </w:rPr>
              <w:t xml:space="preserve">Operational Carbon Intensity </w:t>
            </w:r>
          </w:p>
          <w:p w14:paraId="3FAC59F7" w14:textId="70489167" w:rsidR="004709F5" w:rsidRPr="00885479" w:rsidRDefault="004709F5" w:rsidP="00543D82">
            <w:pPr>
              <w:pStyle w:val="Tabletext"/>
              <w:rPr>
                <w:szCs w:val="20"/>
              </w:rPr>
            </w:pPr>
            <w:r>
              <w:t>This metric is based on the CO2e emissions of the portfolio for which we have visibility of the data. This reflects 54 per cent of the portfolio floorspace under management.</w:t>
            </w:r>
          </w:p>
        </w:tc>
        <w:tc>
          <w:tcPr>
            <w:tcW w:w="1559" w:type="dxa"/>
            <w:shd w:val="clear" w:color="auto" w:fill="auto"/>
          </w:tcPr>
          <w:p w14:paraId="520429CD" w14:textId="77777777" w:rsidR="004709F5" w:rsidRPr="004709F5" w:rsidRDefault="004709F5" w:rsidP="00543D82">
            <w:pPr>
              <w:pStyle w:val="TableFiguresBold0"/>
              <w:rPr>
                <w:b w:val="0"/>
                <w:bCs w:val="0"/>
              </w:rPr>
            </w:pPr>
          </w:p>
        </w:tc>
        <w:tc>
          <w:tcPr>
            <w:tcW w:w="1564" w:type="dxa"/>
            <w:shd w:val="clear" w:color="auto" w:fill="auto"/>
          </w:tcPr>
          <w:p w14:paraId="04C48BD9" w14:textId="6420B1C4" w:rsidR="004709F5" w:rsidRPr="00885479" w:rsidRDefault="004709F5" w:rsidP="00543D82">
            <w:pPr>
              <w:pStyle w:val="TableFiguresBold0"/>
            </w:pPr>
            <w:r>
              <w:t>27.9 kgCO</w:t>
            </w:r>
            <w:r w:rsidRPr="004709F5">
              <w:rPr>
                <w:vertAlign w:val="subscript"/>
              </w:rPr>
              <w:t>2</w:t>
            </w:r>
            <w:r w:rsidRPr="004709F5">
              <w:t>e/sq m</w:t>
            </w:r>
          </w:p>
        </w:tc>
        <w:tc>
          <w:tcPr>
            <w:tcW w:w="1611" w:type="dxa"/>
          </w:tcPr>
          <w:p w14:paraId="0335A64E" w14:textId="3D610C2A" w:rsidR="004709F5" w:rsidRPr="00885479" w:rsidRDefault="004709F5" w:rsidP="00543D82">
            <w:pPr>
              <w:pStyle w:val="TableFigures"/>
            </w:pPr>
            <w:r>
              <w:t>37.5kgCO</w:t>
            </w:r>
            <w:r w:rsidRPr="004709F5">
              <w:rPr>
                <w:vertAlign w:val="subscript"/>
              </w:rPr>
              <w:t>2</w:t>
            </w:r>
            <w:r w:rsidRPr="004709F5">
              <w:t>e/sq m</w:t>
            </w:r>
          </w:p>
        </w:tc>
      </w:tr>
      <w:tr w:rsidR="004709F5" w:rsidRPr="00885479" w14:paraId="75B8787F" w14:textId="77777777" w:rsidTr="004709F5">
        <w:tc>
          <w:tcPr>
            <w:tcW w:w="5812" w:type="dxa"/>
            <w:shd w:val="clear" w:color="auto" w:fill="auto"/>
            <w:vAlign w:val="bottom"/>
          </w:tcPr>
          <w:p w14:paraId="0E0AB638" w14:textId="77777777" w:rsidR="004709F5" w:rsidRPr="004709F5" w:rsidRDefault="004709F5" w:rsidP="00543D82">
            <w:pPr>
              <w:pStyle w:val="Tabletext"/>
              <w:rPr>
                <w:b/>
                <w:bCs/>
              </w:rPr>
            </w:pPr>
            <w:r w:rsidRPr="004709F5">
              <w:rPr>
                <w:b/>
                <w:bCs/>
              </w:rPr>
              <w:t>Embodied Carbon (SBTi validated target)</w:t>
            </w:r>
          </w:p>
          <w:p w14:paraId="0DD6A1D2" w14:textId="498BAA22" w:rsidR="004709F5" w:rsidRPr="004709F5" w:rsidRDefault="004709F5" w:rsidP="00543D82">
            <w:pPr>
              <w:pStyle w:val="Tabletext"/>
              <w:rPr>
                <w:b/>
                <w:bCs/>
              </w:rPr>
            </w:pPr>
            <w:r>
              <w:t xml:space="preserve"> We will reduce the embodied carbon intensity of new developments by 20 per cent by 2030, against a 2020 baseline. The 2020 baseline and the embodied carbon intensity figure has been recalculated to encompass more of the carbon embodied within our development pipeline. In 2021, SEGRO undertook an embodied carbon assessment of 53 per cent of completed developments by floorspace. We are working to have embodied carbon data for all developments containing over 5,000 sq m of floorspace</w:t>
            </w:r>
          </w:p>
        </w:tc>
        <w:tc>
          <w:tcPr>
            <w:tcW w:w="1559" w:type="dxa"/>
            <w:shd w:val="clear" w:color="auto" w:fill="auto"/>
          </w:tcPr>
          <w:p w14:paraId="7E0AA337" w14:textId="70CD920B" w:rsidR="004709F5" w:rsidRPr="004709F5" w:rsidRDefault="004709F5" w:rsidP="00543D82">
            <w:pPr>
              <w:pStyle w:val="TableFiguresBold0"/>
              <w:rPr>
                <w:b w:val="0"/>
                <w:bCs w:val="0"/>
              </w:rPr>
            </w:pPr>
            <w:r>
              <w:rPr>
                <w:b w:val="0"/>
                <w:bCs w:val="0"/>
              </w:rPr>
              <w:t xml:space="preserve">400 </w:t>
            </w:r>
            <w:r w:rsidRPr="004709F5">
              <w:rPr>
                <w:b w:val="0"/>
                <w:bCs w:val="0"/>
              </w:rPr>
              <w:t>kgCO</w:t>
            </w:r>
            <w:r w:rsidRPr="004709F5">
              <w:rPr>
                <w:b w:val="0"/>
                <w:bCs w:val="0"/>
                <w:vertAlign w:val="subscript"/>
              </w:rPr>
              <w:t>2</w:t>
            </w:r>
            <w:r w:rsidRPr="004709F5">
              <w:rPr>
                <w:b w:val="0"/>
                <w:bCs w:val="0"/>
              </w:rPr>
              <w:t>e/sq m</w:t>
            </w:r>
          </w:p>
        </w:tc>
        <w:tc>
          <w:tcPr>
            <w:tcW w:w="1564" w:type="dxa"/>
            <w:shd w:val="clear" w:color="auto" w:fill="auto"/>
          </w:tcPr>
          <w:p w14:paraId="79248271" w14:textId="03381596" w:rsidR="004709F5" w:rsidRDefault="004709F5" w:rsidP="00543D82">
            <w:pPr>
              <w:pStyle w:val="TableFiguresBold0"/>
            </w:pPr>
            <w:r>
              <w:t>391 kgCO</w:t>
            </w:r>
            <w:r w:rsidRPr="004709F5">
              <w:rPr>
                <w:vertAlign w:val="subscript"/>
              </w:rPr>
              <w:t>2</w:t>
            </w:r>
            <w:r w:rsidRPr="004709F5">
              <w:t>e/sq m</w:t>
            </w:r>
          </w:p>
        </w:tc>
        <w:tc>
          <w:tcPr>
            <w:tcW w:w="1611" w:type="dxa"/>
          </w:tcPr>
          <w:p w14:paraId="08AD26DC" w14:textId="68A3A4C5" w:rsidR="004709F5" w:rsidRDefault="004709F5" w:rsidP="00543D82">
            <w:pPr>
              <w:pStyle w:val="TableFigures"/>
            </w:pPr>
            <w:r>
              <w:t>400 kgCO</w:t>
            </w:r>
            <w:r w:rsidRPr="004709F5">
              <w:rPr>
                <w:vertAlign w:val="subscript"/>
              </w:rPr>
              <w:t>2</w:t>
            </w:r>
            <w:r w:rsidRPr="004709F5">
              <w:t>e/sq m</w:t>
            </w:r>
          </w:p>
        </w:tc>
      </w:tr>
      <w:tr w:rsidR="004709F5" w:rsidRPr="00885479" w14:paraId="0273114A" w14:textId="77777777" w:rsidTr="004709F5">
        <w:tc>
          <w:tcPr>
            <w:tcW w:w="5812" w:type="dxa"/>
            <w:shd w:val="clear" w:color="auto" w:fill="auto"/>
            <w:vAlign w:val="bottom"/>
          </w:tcPr>
          <w:p w14:paraId="2DB020E3" w14:textId="77777777" w:rsidR="004709F5" w:rsidRPr="004709F5" w:rsidRDefault="004709F5" w:rsidP="00543D82">
            <w:pPr>
              <w:pStyle w:val="Tabletext"/>
              <w:rPr>
                <w:b/>
                <w:bCs/>
              </w:rPr>
            </w:pPr>
            <w:r w:rsidRPr="004709F5">
              <w:rPr>
                <w:b/>
                <w:bCs/>
              </w:rPr>
              <w:t xml:space="preserve">Energy Efficiency </w:t>
            </w:r>
          </w:p>
          <w:p w14:paraId="38035A79" w14:textId="517FC4DD" w:rsidR="004709F5" w:rsidRPr="004709F5" w:rsidRDefault="004709F5" w:rsidP="00543D82">
            <w:pPr>
              <w:pStyle w:val="Tabletext"/>
              <w:rPr>
                <w:b/>
                <w:bCs/>
              </w:rPr>
            </w:pPr>
            <w:r>
              <w:t>We are conscious of demands by our customers and by governments to provide energy-efficient buildings to reduce both carbon emissions and operating costs. We monitor these by use of Energy Performance Certificates (EPC). We are aiming for every building to have an EPC rating of B1 or better</w:t>
            </w:r>
          </w:p>
        </w:tc>
        <w:tc>
          <w:tcPr>
            <w:tcW w:w="1559" w:type="dxa"/>
            <w:shd w:val="clear" w:color="auto" w:fill="auto"/>
          </w:tcPr>
          <w:p w14:paraId="73B29C69" w14:textId="77777777" w:rsidR="004709F5" w:rsidRDefault="004709F5" w:rsidP="00543D82">
            <w:pPr>
              <w:pStyle w:val="TableFiguresBold0"/>
              <w:rPr>
                <w:b w:val="0"/>
                <w:bCs w:val="0"/>
              </w:rPr>
            </w:pPr>
          </w:p>
        </w:tc>
        <w:tc>
          <w:tcPr>
            <w:tcW w:w="1564" w:type="dxa"/>
            <w:shd w:val="clear" w:color="auto" w:fill="auto"/>
          </w:tcPr>
          <w:p w14:paraId="26275AC9" w14:textId="77777777" w:rsidR="004709F5" w:rsidRDefault="004709F5" w:rsidP="00543D82">
            <w:pPr>
              <w:pStyle w:val="TableFiguresBold0"/>
            </w:pPr>
          </w:p>
        </w:tc>
        <w:tc>
          <w:tcPr>
            <w:tcW w:w="1611" w:type="dxa"/>
          </w:tcPr>
          <w:p w14:paraId="4ED2A790" w14:textId="77777777" w:rsidR="004709F5" w:rsidRDefault="004709F5" w:rsidP="00543D82">
            <w:pPr>
              <w:pStyle w:val="TableFigures"/>
            </w:pPr>
          </w:p>
        </w:tc>
      </w:tr>
      <w:tr w:rsidR="004709F5" w:rsidRPr="00885479" w14:paraId="1A025A43" w14:textId="77777777" w:rsidTr="004709F5">
        <w:tc>
          <w:tcPr>
            <w:tcW w:w="5812" w:type="dxa"/>
            <w:shd w:val="clear" w:color="auto" w:fill="auto"/>
            <w:vAlign w:val="bottom"/>
          </w:tcPr>
          <w:p w14:paraId="3BB11AAA" w14:textId="1704D7A3" w:rsidR="004709F5" w:rsidRPr="00CA405E" w:rsidRDefault="004709F5" w:rsidP="00543D82">
            <w:pPr>
              <w:pStyle w:val="Tabletext"/>
            </w:pPr>
            <w:r w:rsidRPr="00CA405E">
              <w:t>Group floorspace rated B or better</w:t>
            </w:r>
          </w:p>
        </w:tc>
        <w:tc>
          <w:tcPr>
            <w:tcW w:w="1559" w:type="dxa"/>
            <w:shd w:val="clear" w:color="auto" w:fill="auto"/>
          </w:tcPr>
          <w:p w14:paraId="1458C035" w14:textId="77777777" w:rsidR="004709F5" w:rsidRDefault="004709F5" w:rsidP="00543D82">
            <w:pPr>
              <w:pStyle w:val="TableFiguresBold0"/>
              <w:rPr>
                <w:b w:val="0"/>
                <w:bCs w:val="0"/>
              </w:rPr>
            </w:pPr>
          </w:p>
        </w:tc>
        <w:tc>
          <w:tcPr>
            <w:tcW w:w="1564" w:type="dxa"/>
            <w:shd w:val="clear" w:color="auto" w:fill="auto"/>
          </w:tcPr>
          <w:p w14:paraId="2BD26508" w14:textId="60A19FAA" w:rsidR="004709F5" w:rsidRDefault="004709F5" w:rsidP="00543D82">
            <w:pPr>
              <w:pStyle w:val="TableFiguresBold0"/>
            </w:pPr>
            <w:r>
              <w:t>54.6%</w:t>
            </w:r>
          </w:p>
        </w:tc>
        <w:tc>
          <w:tcPr>
            <w:tcW w:w="1611" w:type="dxa"/>
          </w:tcPr>
          <w:p w14:paraId="417AAB17" w14:textId="5CE10BCE" w:rsidR="004709F5" w:rsidRDefault="004709F5" w:rsidP="00543D82">
            <w:pPr>
              <w:pStyle w:val="TableFigures"/>
            </w:pPr>
            <w:r>
              <w:t>49.3%</w:t>
            </w:r>
          </w:p>
        </w:tc>
      </w:tr>
      <w:tr w:rsidR="004709F5" w:rsidRPr="00885479" w14:paraId="4D5F40E5" w14:textId="77777777" w:rsidTr="004709F5">
        <w:tc>
          <w:tcPr>
            <w:tcW w:w="5812" w:type="dxa"/>
            <w:shd w:val="clear" w:color="auto" w:fill="auto"/>
            <w:vAlign w:val="bottom"/>
          </w:tcPr>
          <w:p w14:paraId="72F7EB49" w14:textId="3E532A40" w:rsidR="004709F5" w:rsidRPr="00CA405E" w:rsidRDefault="004709F5" w:rsidP="00543D82">
            <w:pPr>
              <w:pStyle w:val="Tabletext"/>
            </w:pPr>
            <w:r w:rsidRPr="00CA405E">
              <w:t>Group floorspace rated E or lower</w:t>
            </w:r>
          </w:p>
        </w:tc>
        <w:tc>
          <w:tcPr>
            <w:tcW w:w="1559" w:type="dxa"/>
            <w:shd w:val="clear" w:color="auto" w:fill="auto"/>
          </w:tcPr>
          <w:p w14:paraId="2C0A39D8" w14:textId="77777777" w:rsidR="004709F5" w:rsidRDefault="004709F5" w:rsidP="00543D82">
            <w:pPr>
              <w:pStyle w:val="TableFiguresBold0"/>
              <w:rPr>
                <w:b w:val="0"/>
                <w:bCs w:val="0"/>
              </w:rPr>
            </w:pPr>
          </w:p>
        </w:tc>
        <w:tc>
          <w:tcPr>
            <w:tcW w:w="1564" w:type="dxa"/>
            <w:shd w:val="clear" w:color="auto" w:fill="auto"/>
          </w:tcPr>
          <w:p w14:paraId="1F59E3B8" w14:textId="5769D391" w:rsidR="004709F5" w:rsidRDefault="004709F5" w:rsidP="00543D82">
            <w:pPr>
              <w:pStyle w:val="TableFiguresBold0"/>
            </w:pPr>
            <w:r>
              <w:t>1.1%</w:t>
            </w:r>
          </w:p>
        </w:tc>
        <w:tc>
          <w:tcPr>
            <w:tcW w:w="1611" w:type="dxa"/>
          </w:tcPr>
          <w:p w14:paraId="5681D1EC" w14:textId="5CE4FB20" w:rsidR="004709F5" w:rsidRDefault="004709F5" w:rsidP="00543D82">
            <w:pPr>
              <w:pStyle w:val="TableFigures"/>
            </w:pPr>
            <w:r>
              <w:t>0.5%</w:t>
            </w:r>
          </w:p>
        </w:tc>
      </w:tr>
      <w:tr w:rsidR="004709F5" w:rsidRPr="00885479" w14:paraId="0B5E1045" w14:textId="77777777" w:rsidTr="00CA405E">
        <w:tc>
          <w:tcPr>
            <w:tcW w:w="5812" w:type="dxa"/>
            <w:shd w:val="clear" w:color="auto" w:fill="auto"/>
            <w:vAlign w:val="bottom"/>
          </w:tcPr>
          <w:p w14:paraId="64F99960" w14:textId="37B856E2" w:rsidR="004709F5" w:rsidRPr="00CA405E" w:rsidRDefault="004709F5" w:rsidP="00543D82">
            <w:pPr>
              <w:pStyle w:val="Tabletext"/>
            </w:pPr>
            <w:r w:rsidRPr="00CA405E">
              <w:t>Group floorspace not rated</w:t>
            </w:r>
          </w:p>
        </w:tc>
        <w:tc>
          <w:tcPr>
            <w:tcW w:w="1559" w:type="dxa"/>
            <w:shd w:val="clear" w:color="auto" w:fill="auto"/>
          </w:tcPr>
          <w:p w14:paraId="567DDF0D" w14:textId="77777777" w:rsidR="004709F5" w:rsidRDefault="004709F5" w:rsidP="00543D82">
            <w:pPr>
              <w:pStyle w:val="TableFiguresBold0"/>
              <w:rPr>
                <w:b w:val="0"/>
                <w:bCs w:val="0"/>
              </w:rPr>
            </w:pPr>
          </w:p>
        </w:tc>
        <w:tc>
          <w:tcPr>
            <w:tcW w:w="1564" w:type="dxa"/>
            <w:shd w:val="clear" w:color="auto" w:fill="auto"/>
          </w:tcPr>
          <w:p w14:paraId="35E2D422" w14:textId="0C348809" w:rsidR="004709F5" w:rsidRDefault="004709F5" w:rsidP="00543D82">
            <w:pPr>
              <w:pStyle w:val="TableFiguresBold0"/>
            </w:pPr>
            <w:r>
              <w:t>17.2</w:t>
            </w:r>
            <w:r w:rsidR="00CA405E">
              <w:t>%</w:t>
            </w:r>
          </w:p>
        </w:tc>
        <w:tc>
          <w:tcPr>
            <w:tcW w:w="1611" w:type="dxa"/>
          </w:tcPr>
          <w:p w14:paraId="59F0F118" w14:textId="48B9682B" w:rsidR="004709F5" w:rsidRDefault="00CA405E" w:rsidP="00543D82">
            <w:pPr>
              <w:pStyle w:val="TableFigures"/>
            </w:pPr>
            <w:r>
              <w:t>21.2%</w:t>
            </w:r>
          </w:p>
        </w:tc>
      </w:tr>
      <w:tr w:rsidR="00CA405E" w:rsidRPr="00885479" w14:paraId="254EC251" w14:textId="77777777" w:rsidTr="00CA405E">
        <w:tc>
          <w:tcPr>
            <w:tcW w:w="5812" w:type="dxa"/>
            <w:shd w:val="clear" w:color="auto" w:fill="auto"/>
            <w:vAlign w:val="bottom"/>
          </w:tcPr>
          <w:p w14:paraId="64C331E8" w14:textId="77777777" w:rsidR="00CA405E" w:rsidRPr="00CA405E" w:rsidRDefault="00CA405E" w:rsidP="00543D82">
            <w:pPr>
              <w:pStyle w:val="Tabletext"/>
              <w:rPr>
                <w:b/>
                <w:bCs/>
              </w:rPr>
            </w:pPr>
            <w:r w:rsidRPr="00CA405E">
              <w:rPr>
                <w:b/>
                <w:bCs/>
              </w:rPr>
              <w:t xml:space="preserve">On-site Renewable Energy Generation </w:t>
            </w:r>
          </w:p>
          <w:p w14:paraId="40B004FE" w14:textId="3EEEA881" w:rsidR="00CA405E" w:rsidRPr="00CA405E" w:rsidRDefault="00CA405E" w:rsidP="00543D82">
            <w:pPr>
              <w:pStyle w:val="Tabletext"/>
            </w:pPr>
            <w:r>
              <w:t>With significant roof space, our portfolio is capable of supporting on-site renewable energy capacity through the use of photovoltaic (solar) panels. We intend to increase this by installing solar panels on our new developments and on appropriate existing assets</w:t>
            </w:r>
          </w:p>
        </w:tc>
        <w:tc>
          <w:tcPr>
            <w:tcW w:w="1559" w:type="dxa"/>
            <w:shd w:val="clear" w:color="auto" w:fill="auto"/>
          </w:tcPr>
          <w:p w14:paraId="3BBC6CF3" w14:textId="4FB892C0" w:rsidR="00CA405E" w:rsidRDefault="00CA405E" w:rsidP="00543D82">
            <w:pPr>
              <w:pStyle w:val="TableFiguresBold0"/>
              <w:rPr>
                <w:b w:val="0"/>
                <w:bCs w:val="0"/>
              </w:rPr>
            </w:pPr>
            <w:r>
              <w:rPr>
                <w:b w:val="0"/>
                <w:bCs w:val="0"/>
              </w:rPr>
              <w:t>Capacity Generated</w:t>
            </w:r>
          </w:p>
        </w:tc>
        <w:tc>
          <w:tcPr>
            <w:tcW w:w="1564" w:type="dxa"/>
            <w:shd w:val="clear" w:color="auto" w:fill="auto"/>
          </w:tcPr>
          <w:p w14:paraId="50CDEFFF" w14:textId="1DE46A82" w:rsidR="00CA405E" w:rsidRDefault="00CA405E" w:rsidP="00543D82">
            <w:pPr>
              <w:pStyle w:val="TableFiguresBold0"/>
            </w:pPr>
            <w:r>
              <w:t>3</w:t>
            </w:r>
            <w:r w:rsidR="00A73D99">
              <w:t>5.4</w:t>
            </w:r>
            <w:r>
              <w:t xml:space="preserve"> MW</w:t>
            </w:r>
          </w:p>
          <w:p w14:paraId="46AC769A" w14:textId="5ED6CAAA" w:rsidR="00CA405E" w:rsidRDefault="00CA405E" w:rsidP="00543D82">
            <w:pPr>
              <w:pStyle w:val="TableFiguresBold0"/>
            </w:pPr>
            <w:r>
              <w:t>24,</w:t>
            </w:r>
            <w:r w:rsidR="00A73D99">
              <w:t>781</w:t>
            </w:r>
            <w:r>
              <w:t xml:space="preserve"> MWh</w:t>
            </w:r>
          </w:p>
        </w:tc>
        <w:tc>
          <w:tcPr>
            <w:tcW w:w="1611" w:type="dxa"/>
          </w:tcPr>
          <w:p w14:paraId="16EC9122" w14:textId="77777777" w:rsidR="00CA405E" w:rsidRDefault="00CA405E" w:rsidP="00543D82">
            <w:pPr>
              <w:pStyle w:val="TableFigures"/>
            </w:pPr>
            <w:r>
              <w:t>26.8 MW</w:t>
            </w:r>
          </w:p>
          <w:p w14:paraId="614EC0FE" w14:textId="74D51CF1" w:rsidR="00CA405E" w:rsidRDefault="00CA405E" w:rsidP="00543D82">
            <w:pPr>
              <w:pStyle w:val="TableFigures"/>
            </w:pPr>
            <w:r>
              <w:t>20,976 MWh</w:t>
            </w:r>
          </w:p>
        </w:tc>
      </w:tr>
      <w:tr w:rsidR="00CA405E" w:rsidRPr="00885479" w14:paraId="0DCCE5EA" w14:textId="77777777" w:rsidTr="004709F5">
        <w:tc>
          <w:tcPr>
            <w:tcW w:w="5812" w:type="dxa"/>
            <w:tcBorders>
              <w:bottom w:val="single" w:sz="4" w:space="0" w:color="808080" w:themeColor="background1" w:themeShade="80"/>
            </w:tcBorders>
            <w:shd w:val="clear" w:color="auto" w:fill="auto"/>
            <w:vAlign w:val="bottom"/>
          </w:tcPr>
          <w:p w14:paraId="4B2440DD" w14:textId="77777777" w:rsidR="00CA405E" w:rsidRPr="00CA405E" w:rsidRDefault="00CA405E" w:rsidP="00543D82">
            <w:pPr>
              <w:pStyle w:val="Tabletext"/>
              <w:rPr>
                <w:b/>
                <w:bCs/>
              </w:rPr>
            </w:pPr>
            <w:r w:rsidRPr="00CA405E">
              <w:rPr>
                <w:b/>
                <w:bCs/>
              </w:rPr>
              <w:t xml:space="preserve">Off-site Renewable Energy Procurement </w:t>
            </w:r>
          </w:p>
          <w:p w14:paraId="210ECCEB" w14:textId="1ADDD43F" w:rsidR="00CA405E" w:rsidRPr="00CA405E" w:rsidRDefault="00CA405E" w:rsidP="00543D82">
            <w:pPr>
              <w:pStyle w:val="Tabletext"/>
              <w:rPr>
                <w:b/>
                <w:bCs/>
              </w:rPr>
            </w:pPr>
            <w:r>
              <w:t>Where on-site renewable energy is either unavailable or insufficient, we are working towards ensuring that all off-site electricity supplies are sourced from 100 per cent certified renewables. This data reflects the portfolio over which we have visibility of electricity supply.</w:t>
            </w:r>
          </w:p>
        </w:tc>
        <w:tc>
          <w:tcPr>
            <w:tcW w:w="1559" w:type="dxa"/>
            <w:tcBorders>
              <w:bottom w:val="single" w:sz="4" w:space="0" w:color="808080" w:themeColor="background1" w:themeShade="80"/>
            </w:tcBorders>
            <w:shd w:val="clear" w:color="auto" w:fill="auto"/>
          </w:tcPr>
          <w:p w14:paraId="4FD81E86" w14:textId="77777777" w:rsidR="00CA405E" w:rsidRDefault="00CA405E" w:rsidP="00543D82">
            <w:pPr>
              <w:pStyle w:val="TableFiguresBold0"/>
              <w:rPr>
                <w:b w:val="0"/>
                <w:bCs w:val="0"/>
              </w:rPr>
            </w:pPr>
          </w:p>
        </w:tc>
        <w:tc>
          <w:tcPr>
            <w:tcW w:w="1564" w:type="dxa"/>
            <w:tcBorders>
              <w:bottom w:val="single" w:sz="4" w:space="0" w:color="808080" w:themeColor="background1" w:themeShade="80"/>
            </w:tcBorders>
            <w:shd w:val="clear" w:color="auto" w:fill="auto"/>
          </w:tcPr>
          <w:p w14:paraId="3117DBA3" w14:textId="20E4F1C4" w:rsidR="00CA405E" w:rsidRDefault="00CA405E" w:rsidP="00543D82">
            <w:pPr>
              <w:pStyle w:val="TableFiguresBold0"/>
            </w:pPr>
            <w:r>
              <w:t>53%</w:t>
            </w:r>
          </w:p>
        </w:tc>
        <w:tc>
          <w:tcPr>
            <w:tcW w:w="1611" w:type="dxa"/>
            <w:tcBorders>
              <w:bottom w:val="single" w:sz="4" w:space="0" w:color="808080" w:themeColor="background1" w:themeShade="80"/>
            </w:tcBorders>
          </w:tcPr>
          <w:p w14:paraId="7B51D7B3" w14:textId="4AA8A4CB" w:rsidR="00CA405E" w:rsidRDefault="00CA405E" w:rsidP="00543D82">
            <w:pPr>
              <w:pStyle w:val="TableFigures"/>
            </w:pPr>
            <w:r>
              <w:t>11%</w:t>
            </w:r>
          </w:p>
        </w:tc>
      </w:tr>
    </w:tbl>
    <w:p w14:paraId="4EF8C260" w14:textId="77777777" w:rsidR="004709F5" w:rsidRDefault="004709F5" w:rsidP="005E793C">
      <w:pPr>
        <w:pStyle w:val="Normal1"/>
        <w:rPr>
          <w:color w:val="FF0000"/>
          <w:highlight w:val="yellow"/>
        </w:rPr>
      </w:pPr>
    </w:p>
    <w:p w14:paraId="667D5398" w14:textId="355206B3" w:rsidR="004709F5" w:rsidRPr="005F6D8A" w:rsidRDefault="00CA405E" w:rsidP="00CA405E">
      <w:pPr>
        <w:pStyle w:val="FootnotesNoSpace"/>
        <w:rPr>
          <w:color w:val="FF0000"/>
          <w:highlight w:val="yellow"/>
        </w:rPr>
      </w:pPr>
      <w:r>
        <w:t>1 Germany and Poland express EPC ratings as numerical primary energy demand figures and are therefore inconsistent with SEGRO’s other markets. For the purpose of creating a group EPC metric a B rating is equivalent to a primary energy demand of 150 kWh/m2 or less for Germany and Poland.</w:t>
      </w:r>
    </w:p>
    <w:p w14:paraId="6FECBD76" w14:textId="682D3FA4" w:rsidR="005D53AB" w:rsidRPr="005F6D8A" w:rsidRDefault="005D53AB" w:rsidP="005E793C">
      <w:pPr>
        <w:pStyle w:val="Normal1"/>
        <w:rPr>
          <w:color w:val="FF0000"/>
          <w:highlight w:val="yellow"/>
        </w:rPr>
      </w:pPr>
    </w:p>
    <w:p w14:paraId="2AEF6673" w14:textId="3D3A0486" w:rsidR="005D53AB" w:rsidRPr="005F6D8A" w:rsidRDefault="005D53AB" w:rsidP="005E793C">
      <w:pPr>
        <w:pStyle w:val="Normal1"/>
        <w:rPr>
          <w:color w:val="FF0000"/>
          <w:highlight w:val="yellow"/>
        </w:rPr>
      </w:pPr>
    </w:p>
    <w:p w14:paraId="75CC4BBD" w14:textId="77777777" w:rsidR="005D53AB" w:rsidRPr="005F6D8A" w:rsidRDefault="005D53AB" w:rsidP="005E793C">
      <w:pPr>
        <w:pStyle w:val="Normal1"/>
        <w:rPr>
          <w:color w:val="FF0000"/>
          <w:highlight w:val="yellow"/>
        </w:rPr>
      </w:pPr>
    </w:p>
    <w:p w14:paraId="09DDD367" w14:textId="79ACA4CF" w:rsidR="005E793C" w:rsidRPr="005F6D8A" w:rsidRDefault="005E793C" w:rsidP="005E793C">
      <w:pPr>
        <w:pStyle w:val="Normal1"/>
        <w:rPr>
          <w:color w:val="FF0000"/>
          <w:highlight w:val="yellow"/>
        </w:rPr>
      </w:pPr>
    </w:p>
    <w:p w14:paraId="6F3B8E4F" w14:textId="77777777" w:rsidR="005D53AB" w:rsidRPr="005F6D8A" w:rsidRDefault="005D53AB" w:rsidP="005E793C">
      <w:pPr>
        <w:pStyle w:val="Normal1"/>
        <w:rPr>
          <w:color w:val="FF0000"/>
          <w:highlight w:val="yellow"/>
        </w:rPr>
      </w:pPr>
    </w:p>
    <w:p w14:paraId="1E03DA88" w14:textId="77777777" w:rsidR="005E793C" w:rsidRPr="005F6D8A" w:rsidRDefault="005E793C" w:rsidP="005E793C">
      <w:pPr>
        <w:rPr>
          <w:color w:val="FF0000"/>
          <w:highlight w:val="yellow"/>
        </w:rPr>
      </w:pPr>
    </w:p>
    <w:p w14:paraId="14E34B28" w14:textId="77777777" w:rsidR="005E793C" w:rsidRPr="005F6D8A" w:rsidRDefault="005E793C" w:rsidP="005E793C">
      <w:pPr>
        <w:rPr>
          <w:color w:val="FF0000"/>
          <w:highlight w:val="yellow"/>
        </w:rPr>
      </w:pPr>
    </w:p>
    <w:p w14:paraId="63878E52" w14:textId="5EC21C2E" w:rsidR="00EA3B1A" w:rsidRDefault="00EA3B1A" w:rsidP="005E793C">
      <w:pPr>
        <w:pStyle w:val="Heading3"/>
        <w:rPr>
          <w:color w:val="FF0000"/>
        </w:rPr>
      </w:pPr>
    </w:p>
    <w:p w14:paraId="57BFF14B" w14:textId="77777777" w:rsidR="00035366" w:rsidRPr="00035366" w:rsidRDefault="00035366" w:rsidP="00035366"/>
    <w:p w14:paraId="167BCEFC" w14:textId="0B414F30" w:rsidR="005E793C" w:rsidRPr="00703F38" w:rsidRDefault="005E793C" w:rsidP="005E793C">
      <w:pPr>
        <w:pStyle w:val="Heading3"/>
      </w:pPr>
      <w:r w:rsidRPr="00703F38">
        <w:lastRenderedPageBreak/>
        <w:t>GLOSSARY OF TERMS</w:t>
      </w:r>
    </w:p>
    <w:p w14:paraId="7CA4F118" w14:textId="77777777" w:rsidR="00035366" w:rsidRDefault="004709F5" w:rsidP="005D53AB">
      <w:pPr>
        <w:pStyle w:val="Normal1"/>
      </w:pPr>
      <w:r w:rsidRPr="00035366">
        <w:rPr>
          <w:b/>
          <w:bCs/>
        </w:rPr>
        <w:t>BREEAM:</w:t>
      </w:r>
      <w:r>
        <w:t xml:space="preserve"> BREEAM provides sustainability assessment and certification for real estate assets. </w:t>
      </w:r>
    </w:p>
    <w:p w14:paraId="70A208BD" w14:textId="77777777" w:rsidR="00035366" w:rsidRDefault="004709F5" w:rsidP="005D53AB">
      <w:pPr>
        <w:pStyle w:val="Normal1"/>
      </w:pPr>
      <w:r w:rsidRPr="00035366">
        <w:rPr>
          <w:b/>
          <w:bCs/>
        </w:rPr>
        <w:t>Completed portfolio</w:t>
      </w:r>
      <w:r>
        <w:t xml:space="preserve">: The completed investment properties and the Group’s share of joint ventures’ completed investment properties. Includes properties held throughout the period, completed developments and properties acquired during the period. </w:t>
      </w:r>
    </w:p>
    <w:p w14:paraId="20101DF8" w14:textId="77777777" w:rsidR="00035366" w:rsidRDefault="004709F5" w:rsidP="005D53AB">
      <w:pPr>
        <w:pStyle w:val="Normal1"/>
      </w:pPr>
      <w:r w:rsidRPr="00035366">
        <w:rPr>
          <w:b/>
          <w:bCs/>
        </w:rPr>
        <w:t>Development pipeline:</w:t>
      </w:r>
      <w:r>
        <w:t xml:space="preserve"> The Group’s current programme of developments authorised or in the course of construction at the Balance Sheet date (Current Pipeline), together with potential schemes not yet commenced on land owned or controlled by the Group (Future Pipeline). </w:t>
      </w:r>
    </w:p>
    <w:p w14:paraId="1A42C803" w14:textId="77777777" w:rsidR="00035366" w:rsidRDefault="004709F5" w:rsidP="005D53AB">
      <w:pPr>
        <w:pStyle w:val="Normal1"/>
      </w:pPr>
      <w:r w:rsidRPr="00035366">
        <w:rPr>
          <w:b/>
          <w:bCs/>
        </w:rPr>
        <w:t>EPRA:</w:t>
      </w:r>
      <w:r>
        <w:t xml:space="preserve"> The European Public Real Estate Association, a real estate industry body, which has issued Best Practices Recommendations in order to provide consistency and transparency in real estate reporting across Europe. </w:t>
      </w:r>
    </w:p>
    <w:p w14:paraId="0959232F" w14:textId="77777777" w:rsidR="00035366" w:rsidRDefault="004709F5" w:rsidP="005D53AB">
      <w:pPr>
        <w:pStyle w:val="Normal1"/>
      </w:pPr>
      <w:r w:rsidRPr="00035366">
        <w:rPr>
          <w:b/>
          <w:bCs/>
        </w:rPr>
        <w:t>ESG:</w:t>
      </w:r>
      <w:r>
        <w:t xml:space="preserve"> Environmental, Social and Governance issues. </w:t>
      </w:r>
    </w:p>
    <w:p w14:paraId="22E80D4D" w14:textId="77777777" w:rsidR="00035366" w:rsidRDefault="004709F5" w:rsidP="005D53AB">
      <w:pPr>
        <w:pStyle w:val="Normal1"/>
      </w:pPr>
      <w:r w:rsidRPr="00035366">
        <w:rPr>
          <w:b/>
          <w:bCs/>
        </w:rPr>
        <w:t>Estimated cost to completion</w:t>
      </w:r>
      <w:r>
        <w:t xml:space="preserve">: Costs still to be expended on a development or redevelopment to practical completion, including attributable interest. </w:t>
      </w:r>
    </w:p>
    <w:p w14:paraId="7BB3A9B1" w14:textId="77777777" w:rsidR="00035366" w:rsidRDefault="004709F5" w:rsidP="005D53AB">
      <w:pPr>
        <w:pStyle w:val="Normal1"/>
      </w:pPr>
      <w:r w:rsidRPr="00035366">
        <w:rPr>
          <w:b/>
          <w:bCs/>
        </w:rPr>
        <w:t>Estimated rental value (ERV):</w:t>
      </w:r>
      <w:r>
        <w:t xml:space="preserve"> The estimated annual market rental value of lettable space as determined biannually by the Group’s valuers. This will normally be different from the rent being paid. </w:t>
      </w:r>
    </w:p>
    <w:p w14:paraId="30ECA8EB" w14:textId="77777777" w:rsidR="00035366" w:rsidRDefault="004709F5" w:rsidP="005D53AB">
      <w:pPr>
        <w:pStyle w:val="Normal1"/>
      </w:pPr>
      <w:r w:rsidRPr="00035366">
        <w:rPr>
          <w:b/>
          <w:bCs/>
        </w:rPr>
        <w:t>Gearing</w:t>
      </w:r>
      <w:r>
        <w:t xml:space="preserve">: Net borrowings divided by total shareholders’ equity excluding intangible assets and deferred tax provisions. </w:t>
      </w:r>
    </w:p>
    <w:p w14:paraId="181F9BD6" w14:textId="77777777" w:rsidR="00035366" w:rsidRDefault="004709F5" w:rsidP="005D53AB">
      <w:pPr>
        <w:pStyle w:val="Normal1"/>
      </w:pPr>
      <w:r w:rsidRPr="00035366">
        <w:rPr>
          <w:b/>
          <w:bCs/>
        </w:rPr>
        <w:t>GRESB:</w:t>
      </w:r>
      <w:r>
        <w:t xml:space="preserve"> An organisation which provides independent benchmarking of ESG metrics for the property industry. </w:t>
      </w:r>
    </w:p>
    <w:p w14:paraId="0A88F484" w14:textId="77777777" w:rsidR="00035366" w:rsidRDefault="004709F5" w:rsidP="005D53AB">
      <w:pPr>
        <w:pStyle w:val="Normal1"/>
      </w:pPr>
      <w:r w:rsidRPr="00035366">
        <w:rPr>
          <w:b/>
          <w:bCs/>
        </w:rPr>
        <w:t>Gross rental income:</w:t>
      </w:r>
      <w:r>
        <w:t xml:space="preserve"> Contracted rental income recognised in the period in the Income Statement, including surrender premiums. Lease incentives, initial costs and any contracted future rental increases are amortised on a straight-line basis over the lease term. </w:t>
      </w:r>
    </w:p>
    <w:p w14:paraId="33D7E7A7" w14:textId="77777777" w:rsidR="00035366" w:rsidRDefault="004709F5" w:rsidP="005D53AB">
      <w:pPr>
        <w:pStyle w:val="Normal1"/>
      </w:pPr>
      <w:r w:rsidRPr="00035366">
        <w:rPr>
          <w:b/>
          <w:bCs/>
        </w:rPr>
        <w:t>Headline rent:</w:t>
      </w:r>
      <w:r>
        <w:t xml:space="preserve"> The annual rental income currently receivable on a property as at the Balance Sheet date (which may be more or less than the ERV) ignoring any rent-free period. </w:t>
      </w:r>
    </w:p>
    <w:p w14:paraId="0AD304A9" w14:textId="77777777" w:rsidR="00035366" w:rsidRDefault="004709F5" w:rsidP="005D53AB">
      <w:pPr>
        <w:pStyle w:val="Normal1"/>
      </w:pPr>
      <w:r w:rsidRPr="00035366">
        <w:rPr>
          <w:b/>
          <w:bCs/>
        </w:rPr>
        <w:t>Hectares (Ha):</w:t>
      </w:r>
      <w:r>
        <w:t xml:space="preserve"> The area of land measurement used in this analysis. The conversion factor used, where appropriate, is 1 hectare = 2.471 acres. </w:t>
      </w:r>
    </w:p>
    <w:p w14:paraId="67161D76" w14:textId="0C540F7D" w:rsidR="005F5CF1" w:rsidRDefault="005F5CF1" w:rsidP="005D53AB">
      <w:pPr>
        <w:pStyle w:val="Normal1"/>
        <w:rPr>
          <w:b/>
          <w:bCs/>
        </w:rPr>
      </w:pPr>
      <w:r>
        <w:rPr>
          <w:b/>
          <w:bCs/>
        </w:rPr>
        <w:t xml:space="preserve">IAS: </w:t>
      </w:r>
      <w:r w:rsidRPr="00BA4E4C">
        <w:t>International Accounting Standards, the standards under which S</w:t>
      </w:r>
      <w:r w:rsidR="00064621">
        <w:t>E</w:t>
      </w:r>
      <w:r w:rsidRPr="00BA4E4C">
        <w:t>GRO reports its financial statements.</w:t>
      </w:r>
      <w:r>
        <w:rPr>
          <w:b/>
          <w:bCs/>
        </w:rPr>
        <w:t xml:space="preserve"> </w:t>
      </w:r>
    </w:p>
    <w:p w14:paraId="6262103C" w14:textId="574E04AC" w:rsidR="00035366" w:rsidRDefault="004709F5" w:rsidP="005D53AB">
      <w:pPr>
        <w:pStyle w:val="Normal1"/>
      </w:pPr>
      <w:r w:rsidRPr="00035366">
        <w:rPr>
          <w:b/>
          <w:bCs/>
        </w:rPr>
        <w:t>IFRS:</w:t>
      </w:r>
      <w:r>
        <w:t xml:space="preserve"> International Financial Reporting Standards, the standards under which SEGRO reports its financial accounts. </w:t>
      </w:r>
    </w:p>
    <w:p w14:paraId="46651786" w14:textId="77777777" w:rsidR="00035366" w:rsidRDefault="004709F5" w:rsidP="005D53AB">
      <w:pPr>
        <w:pStyle w:val="Normal1"/>
      </w:pPr>
      <w:r w:rsidRPr="00035366">
        <w:rPr>
          <w:b/>
          <w:bCs/>
        </w:rPr>
        <w:t>Investment property:</w:t>
      </w:r>
      <w:r>
        <w:t xml:space="preserve"> Completed land and buildings held for rental income return and/or capital appreciation. </w:t>
      </w:r>
    </w:p>
    <w:p w14:paraId="683E5693" w14:textId="77777777" w:rsidR="00035366" w:rsidRDefault="004709F5" w:rsidP="005D53AB">
      <w:pPr>
        <w:pStyle w:val="Normal1"/>
      </w:pPr>
      <w:r w:rsidRPr="00035366">
        <w:rPr>
          <w:b/>
          <w:bCs/>
        </w:rPr>
        <w:t>Joint venture</w:t>
      </w:r>
      <w:r>
        <w:t xml:space="preserve">: An entity in which the Group holds an interest and which is jointly controlled by the Group and one or more partners under a contractual arrangement whereby decisions on financial and operating policies essential to the operation, performance and financial position of the venture require each partner’s consent. </w:t>
      </w:r>
    </w:p>
    <w:p w14:paraId="138B11B8" w14:textId="53A9810E" w:rsidR="00B31A9C" w:rsidRDefault="00B31A9C" w:rsidP="005D53AB">
      <w:pPr>
        <w:pStyle w:val="Normal1"/>
        <w:rPr>
          <w:b/>
          <w:bCs/>
        </w:rPr>
      </w:pPr>
      <w:r>
        <w:rPr>
          <w:b/>
          <w:bCs/>
        </w:rPr>
        <w:t xml:space="preserve">Life cycle assessments: </w:t>
      </w:r>
      <w:r w:rsidRPr="00BA4E4C">
        <w:t xml:space="preserve">Life cycle assessment (LCA) is a methodology for assessing the environmental impacts associated with all the stages of the life cycle of a building. </w:t>
      </w:r>
    </w:p>
    <w:p w14:paraId="3006F79F" w14:textId="40A4F656" w:rsidR="00035366" w:rsidRDefault="004709F5" w:rsidP="005D53AB">
      <w:pPr>
        <w:pStyle w:val="Normal1"/>
      </w:pPr>
      <w:r w:rsidRPr="00035366">
        <w:rPr>
          <w:b/>
          <w:bCs/>
        </w:rPr>
        <w:t>Loan to value (LTV):</w:t>
      </w:r>
      <w:r>
        <w:t xml:space="preserve"> Net borrowings divided by the carrying value of total property assets (investment, owner occupied, trading properties and, if appropriate, assets held for sale on the balance sheet) and excludes head lease ROU asset. This is reported on a ‘look-through’ basis (including joint ventures at share). </w:t>
      </w:r>
    </w:p>
    <w:p w14:paraId="0CA425DC" w14:textId="77777777" w:rsidR="00035366" w:rsidRDefault="004709F5" w:rsidP="005D53AB">
      <w:pPr>
        <w:pStyle w:val="Normal1"/>
      </w:pPr>
      <w:r w:rsidRPr="00035366">
        <w:rPr>
          <w:b/>
          <w:bCs/>
        </w:rPr>
        <w:t>MSCI:</w:t>
      </w:r>
      <w:r>
        <w:t xml:space="preserve"> MSCI Real Estate calculates indices of real estate performance around the world. </w:t>
      </w:r>
    </w:p>
    <w:p w14:paraId="7C6662C5" w14:textId="77777777" w:rsidR="00035366" w:rsidRDefault="004709F5" w:rsidP="005D53AB">
      <w:pPr>
        <w:pStyle w:val="Normal1"/>
      </w:pPr>
      <w:r w:rsidRPr="00035366">
        <w:rPr>
          <w:b/>
          <w:bCs/>
        </w:rPr>
        <w:t>Net initial yield:</w:t>
      </w:r>
      <w:r>
        <w:t xml:space="preserve"> Passing rent less non-recoverable property expenses such as empty rates, divided by the property valuation plus notional purchasers’ costs. This is in accordance with EPRA’s Best Practices Recommendations. </w:t>
      </w:r>
    </w:p>
    <w:p w14:paraId="2ACF920A" w14:textId="77777777" w:rsidR="00035366" w:rsidRDefault="004709F5" w:rsidP="005D53AB">
      <w:pPr>
        <w:pStyle w:val="Normal1"/>
      </w:pPr>
      <w:r w:rsidRPr="00035366">
        <w:rPr>
          <w:b/>
          <w:bCs/>
        </w:rPr>
        <w:t>Net rental income:</w:t>
      </w:r>
      <w:r>
        <w:t xml:space="preserve"> Gross rental income less ground rents paid, net service charge expenses and property operating expenses. </w:t>
      </w:r>
    </w:p>
    <w:p w14:paraId="5644192F" w14:textId="77777777" w:rsidR="00035366" w:rsidRDefault="004709F5" w:rsidP="005D53AB">
      <w:pPr>
        <w:pStyle w:val="Normal1"/>
      </w:pPr>
      <w:r w:rsidRPr="00035366">
        <w:rPr>
          <w:b/>
          <w:bCs/>
        </w:rPr>
        <w:lastRenderedPageBreak/>
        <w:t>Net true equivalent yield:</w:t>
      </w:r>
      <w:r>
        <w:t xml:space="preserve"> The internal rate of return from an investment property, based on the value of the property assuming the current passing rent reverts to ERV and assuming the property becomes fully occupied over time. It assumes that rent is received quarterly in advance. </w:t>
      </w:r>
    </w:p>
    <w:p w14:paraId="11FFABB6" w14:textId="77777777" w:rsidR="00035366" w:rsidRDefault="004709F5" w:rsidP="005D53AB">
      <w:pPr>
        <w:pStyle w:val="Normal1"/>
      </w:pPr>
      <w:r w:rsidRPr="00035366">
        <w:rPr>
          <w:b/>
          <w:bCs/>
        </w:rPr>
        <w:t>Passing rent:</w:t>
      </w:r>
      <w:r>
        <w:t xml:space="preserve"> The annual rental income currently receivable on a property as at the Balance Sheet date (which may be more or less than the ERV). Excludes rental income where a rent free period is in operation. Excludes service charge income (which is netted off against service charge expenses). </w:t>
      </w:r>
    </w:p>
    <w:p w14:paraId="6247721C" w14:textId="77777777" w:rsidR="00035366" w:rsidRDefault="004709F5" w:rsidP="005D53AB">
      <w:pPr>
        <w:pStyle w:val="Normal1"/>
      </w:pPr>
      <w:r w:rsidRPr="00035366">
        <w:rPr>
          <w:b/>
          <w:bCs/>
        </w:rPr>
        <w:t>Pre-let:</w:t>
      </w:r>
      <w:r>
        <w:t xml:space="preserve"> A lease signed with an occupier prior to commencing construction of a building. </w:t>
      </w:r>
    </w:p>
    <w:p w14:paraId="71B606D3" w14:textId="77777777" w:rsidR="00035366" w:rsidRDefault="004709F5" w:rsidP="005D53AB">
      <w:pPr>
        <w:pStyle w:val="Normal1"/>
      </w:pPr>
      <w:r w:rsidRPr="00035366">
        <w:rPr>
          <w:b/>
          <w:bCs/>
        </w:rPr>
        <w:t>REIT:</w:t>
      </w:r>
      <w:r>
        <w:t xml:space="preserve"> A qualifying entity which has elected to be treated as a Real Estate Investment Trust for tax purposes. In the UK, such entities must be listed on a recognised stock exchange, must be predominantly engaged in property investment activities and must meet certain ongoing qualifications. SEGRO plc and its UK subsidiaries achieved REIT status with effect from 1 January 2007. </w:t>
      </w:r>
    </w:p>
    <w:p w14:paraId="3CF38D88" w14:textId="77777777" w:rsidR="00035366" w:rsidRDefault="004709F5" w:rsidP="005D53AB">
      <w:pPr>
        <w:pStyle w:val="Normal1"/>
      </w:pPr>
      <w:r w:rsidRPr="00035366">
        <w:rPr>
          <w:b/>
          <w:bCs/>
        </w:rPr>
        <w:t>Rent-free period:</w:t>
      </w:r>
      <w:r>
        <w:t xml:space="preserve"> An incentive provided usually at commencement of a lease during which a customer pays no rent. The amount of rent free is the difference between passing rent and headline rent. </w:t>
      </w:r>
    </w:p>
    <w:p w14:paraId="13F11179" w14:textId="77777777" w:rsidR="00035366" w:rsidRDefault="004709F5" w:rsidP="005D53AB">
      <w:pPr>
        <w:pStyle w:val="Normal1"/>
      </w:pPr>
      <w:r w:rsidRPr="00035366">
        <w:rPr>
          <w:b/>
          <w:bCs/>
        </w:rPr>
        <w:t>Rent roll:</w:t>
      </w:r>
      <w:r>
        <w:t xml:space="preserve"> See Passing Rent. </w:t>
      </w:r>
    </w:p>
    <w:p w14:paraId="5D4BA542" w14:textId="77777777" w:rsidR="00035366" w:rsidRDefault="004709F5" w:rsidP="005D53AB">
      <w:pPr>
        <w:pStyle w:val="Normal1"/>
      </w:pPr>
      <w:r w:rsidRPr="00035366">
        <w:rPr>
          <w:b/>
          <w:bCs/>
        </w:rPr>
        <w:t>SELP:</w:t>
      </w:r>
      <w:r>
        <w:t xml:space="preserve"> SEGRO European Logistics Partnership, a 50-50 joint venture between SEGRO and the Public Sector Pension Investment Board (PSP Investments) established in 2013 to own big box warehouses in Continental Europe. </w:t>
      </w:r>
    </w:p>
    <w:p w14:paraId="078FAFA5" w14:textId="77777777" w:rsidR="00035366" w:rsidRDefault="004709F5" w:rsidP="005D53AB">
      <w:pPr>
        <w:pStyle w:val="Normal1"/>
      </w:pPr>
      <w:r w:rsidRPr="00035366">
        <w:rPr>
          <w:b/>
          <w:bCs/>
        </w:rPr>
        <w:t>SIIC:</w:t>
      </w:r>
      <w:r>
        <w:t xml:space="preserve"> Sociétés d’investissements Immobiliers Cotées are the French equivalent of UK Real Estate Investment Trusts (see REIT). </w:t>
      </w:r>
    </w:p>
    <w:p w14:paraId="19460D4C" w14:textId="77777777" w:rsidR="00035366" w:rsidRDefault="004709F5" w:rsidP="005D53AB">
      <w:pPr>
        <w:pStyle w:val="Normal1"/>
      </w:pPr>
      <w:r w:rsidRPr="00035366">
        <w:rPr>
          <w:b/>
          <w:bCs/>
        </w:rPr>
        <w:t>Speculative development:</w:t>
      </w:r>
      <w:r>
        <w:t xml:space="preserve"> Where a development has commenced prior to a lease agreement being signed in relation to that development. </w:t>
      </w:r>
    </w:p>
    <w:p w14:paraId="4C12684A" w14:textId="77777777" w:rsidR="00035366" w:rsidRDefault="004709F5" w:rsidP="005D53AB">
      <w:pPr>
        <w:pStyle w:val="Normal1"/>
      </w:pPr>
      <w:r w:rsidRPr="00035366">
        <w:rPr>
          <w:b/>
          <w:bCs/>
        </w:rPr>
        <w:t>SPPICAV:</w:t>
      </w:r>
      <w:r>
        <w:t xml:space="preserve"> Société de Placement à Prépondérance Immobilière à Capital Variable is a French equivalent of UK Real Estate Investment Trusts (see REIT). </w:t>
      </w:r>
    </w:p>
    <w:p w14:paraId="696306A1" w14:textId="77777777" w:rsidR="00035366" w:rsidRDefault="004709F5" w:rsidP="005D53AB">
      <w:pPr>
        <w:pStyle w:val="Normal1"/>
      </w:pPr>
      <w:r w:rsidRPr="00035366">
        <w:rPr>
          <w:b/>
          <w:bCs/>
        </w:rPr>
        <w:t>Square metres (sq m):</w:t>
      </w:r>
      <w:r>
        <w:t xml:space="preserve"> The area of buildings measurements used in this analysis. The conversion factor used, where appropriate, is one square metre = 10.7639 square feet. </w:t>
      </w:r>
    </w:p>
    <w:p w14:paraId="496D2934" w14:textId="77777777" w:rsidR="00035366" w:rsidRDefault="004709F5" w:rsidP="005D53AB">
      <w:pPr>
        <w:pStyle w:val="Normal1"/>
      </w:pPr>
      <w:r w:rsidRPr="00035366">
        <w:rPr>
          <w:b/>
          <w:bCs/>
        </w:rPr>
        <w:t>Takeback:</w:t>
      </w:r>
      <w:r>
        <w:t xml:space="preserve"> Rental income lost due to lease expiry, exercise of break option, surrender or insolvency. </w:t>
      </w:r>
    </w:p>
    <w:p w14:paraId="580E9030" w14:textId="77777777" w:rsidR="00035366" w:rsidRDefault="004709F5" w:rsidP="005D53AB">
      <w:pPr>
        <w:pStyle w:val="Normal1"/>
      </w:pPr>
      <w:r w:rsidRPr="00035366">
        <w:rPr>
          <w:b/>
          <w:bCs/>
        </w:rPr>
        <w:t>Topped up net initial yield:</w:t>
      </w:r>
      <w:r>
        <w:t xml:space="preserve"> Net initial yield adjusted to include notional rent in respect of let properties which are subject to a rent free period at the valuation date. This is in accordance with EPRA’s Best Practices Recommendations. </w:t>
      </w:r>
    </w:p>
    <w:p w14:paraId="42A8D776" w14:textId="77777777" w:rsidR="00035366" w:rsidRDefault="004709F5" w:rsidP="005D53AB">
      <w:pPr>
        <w:pStyle w:val="Normal1"/>
      </w:pPr>
      <w:r w:rsidRPr="00035366">
        <w:rPr>
          <w:b/>
          <w:bCs/>
        </w:rPr>
        <w:t>Total accounting return (TAR):</w:t>
      </w:r>
      <w:r>
        <w:t xml:space="preserve"> A measure of the Group’s return, calculated as the change in adjusted NAV per share during the period adding back dividends paid during the period expressed as a percentage of adjusted NAV per share at the beginning of the period. </w:t>
      </w:r>
    </w:p>
    <w:p w14:paraId="6176828C" w14:textId="77777777" w:rsidR="00035366" w:rsidRDefault="004709F5" w:rsidP="005D53AB">
      <w:pPr>
        <w:pStyle w:val="Normal1"/>
      </w:pPr>
      <w:r w:rsidRPr="00035366">
        <w:rPr>
          <w:b/>
          <w:bCs/>
        </w:rPr>
        <w:t>Total property return (TPR):</w:t>
      </w:r>
      <w:r>
        <w:t xml:space="preserve"> A measure of the ungeared return for the portfolio and is calculated as the change in capital value, less any capital expenditure incurred, plus net income, expressed as a percentage of capital employed over the period concerned, as calculated by MSCI Real Estate and excluding land. </w:t>
      </w:r>
    </w:p>
    <w:p w14:paraId="01E38D2E" w14:textId="77777777" w:rsidR="00035366" w:rsidRDefault="004709F5" w:rsidP="005D53AB">
      <w:pPr>
        <w:pStyle w:val="Normal1"/>
      </w:pPr>
      <w:r w:rsidRPr="00035366">
        <w:rPr>
          <w:b/>
          <w:bCs/>
        </w:rPr>
        <w:t>Total shareholder return (TSR):</w:t>
      </w:r>
      <w:r>
        <w:t xml:space="preserve"> A measure of return based upon share price movement over the period and assuming reinvestment of dividends. </w:t>
      </w:r>
    </w:p>
    <w:p w14:paraId="0887A47A" w14:textId="77777777" w:rsidR="00035366" w:rsidRDefault="004709F5" w:rsidP="005D53AB">
      <w:pPr>
        <w:pStyle w:val="Normal1"/>
      </w:pPr>
      <w:r w:rsidRPr="00035366">
        <w:rPr>
          <w:b/>
          <w:bCs/>
        </w:rPr>
        <w:t>Trading property:</w:t>
      </w:r>
      <w:r>
        <w:t xml:space="preserve"> Property being developed for sale or one which is being held for sale after development is complete. </w:t>
      </w:r>
    </w:p>
    <w:p w14:paraId="40CC7C15" w14:textId="77777777" w:rsidR="00035366" w:rsidRDefault="004709F5" w:rsidP="005D53AB">
      <w:pPr>
        <w:pStyle w:val="Normal1"/>
      </w:pPr>
      <w:r w:rsidRPr="00035366">
        <w:rPr>
          <w:b/>
          <w:bCs/>
        </w:rPr>
        <w:t>Yield on cost:</w:t>
      </w:r>
      <w:r>
        <w:t xml:space="preserve"> The expected gross yield based on the estimated current market rental value (ERV) of the developments when fully let, divided by the book value of the developments at the earlier of commencement of the development or the balance sheet date plus future development costs and estimated finance costs to completion. </w:t>
      </w:r>
    </w:p>
    <w:p w14:paraId="303FAED5" w14:textId="56BD8CB9" w:rsidR="004709F5" w:rsidRDefault="004709F5" w:rsidP="005D53AB">
      <w:pPr>
        <w:pStyle w:val="Normal1"/>
        <w:rPr>
          <w:b/>
          <w:bCs/>
          <w:color w:val="FF0000"/>
        </w:rPr>
      </w:pPr>
      <w:r w:rsidRPr="00035366">
        <w:rPr>
          <w:b/>
          <w:bCs/>
        </w:rPr>
        <w:t>Yield on new money:</w:t>
      </w:r>
      <w:r>
        <w:t xml:space="preserve"> The yield on cost excluding the book value of land if the land is owned by the Group in the reporting period prior to commencement of the development.</w:t>
      </w:r>
    </w:p>
    <w:sectPr w:rsidR="004709F5" w:rsidSect="00823C08">
      <w:footerReference w:type="even" r:id="rId11"/>
      <w:footerReference w:type="default" r:id="rId12"/>
      <w:headerReference w:type="first" r:id="rId13"/>
      <w:footerReference w:type="first" r:id="rId14"/>
      <w:pgSz w:w="11907" w:h="16840" w:code="9"/>
      <w:pgMar w:top="567" w:right="720" w:bottom="567" w:left="72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C53F3" w14:textId="77777777" w:rsidR="00B52B21" w:rsidRDefault="00B52B21">
      <w:r>
        <w:separator/>
      </w:r>
    </w:p>
    <w:p w14:paraId="5A8D8EB5" w14:textId="77777777" w:rsidR="00B52B21" w:rsidRDefault="00B52B21"/>
  </w:endnote>
  <w:endnote w:type="continuationSeparator" w:id="0">
    <w:p w14:paraId="7501073B" w14:textId="77777777" w:rsidR="00B52B21" w:rsidRDefault="00B52B21">
      <w:r>
        <w:continuationSeparator/>
      </w:r>
    </w:p>
    <w:p w14:paraId="437F6748" w14:textId="77777777" w:rsidR="00B52B21" w:rsidRDefault="00B52B21"/>
  </w:endnote>
  <w:endnote w:type="continuationNotice" w:id="1">
    <w:p w14:paraId="5C58DAF2" w14:textId="77777777" w:rsidR="00B52B21" w:rsidRDefault="00B52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lta BQ Book">
    <w:panose1 w:val="02000503050000020003"/>
    <w:charset w:val="00"/>
    <w:family w:val="modern"/>
    <w:notTrueType/>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lta BQ Light">
    <w:panose1 w:val="02000503040000020003"/>
    <w:charset w:val="00"/>
    <w:family w:val="modern"/>
    <w:notTrueType/>
    <w:pitch w:val="variable"/>
    <w:sig w:usb0="8000002F" w:usb1="40000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lta BQ Medium">
    <w:panose1 w:val="02000603060000020004"/>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0002AFF" w:usb1="4000ACFF" w:usb2="00000001" w:usb3="00000000" w:csb0="000001FF" w:csb1="00000000"/>
  </w:font>
  <w:font w:name="DeltaBQ-Light">
    <w:altName w:val="MS Gothic"/>
    <w:panose1 w:val="02000503040000020003"/>
    <w:charset w:val="4D"/>
    <w:family w:val="auto"/>
    <w:notTrueType/>
    <w:pitch w:val="default"/>
    <w:sig w:usb0="00000007" w:usb1="08070000" w:usb2="00000010" w:usb3="00000000" w:csb0="0002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1A646" w14:textId="77777777" w:rsidR="00B52B21" w:rsidRDefault="00B52B21" w:rsidP="00215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4B441" w14:textId="77777777" w:rsidR="00B52B21" w:rsidRDefault="00B52B21" w:rsidP="00D324C7">
    <w:pPr>
      <w:pStyle w:val="Footer"/>
      <w:ind w:right="360"/>
    </w:pPr>
  </w:p>
  <w:p w14:paraId="6C62072B" w14:textId="77777777" w:rsidR="00B52B21" w:rsidRDefault="00B52B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6987445"/>
      <w:docPartObj>
        <w:docPartGallery w:val="Page Numbers (Bottom of Page)"/>
        <w:docPartUnique/>
      </w:docPartObj>
    </w:sdtPr>
    <w:sdtEndPr>
      <w:rPr>
        <w:noProof/>
      </w:rPr>
    </w:sdtEndPr>
    <w:sdtContent>
      <w:p w14:paraId="5AB93E7C" w14:textId="35C6417D" w:rsidR="00B52B21" w:rsidRDefault="00B52B21">
        <w:pPr>
          <w:pStyle w:val="Footer"/>
          <w:jc w:val="right"/>
        </w:pPr>
        <w:r>
          <w:fldChar w:fldCharType="begin"/>
        </w:r>
        <w:r>
          <w:instrText xml:space="preserve"> PAGE   \* MERGEFORMAT </w:instrText>
        </w:r>
        <w:r>
          <w:fldChar w:fldCharType="separate"/>
        </w:r>
        <w:r>
          <w:rPr>
            <w:noProof/>
          </w:rPr>
          <w:t>43</w:t>
        </w:r>
        <w:r>
          <w:rPr>
            <w:noProof/>
          </w:rPr>
          <w:fldChar w:fldCharType="end"/>
        </w:r>
      </w:p>
    </w:sdtContent>
  </w:sdt>
  <w:p w14:paraId="0D06FE4A" w14:textId="77777777" w:rsidR="00B52B21" w:rsidRDefault="00B52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5110" w14:textId="77777777" w:rsidR="00B52B21" w:rsidRPr="00C814EE" w:rsidRDefault="00B52B21" w:rsidP="002150B7">
    <w:pPr>
      <w:pStyle w:val="Footer"/>
      <w:tabs>
        <w:tab w:val="clear" w:pos="8306"/>
        <w:tab w:val="left" w:pos="1701"/>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B9BC9" w14:textId="77777777" w:rsidR="00B52B21" w:rsidRDefault="00B52B21">
      <w:r>
        <w:separator/>
      </w:r>
    </w:p>
    <w:p w14:paraId="01544577" w14:textId="77777777" w:rsidR="00B52B21" w:rsidRDefault="00B52B21"/>
  </w:footnote>
  <w:footnote w:type="continuationSeparator" w:id="0">
    <w:p w14:paraId="3A65281C" w14:textId="77777777" w:rsidR="00B52B21" w:rsidRDefault="00B52B21">
      <w:r>
        <w:continuationSeparator/>
      </w:r>
    </w:p>
    <w:p w14:paraId="55C087E9" w14:textId="77777777" w:rsidR="00B52B21" w:rsidRDefault="00B52B21"/>
  </w:footnote>
  <w:footnote w:type="continuationNotice" w:id="1">
    <w:p w14:paraId="431EBCF4" w14:textId="77777777" w:rsidR="00B52B21" w:rsidRDefault="00B52B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BFB2F" w14:textId="77777777" w:rsidR="00B52B21" w:rsidRPr="00C721A1" w:rsidRDefault="00B52B21" w:rsidP="002150B7">
    <w:pPr>
      <w:pStyle w:val="Header"/>
      <w:framePr w:wrap="around" w:vAnchor="page" w:hAnchor="page" w:x="11143" w:y="568"/>
      <w:rPr>
        <w:rStyle w:val="PageNumber"/>
      </w:rPr>
    </w:pPr>
    <w:r>
      <w:rPr>
        <w:rStyle w:val="PageNumber"/>
      </w:rPr>
      <w:t>71</w:t>
    </w:r>
  </w:p>
  <w:p w14:paraId="56700693" w14:textId="77777777" w:rsidR="00B52B21" w:rsidRDefault="00B52B21" w:rsidP="002150B7">
    <w:pPr>
      <w:pStyle w:val="Header"/>
    </w:pPr>
    <w:r>
      <w:rPr>
        <w:noProof/>
      </w:rPr>
      <w:drawing>
        <wp:anchor distT="0" distB="0" distL="114300" distR="114300" simplePos="0" relativeHeight="251657216" behindDoc="1" locked="0" layoutInCell="1" allowOverlap="1" wp14:anchorId="4DAFB74A" wp14:editId="69177E9A">
          <wp:simplePos x="0" y="0"/>
          <wp:positionH relativeFrom="page">
            <wp:posOffset>0</wp:posOffset>
          </wp:positionH>
          <wp:positionV relativeFrom="page">
            <wp:posOffset>-107950</wp:posOffset>
          </wp:positionV>
          <wp:extent cx="8029575" cy="10296525"/>
          <wp:effectExtent l="0" t="0" r="9525" b="9525"/>
          <wp:wrapNone/>
          <wp:docPr id="7" name="Picture 7" descr="SE007_R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E007_R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9575" cy="10296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887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28FE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2406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607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C221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1ECB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1C7C5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C8B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3CF4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EC20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167DE"/>
    <w:multiLevelType w:val="hybridMultilevel"/>
    <w:tmpl w:val="E74A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D91211"/>
    <w:multiLevelType w:val="hybridMultilevel"/>
    <w:tmpl w:val="A45E3D18"/>
    <w:lvl w:ilvl="0" w:tplc="08090001">
      <w:start w:val="1"/>
      <w:numFmt w:val="bullet"/>
      <w:lvlText w:val=""/>
      <w:lvlJc w:val="left"/>
      <w:pPr>
        <w:ind w:left="866" w:hanging="360"/>
      </w:pPr>
      <w:rPr>
        <w:rFonts w:ascii="Symbol" w:hAnsi="Symbol" w:cs="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cs="Wingdings" w:hint="default"/>
      </w:rPr>
    </w:lvl>
    <w:lvl w:ilvl="3" w:tplc="08090001" w:tentative="1">
      <w:start w:val="1"/>
      <w:numFmt w:val="bullet"/>
      <w:lvlText w:val=""/>
      <w:lvlJc w:val="left"/>
      <w:pPr>
        <w:ind w:left="3026" w:hanging="360"/>
      </w:pPr>
      <w:rPr>
        <w:rFonts w:ascii="Symbol" w:hAnsi="Symbol" w:cs="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cs="Wingdings" w:hint="default"/>
      </w:rPr>
    </w:lvl>
    <w:lvl w:ilvl="6" w:tplc="08090001" w:tentative="1">
      <w:start w:val="1"/>
      <w:numFmt w:val="bullet"/>
      <w:lvlText w:val=""/>
      <w:lvlJc w:val="left"/>
      <w:pPr>
        <w:ind w:left="5186" w:hanging="360"/>
      </w:pPr>
      <w:rPr>
        <w:rFonts w:ascii="Symbol" w:hAnsi="Symbol" w:cs="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cs="Wingdings" w:hint="default"/>
      </w:rPr>
    </w:lvl>
  </w:abstractNum>
  <w:abstractNum w:abstractNumId="12" w15:restartNumberingAfterBreak="0">
    <w:nsid w:val="09C8754F"/>
    <w:multiLevelType w:val="hybridMultilevel"/>
    <w:tmpl w:val="4A2A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6F7BFB"/>
    <w:multiLevelType w:val="hybridMultilevel"/>
    <w:tmpl w:val="279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F5D74"/>
    <w:multiLevelType w:val="hybridMultilevel"/>
    <w:tmpl w:val="FCC4B748"/>
    <w:lvl w:ilvl="0" w:tplc="738C4DA6">
      <w:start w:val="1"/>
      <w:numFmt w:val="bullet"/>
      <w:pStyle w:val="Bullets"/>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1836B7"/>
    <w:multiLevelType w:val="hybridMultilevel"/>
    <w:tmpl w:val="70F8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71C1B"/>
    <w:multiLevelType w:val="hybridMultilevel"/>
    <w:tmpl w:val="B8F62E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F01E2A"/>
    <w:multiLevelType w:val="multilevel"/>
    <w:tmpl w:val="FAE02688"/>
    <w:styleLink w:val="StyleBulleted1"/>
    <w:lvl w:ilvl="0">
      <w:start w:val="1"/>
      <w:numFmt w:val="bullet"/>
      <w:lvlText w:val=""/>
      <w:lvlJc w:val="left"/>
      <w:pPr>
        <w:tabs>
          <w:tab w:val="num" w:pos="0"/>
        </w:tabs>
        <w:ind w:left="0" w:firstLine="0"/>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37B68"/>
    <w:multiLevelType w:val="hybridMultilevel"/>
    <w:tmpl w:val="0FAC9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60CC9"/>
    <w:multiLevelType w:val="hybridMultilevel"/>
    <w:tmpl w:val="12C42D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31C6580"/>
    <w:multiLevelType w:val="hybridMultilevel"/>
    <w:tmpl w:val="4A04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52125"/>
    <w:multiLevelType w:val="multilevel"/>
    <w:tmpl w:val="8BE2DAB0"/>
    <w:styleLink w:val="StyleBulleted"/>
    <w:lvl w:ilvl="0">
      <w:start w:val="1"/>
      <w:numFmt w:val="bullet"/>
      <w:lvlText w:val=""/>
      <w:lvlJc w:val="left"/>
      <w:pPr>
        <w:tabs>
          <w:tab w:val="num" w:pos="170"/>
        </w:tabs>
        <w:ind w:left="170" w:firstLine="0"/>
      </w:pPr>
      <w:rPr>
        <w:rFonts w:ascii="Wingdings" w:hAnsi="Wingdings" w:hint="default"/>
        <w:spacing w:val="-1"/>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56736"/>
    <w:multiLevelType w:val="hybridMultilevel"/>
    <w:tmpl w:val="A11C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CD026C"/>
    <w:multiLevelType w:val="hybridMultilevel"/>
    <w:tmpl w:val="2FFAFD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1602FE2"/>
    <w:multiLevelType w:val="hybridMultilevel"/>
    <w:tmpl w:val="365828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8AF2BBE"/>
    <w:multiLevelType w:val="hybridMultilevel"/>
    <w:tmpl w:val="C9565B56"/>
    <w:lvl w:ilvl="0" w:tplc="5C942B48">
      <w:start w:val="1"/>
      <w:numFmt w:val="decimal"/>
      <w:lvlText w:val="%1"/>
      <w:lvlJc w:val="left"/>
      <w:pPr>
        <w:ind w:left="720" w:hanging="360"/>
      </w:pPr>
      <w:rPr>
        <w:rFonts w:hint="default"/>
        <w:i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B510C3"/>
    <w:multiLevelType w:val="hybridMultilevel"/>
    <w:tmpl w:val="543A8732"/>
    <w:lvl w:ilvl="0" w:tplc="1F14C2D8">
      <w:start w:val="1"/>
      <w:numFmt w:val="decimal"/>
      <w:lvlText w:val="%1."/>
      <w:lvlJc w:val="left"/>
      <w:pPr>
        <w:ind w:left="360" w:hanging="360"/>
      </w:pPr>
      <w:rPr>
        <w:rFonts w:hint="default"/>
        <w:sz w:val="15"/>
        <w:szCs w:val="1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1E53DD"/>
    <w:multiLevelType w:val="hybridMultilevel"/>
    <w:tmpl w:val="E07ECE10"/>
    <w:lvl w:ilvl="0" w:tplc="D6A4CE04">
      <w:start w:val="1"/>
      <w:numFmt w:val="decimal"/>
      <w:pStyle w:val="Lists"/>
      <w:lvlText w:val="%1."/>
      <w:lvlJc w:val="left"/>
      <w:pPr>
        <w:tabs>
          <w:tab w:val="num" w:pos="284"/>
        </w:tabs>
        <w:ind w:left="284" w:hanging="284"/>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1F6F7E"/>
    <w:multiLevelType w:val="hybridMultilevel"/>
    <w:tmpl w:val="06600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961AB"/>
    <w:multiLevelType w:val="hybridMultilevel"/>
    <w:tmpl w:val="43A2242E"/>
    <w:lvl w:ilvl="0" w:tplc="1E680488">
      <w:start w:val="2"/>
      <w:numFmt w:val="bullet"/>
      <w:lvlText w:val="–"/>
      <w:lvlJc w:val="left"/>
      <w:pPr>
        <w:ind w:left="927" w:hanging="360"/>
      </w:pPr>
      <w:rPr>
        <w:rFonts w:ascii="Arial" w:eastAsia="Times New Roman" w:hAnsi="Arial" w:cs="Arial" w:hint="default"/>
        <w:sz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513B02E5"/>
    <w:multiLevelType w:val="hybridMultilevel"/>
    <w:tmpl w:val="8BDC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A1EAA"/>
    <w:multiLevelType w:val="hybridMultilevel"/>
    <w:tmpl w:val="4256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065B8"/>
    <w:multiLevelType w:val="hybridMultilevel"/>
    <w:tmpl w:val="0D6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950DD"/>
    <w:multiLevelType w:val="hybridMultilevel"/>
    <w:tmpl w:val="0A62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061FCA"/>
    <w:multiLevelType w:val="hybridMultilevel"/>
    <w:tmpl w:val="B5CAA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AD177D"/>
    <w:multiLevelType w:val="hybridMultilevel"/>
    <w:tmpl w:val="9F16BE90"/>
    <w:lvl w:ilvl="0" w:tplc="08090001">
      <w:start w:val="1"/>
      <w:numFmt w:val="bullet"/>
      <w:lvlText w:val=""/>
      <w:lvlJc w:val="left"/>
      <w:pPr>
        <w:ind w:left="866" w:hanging="360"/>
      </w:pPr>
      <w:rPr>
        <w:rFonts w:ascii="Symbol" w:hAnsi="Symbol" w:cs="Symbol" w:hint="default"/>
      </w:rPr>
    </w:lvl>
    <w:lvl w:ilvl="1" w:tplc="08090003" w:tentative="1">
      <w:start w:val="1"/>
      <w:numFmt w:val="bullet"/>
      <w:lvlText w:val="o"/>
      <w:lvlJc w:val="left"/>
      <w:pPr>
        <w:ind w:left="1586" w:hanging="360"/>
      </w:pPr>
      <w:rPr>
        <w:rFonts w:ascii="Courier New" w:hAnsi="Courier New" w:cs="Courier New" w:hint="default"/>
      </w:rPr>
    </w:lvl>
    <w:lvl w:ilvl="2" w:tplc="08090005" w:tentative="1">
      <w:start w:val="1"/>
      <w:numFmt w:val="bullet"/>
      <w:lvlText w:val=""/>
      <w:lvlJc w:val="left"/>
      <w:pPr>
        <w:ind w:left="2306" w:hanging="360"/>
      </w:pPr>
      <w:rPr>
        <w:rFonts w:ascii="Wingdings" w:hAnsi="Wingdings" w:cs="Wingdings" w:hint="default"/>
      </w:rPr>
    </w:lvl>
    <w:lvl w:ilvl="3" w:tplc="08090001" w:tentative="1">
      <w:start w:val="1"/>
      <w:numFmt w:val="bullet"/>
      <w:lvlText w:val=""/>
      <w:lvlJc w:val="left"/>
      <w:pPr>
        <w:ind w:left="3026" w:hanging="360"/>
      </w:pPr>
      <w:rPr>
        <w:rFonts w:ascii="Symbol" w:hAnsi="Symbol" w:cs="Symbol" w:hint="default"/>
      </w:rPr>
    </w:lvl>
    <w:lvl w:ilvl="4" w:tplc="08090003" w:tentative="1">
      <w:start w:val="1"/>
      <w:numFmt w:val="bullet"/>
      <w:lvlText w:val="o"/>
      <w:lvlJc w:val="left"/>
      <w:pPr>
        <w:ind w:left="3746" w:hanging="360"/>
      </w:pPr>
      <w:rPr>
        <w:rFonts w:ascii="Courier New" w:hAnsi="Courier New" w:cs="Courier New" w:hint="default"/>
      </w:rPr>
    </w:lvl>
    <w:lvl w:ilvl="5" w:tplc="08090005" w:tentative="1">
      <w:start w:val="1"/>
      <w:numFmt w:val="bullet"/>
      <w:lvlText w:val=""/>
      <w:lvlJc w:val="left"/>
      <w:pPr>
        <w:ind w:left="4466" w:hanging="360"/>
      </w:pPr>
      <w:rPr>
        <w:rFonts w:ascii="Wingdings" w:hAnsi="Wingdings" w:cs="Wingdings" w:hint="default"/>
      </w:rPr>
    </w:lvl>
    <w:lvl w:ilvl="6" w:tplc="08090001" w:tentative="1">
      <w:start w:val="1"/>
      <w:numFmt w:val="bullet"/>
      <w:lvlText w:val=""/>
      <w:lvlJc w:val="left"/>
      <w:pPr>
        <w:ind w:left="5186" w:hanging="360"/>
      </w:pPr>
      <w:rPr>
        <w:rFonts w:ascii="Symbol" w:hAnsi="Symbol" w:cs="Symbol" w:hint="default"/>
      </w:rPr>
    </w:lvl>
    <w:lvl w:ilvl="7" w:tplc="08090003" w:tentative="1">
      <w:start w:val="1"/>
      <w:numFmt w:val="bullet"/>
      <w:lvlText w:val="o"/>
      <w:lvlJc w:val="left"/>
      <w:pPr>
        <w:ind w:left="5906" w:hanging="360"/>
      </w:pPr>
      <w:rPr>
        <w:rFonts w:ascii="Courier New" w:hAnsi="Courier New" w:cs="Courier New" w:hint="default"/>
      </w:rPr>
    </w:lvl>
    <w:lvl w:ilvl="8" w:tplc="08090005" w:tentative="1">
      <w:start w:val="1"/>
      <w:numFmt w:val="bullet"/>
      <w:lvlText w:val=""/>
      <w:lvlJc w:val="left"/>
      <w:pPr>
        <w:ind w:left="6626" w:hanging="360"/>
      </w:pPr>
      <w:rPr>
        <w:rFonts w:ascii="Wingdings" w:hAnsi="Wingdings" w:cs="Wingdings" w:hint="default"/>
      </w:rPr>
    </w:lvl>
  </w:abstractNum>
  <w:abstractNum w:abstractNumId="36" w15:restartNumberingAfterBreak="0">
    <w:nsid w:val="6A4F3705"/>
    <w:multiLevelType w:val="hybridMultilevel"/>
    <w:tmpl w:val="F010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71CDD"/>
    <w:multiLevelType w:val="hybridMultilevel"/>
    <w:tmpl w:val="39E6B82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891A92"/>
    <w:multiLevelType w:val="hybridMultilevel"/>
    <w:tmpl w:val="06A2BA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125791C"/>
    <w:multiLevelType w:val="hybridMultilevel"/>
    <w:tmpl w:val="075472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2515B05"/>
    <w:multiLevelType w:val="hybridMultilevel"/>
    <w:tmpl w:val="2A2EB4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9B97C00"/>
    <w:multiLevelType w:val="hybridMultilevel"/>
    <w:tmpl w:val="BD9EE6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AFF69A3"/>
    <w:multiLevelType w:val="hybridMultilevel"/>
    <w:tmpl w:val="3B48C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255829"/>
    <w:multiLevelType w:val="hybridMultilevel"/>
    <w:tmpl w:val="4632549A"/>
    <w:lvl w:ilvl="0" w:tplc="8A1A8E1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A221A"/>
    <w:multiLevelType w:val="hybridMultilevel"/>
    <w:tmpl w:val="04D0D7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4"/>
  </w:num>
  <w:num w:numId="2">
    <w:abstractNumId w:val="27"/>
  </w:num>
  <w:num w:numId="3">
    <w:abstractNumId w:val="2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42"/>
  </w:num>
  <w:num w:numId="17">
    <w:abstractNumId w:val="34"/>
  </w:num>
  <w:num w:numId="18">
    <w:abstractNumId w:val="19"/>
  </w:num>
  <w:num w:numId="19">
    <w:abstractNumId w:val="16"/>
  </w:num>
  <w:num w:numId="20">
    <w:abstractNumId w:val="24"/>
  </w:num>
  <w:num w:numId="21">
    <w:abstractNumId w:val="44"/>
  </w:num>
  <w:num w:numId="22">
    <w:abstractNumId w:val="41"/>
  </w:num>
  <w:num w:numId="23">
    <w:abstractNumId w:val="39"/>
  </w:num>
  <w:num w:numId="24">
    <w:abstractNumId w:val="40"/>
  </w:num>
  <w:num w:numId="25">
    <w:abstractNumId w:val="38"/>
  </w:num>
  <w:num w:numId="26">
    <w:abstractNumId w:val="23"/>
  </w:num>
  <w:num w:numId="27">
    <w:abstractNumId w:val="35"/>
  </w:num>
  <w:num w:numId="28">
    <w:abstractNumId w:val="11"/>
  </w:num>
  <w:num w:numId="29">
    <w:abstractNumId w:val="29"/>
  </w:num>
  <w:num w:numId="30">
    <w:abstractNumId w:val="13"/>
  </w:num>
  <w:num w:numId="31">
    <w:abstractNumId w:val="15"/>
  </w:num>
  <w:num w:numId="32">
    <w:abstractNumId w:val="22"/>
  </w:num>
  <w:num w:numId="33">
    <w:abstractNumId w:val="10"/>
  </w:num>
  <w:num w:numId="34">
    <w:abstractNumId w:val="20"/>
  </w:num>
  <w:num w:numId="35">
    <w:abstractNumId w:val="31"/>
  </w:num>
  <w:num w:numId="36">
    <w:abstractNumId w:val="30"/>
  </w:num>
  <w:num w:numId="37">
    <w:abstractNumId w:val="32"/>
  </w:num>
  <w:num w:numId="38">
    <w:abstractNumId w:val="33"/>
  </w:num>
  <w:num w:numId="39">
    <w:abstractNumId w:val="12"/>
  </w:num>
  <w:num w:numId="40">
    <w:abstractNumId w:val="36"/>
  </w:num>
  <w:num w:numId="41">
    <w:abstractNumId w:val="18"/>
  </w:num>
  <w:num w:numId="42">
    <w:abstractNumId w:val="37"/>
  </w:num>
  <w:num w:numId="43">
    <w:abstractNumId w:val="43"/>
  </w:num>
  <w:num w:numId="44">
    <w:abstractNumId w:val="25"/>
  </w:num>
  <w:num w:numId="4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66"/>
    <w:rsid w:val="000005E8"/>
    <w:rsid w:val="00000910"/>
    <w:rsid w:val="00000E1A"/>
    <w:rsid w:val="000015F8"/>
    <w:rsid w:val="000017ED"/>
    <w:rsid w:val="00001A2B"/>
    <w:rsid w:val="00001E74"/>
    <w:rsid w:val="00002602"/>
    <w:rsid w:val="0000274E"/>
    <w:rsid w:val="00003030"/>
    <w:rsid w:val="00003078"/>
    <w:rsid w:val="000031C6"/>
    <w:rsid w:val="00003350"/>
    <w:rsid w:val="000034BF"/>
    <w:rsid w:val="000034EA"/>
    <w:rsid w:val="000036B1"/>
    <w:rsid w:val="0000398D"/>
    <w:rsid w:val="00003A84"/>
    <w:rsid w:val="00004353"/>
    <w:rsid w:val="0000468F"/>
    <w:rsid w:val="00004806"/>
    <w:rsid w:val="00004C2F"/>
    <w:rsid w:val="000059B1"/>
    <w:rsid w:val="00005A13"/>
    <w:rsid w:val="00005ECC"/>
    <w:rsid w:val="000067CB"/>
    <w:rsid w:val="00006A3A"/>
    <w:rsid w:val="00006F68"/>
    <w:rsid w:val="00006FF0"/>
    <w:rsid w:val="000079DB"/>
    <w:rsid w:val="00007AE8"/>
    <w:rsid w:val="00007EC2"/>
    <w:rsid w:val="0001016F"/>
    <w:rsid w:val="000103EB"/>
    <w:rsid w:val="000108C3"/>
    <w:rsid w:val="00010924"/>
    <w:rsid w:val="000109DD"/>
    <w:rsid w:val="00010C13"/>
    <w:rsid w:val="000117E6"/>
    <w:rsid w:val="00011818"/>
    <w:rsid w:val="000120F2"/>
    <w:rsid w:val="00012A59"/>
    <w:rsid w:val="00012F07"/>
    <w:rsid w:val="00012F83"/>
    <w:rsid w:val="000131B2"/>
    <w:rsid w:val="00013374"/>
    <w:rsid w:val="00013638"/>
    <w:rsid w:val="00013772"/>
    <w:rsid w:val="00013B71"/>
    <w:rsid w:val="00013B86"/>
    <w:rsid w:val="00013CAE"/>
    <w:rsid w:val="00013DB9"/>
    <w:rsid w:val="00013DE8"/>
    <w:rsid w:val="0001461B"/>
    <w:rsid w:val="00014717"/>
    <w:rsid w:val="00014794"/>
    <w:rsid w:val="000147FC"/>
    <w:rsid w:val="000149EF"/>
    <w:rsid w:val="00014E0B"/>
    <w:rsid w:val="00014FFE"/>
    <w:rsid w:val="00015833"/>
    <w:rsid w:val="00015925"/>
    <w:rsid w:val="00015D9B"/>
    <w:rsid w:val="00015E18"/>
    <w:rsid w:val="00016406"/>
    <w:rsid w:val="000164DC"/>
    <w:rsid w:val="00016848"/>
    <w:rsid w:val="000168A8"/>
    <w:rsid w:val="000168EF"/>
    <w:rsid w:val="0001757E"/>
    <w:rsid w:val="0001796F"/>
    <w:rsid w:val="00017986"/>
    <w:rsid w:val="00017C19"/>
    <w:rsid w:val="00017CA1"/>
    <w:rsid w:val="00020C80"/>
    <w:rsid w:val="00020F4A"/>
    <w:rsid w:val="00020F4C"/>
    <w:rsid w:val="000210CE"/>
    <w:rsid w:val="0002142B"/>
    <w:rsid w:val="000216D0"/>
    <w:rsid w:val="000217FA"/>
    <w:rsid w:val="00021973"/>
    <w:rsid w:val="00021C09"/>
    <w:rsid w:val="00021CEC"/>
    <w:rsid w:val="000223FF"/>
    <w:rsid w:val="00022AA7"/>
    <w:rsid w:val="00022B5A"/>
    <w:rsid w:val="000232B4"/>
    <w:rsid w:val="00023617"/>
    <w:rsid w:val="00023A06"/>
    <w:rsid w:val="00023CF3"/>
    <w:rsid w:val="00023EE5"/>
    <w:rsid w:val="00023EFB"/>
    <w:rsid w:val="00024395"/>
    <w:rsid w:val="000248BF"/>
    <w:rsid w:val="000250AA"/>
    <w:rsid w:val="00025517"/>
    <w:rsid w:val="0002576F"/>
    <w:rsid w:val="00025A50"/>
    <w:rsid w:val="00025C55"/>
    <w:rsid w:val="00025FF1"/>
    <w:rsid w:val="00026416"/>
    <w:rsid w:val="0002662C"/>
    <w:rsid w:val="00026E5D"/>
    <w:rsid w:val="0002705B"/>
    <w:rsid w:val="000275A5"/>
    <w:rsid w:val="0002761B"/>
    <w:rsid w:val="000276F1"/>
    <w:rsid w:val="00027745"/>
    <w:rsid w:val="0002799D"/>
    <w:rsid w:val="00027A72"/>
    <w:rsid w:val="00027D77"/>
    <w:rsid w:val="0003093E"/>
    <w:rsid w:val="00030970"/>
    <w:rsid w:val="000313E0"/>
    <w:rsid w:val="0003193A"/>
    <w:rsid w:val="00031FBE"/>
    <w:rsid w:val="000321EC"/>
    <w:rsid w:val="00032334"/>
    <w:rsid w:val="000328C7"/>
    <w:rsid w:val="00032B65"/>
    <w:rsid w:val="00033171"/>
    <w:rsid w:val="000334EF"/>
    <w:rsid w:val="000339B3"/>
    <w:rsid w:val="000347BC"/>
    <w:rsid w:val="00034AA1"/>
    <w:rsid w:val="00035033"/>
    <w:rsid w:val="00035366"/>
    <w:rsid w:val="0003542D"/>
    <w:rsid w:val="00035468"/>
    <w:rsid w:val="0003587B"/>
    <w:rsid w:val="000361A4"/>
    <w:rsid w:val="0003620C"/>
    <w:rsid w:val="000365E5"/>
    <w:rsid w:val="000367EE"/>
    <w:rsid w:val="00036856"/>
    <w:rsid w:val="00036DB5"/>
    <w:rsid w:val="00036FED"/>
    <w:rsid w:val="000371A0"/>
    <w:rsid w:val="000379C1"/>
    <w:rsid w:val="00037D77"/>
    <w:rsid w:val="00037DCC"/>
    <w:rsid w:val="00037EC6"/>
    <w:rsid w:val="00040031"/>
    <w:rsid w:val="000401A1"/>
    <w:rsid w:val="000403A4"/>
    <w:rsid w:val="0004078E"/>
    <w:rsid w:val="00040DBB"/>
    <w:rsid w:val="00041776"/>
    <w:rsid w:val="00041913"/>
    <w:rsid w:val="000420D2"/>
    <w:rsid w:val="000426D5"/>
    <w:rsid w:val="0004282A"/>
    <w:rsid w:val="00042D38"/>
    <w:rsid w:val="000430CA"/>
    <w:rsid w:val="000438CB"/>
    <w:rsid w:val="00043B84"/>
    <w:rsid w:val="000445C0"/>
    <w:rsid w:val="000447D7"/>
    <w:rsid w:val="00044C72"/>
    <w:rsid w:val="00044F53"/>
    <w:rsid w:val="00045243"/>
    <w:rsid w:val="00045285"/>
    <w:rsid w:val="000454FE"/>
    <w:rsid w:val="00045686"/>
    <w:rsid w:val="0004583C"/>
    <w:rsid w:val="00045ADD"/>
    <w:rsid w:val="00045D91"/>
    <w:rsid w:val="00045F52"/>
    <w:rsid w:val="00046328"/>
    <w:rsid w:val="00046B50"/>
    <w:rsid w:val="00046BAD"/>
    <w:rsid w:val="00046BEB"/>
    <w:rsid w:val="00046C3A"/>
    <w:rsid w:val="00046F42"/>
    <w:rsid w:val="00047001"/>
    <w:rsid w:val="000471F4"/>
    <w:rsid w:val="00047304"/>
    <w:rsid w:val="0004774F"/>
    <w:rsid w:val="0004790B"/>
    <w:rsid w:val="000500D8"/>
    <w:rsid w:val="0005013F"/>
    <w:rsid w:val="000501E0"/>
    <w:rsid w:val="00050717"/>
    <w:rsid w:val="000509BA"/>
    <w:rsid w:val="00050D04"/>
    <w:rsid w:val="00051625"/>
    <w:rsid w:val="00051D4A"/>
    <w:rsid w:val="00052190"/>
    <w:rsid w:val="0005228E"/>
    <w:rsid w:val="00052383"/>
    <w:rsid w:val="00052784"/>
    <w:rsid w:val="0005373B"/>
    <w:rsid w:val="00053781"/>
    <w:rsid w:val="00053CBA"/>
    <w:rsid w:val="00054092"/>
    <w:rsid w:val="00054197"/>
    <w:rsid w:val="000543AA"/>
    <w:rsid w:val="000543FF"/>
    <w:rsid w:val="000547B6"/>
    <w:rsid w:val="00054877"/>
    <w:rsid w:val="00054C3F"/>
    <w:rsid w:val="00055D20"/>
    <w:rsid w:val="000560D5"/>
    <w:rsid w:val="000568A2"/>
    <w:rsid w:val="00056904"/>
    <w:rsid w:val="00056C61"/>
    <w:rsid w:val="00056E3D"/>
    <w:rsid w:val="000573D4"/>
    <w:rsid w:val="00057B27"/>
    <w:rsid w:val="00060364"/>
    <w:rsid w:val="00060832"/>
    <w:rsid w:val="00060DC7"/>
    <w:rsid w:val="00060E78"/>
    <w:rsid w:val="000611C9"/>
    <w:rsid w:val="00061900"/>
    <w:rsid w:val="00061D90"/>
    <w:rsid w:val="00061F56"/>
    <w:rsid w:val="000624B7"/>
    <w:rsid w:val="00062734"/>
    <w:rsid w:val="00062B12"/>
    <w:rsid w:val="00062C0E"/>
    <w:rsid w:val="000638BE"/>
    <w:rsid w:val="00063AB7"/>
    <w:rsid w:val="00063BEE"/>
    <w:rsid w:val="00063D3F"/>
    <w:rsid w:val="00064041"/>
    <w:rsid w:val="000645E4"/>
    <w:rsid w:val="00064621"/>
    <w:rsid w:val="000648E3"/>
    <w:rsid w:val="00064F3D"/>
    <w:rsid w:val="0006552A"/>
    <w:rsid w:val="00065A64"/>
    <w:rsid w:val="00065B27"/>
    <w:rsid w:val="00065D66"/>
    <w:rsid w:val="00065EE7"/>
    <w:rsid w:val="0006606F"/>
    <w:rsid w:val="00066B26"/>
    <w:rsid w:val="00066B3C"/>
    <w:rsid w:val="00066DB3"/>
    <w:rsid w:val="000670EB"/>
    <w:rsid w:val="000671C3"/>
    <w:rsid w:val="000672F2"/>
    <w:rsid w:val="00067822"/>
    <w:rsid w:val="00067F2D"/>
    <w:rsid w:val="000712D4"/>
    <w:rsid w:val="00071345"/>
    <w:rsid w:val="00071462"/>
    <w:rsid w:val="0007178A"/>
    <w:rsid w:val="00072343"/>
    <w:rsid w:val="000723C6"/>
    <w:rsid w:val="00072706"/>
    <w:rsid w:val="000727CB"/>
    <w:rsid w:val="000730D6"/>
    <w:rsid w:val="000731BD"/>
    <w:rsid w:val="00073275"/>
    <w:rsid w:val="0007332A"/>
    <w:rsid w:val="0007348B"/>
    <w:rsid w:val="00073611"/>
    <w:rsid w:val="00073629"/>
    <w:rsid w:val="00073C02"/>
    <w:rsid w:val="00073C8E"/>
    <w:rsid w:val="000743AD"/>
    <w:rsid w:val="000745CF"/>
    <w:rsid w:val="00074D19"/>
    <w:rsid w:val="00074EE4"/>
    <w:rsid w:val="0007607D"/>
    <w:rsid w:val="00076516"/>
    <w:rsid w:val="0007673C"/>
    <w:rsid w:val="000769D9"/>
    <w:rsid w:val="00076B17"/>
    <w:rsid w:val="00076B6E"/>
    <w:rsid w:val="00076EF7"/>
    <w:rsid w:val="00077087"/>
    <w:rsid w:val="000778ED"/>
    <w:rsid w:val="00077E7F"/>
    <w:rsid w:val="000803D5"/>
    <w:rsid w:val="00080413"/>
    <w:rsid w:val="000807FD"/>
    <w:rsid w:val="00080810"/>
    <w:rsid w:val="0008150B"/>
    <w:rsid w:val="0008263C"/>
    <w:rsid w:val="000826AF"/>
    <w:rsid w:val="00082709"/>
    <w:rsid w:val="000827C8"/>
    <w:rsid w:val="00082952"/>
    <w:rsid w:val="00082BCA"/>
    <w:rsid w:val="000834C7"/>
    <w:rsid w:val="000836BE"/>
    <w:rsid w:val="00083727"/>
    <w:rsid w:val="00083F95"/>
    <w:rsid w:val="000841F4"/>
    <w:rsid w:val="00084374"/>
    <w:rsid w:val="00084711"/>
    <w:rsid w:val="0008513E"/>
    <w:rsid w:val="00085171"/>
    <w:rsid w:val="000855D0"/>
    <w:rsid w:val="00085707"/>
    <w:rsid w:val="00085BBD"/>
    <w:rsid w:val="0008693A"/>
    <w:rsid w:val="00086F13"/>
    <w:rsid w:val="00087806"/>
    <w:rsid w:val="00087B1D"/>
    <w:rsid w:val="00087B5A"/>
    <w:rsid w:val="000900EF"/>
    <w:rsid w:val="000903B4"/>
    <w:rsid w:val="0009043A"/>
    <w:rsid w:val="00090E79"/>
    <w:rsid w:val="00090EFB"/>
    <w:rsid w:val="00090F8C"/>
    <w:rsid w:val="00091970"/>
    <w:rsid w:val="00091989"/>
    <w:rsid w:val="00091B09"/>
    <w:rsid w:val="00092565"/>
    <w:rsid w:val="000930CA"/>
    <w:rsid w:val="0009372F"/>
    <w:rsid w:val="00093BBA"/>
    <w:rsid w:val="000945BD"/>
    <w:rsid w:val="00094EF5"/>
    <w:rsid w:val="0009563A"/>
    <w:rsid w:val="00095682"/>
    <w:rsid w:val="0009588E"/>
    <w:rsid w:val="000959EB"/>
    <w:rsid w:val="00095B16"/>
    <w:rsid w:val="000963CD"/>
    <w:rsid w:val="000965AB"/>
    <w:rsid w:val="000966EB"/>
    <w:rsid w:val="00096A6A"/>
    <w:rsid w:val="00096BD2"/>
    <w:rsid w:val="00096FD0"/>
    <w:rsid w:val="00097A4B"/>
    <w:rsid w:val="00097F81"/>
    <w:rsid w:val="00097FFA"/>
    <w:rsid w:val="000A007E"/>
    <w:rsid w:val="000A01CE"/>
    <w:rsid w:val="000A02E3"/>
    <w:rsid w:val="000A0B49"/>
    <w:rsid w:val="000A1A63"/>
    <w:rsid w:val="000A1E9E"/>
    <w:rsid w:val="000A2437"/>
    <w:rsid w:val="000A2AF9"/>
    <w:rsid w:val="000A2B9C"/>
    <w:rsid w:val="000A30A4"/>
    <w:rsid w:val="000A34D8"/>
    <w:rsid w:val="000A35F6"/>
    <w:rsid w:val="000A3CB8"/>
    <w:rsid w:val="000A3DFF"/>
    <w:rsid w:val="000A3EBC"/>
    <w:rsid w:val="000A3F76"/>
    <w:rsid w:val="000A412E"/>
    <w:rsid w:val="000A443C"/>
    <w:rsid w:val="000A49CA"/>
    <w:rsid w:val="000A4BEF"/>
    <w:rsid w:val="000A4D14"/>
    <w:rsid w:val="000A4ED1"/>
    <w:rsid w:val="000A529F"/>
    <w:rsid w:val="000A5783"/>
    <w:rsid w:val="000A5847"/>
    <w:rsid w:val="000A58BB"/>
    <w:rsid w:val="000A5964"/>
    <w:rsid w:val="000A5EE4"/>
    <w:rsid w:val="000A6133"/>
    <w:rsid w:val="000A61B0"/>
    <w:rsid w:val="000A64A8"/>
    <w:rsid w:val="000A64B1"/>
    <w:rsid w:val="000A64D2"/>
    <w:rsid w:val="000A65A9"/>
    <w:rsid w:val="000A6827"/>
    <w:rsid w:val="000A6C2E"/>
    <w:rsid w:val="000A6E0F"/>
    <w:rsid w:val="000A70C1"/>
    <w:rsid w:val="000A70C5"/>
    <w:rsid w:val="000A7288"/>
    <w:rsid w:val="000A7659"/>
    <w:rsid w:val="000A76A1"/>
    <w:rsid w:val="000A7F3F"/>
    <w:rsid w:val="000B0258"/>
    <w:rsid w:val="000B0788"/>
    <w:rsid w:val="000B07D0"/>
    <w:rsid w:val="000B0836"/>
    <w:rsid w:val="000B0A67"/>
    <w:rsid w:val="000B120D"/>
    <w:rsid w:val="000B19E4"/>
    <w:rsid w:val="000B1F94"/>
    <w:rsid w:val="000B2031"/>
    <w:rsid w:val="000B217B"/>
    <w:rsid w:val="000B230C"/>
    <w:rsid w:val="000B2EEB"/>
    <w:rsid w:val="000B2F1E"/>
    <w:rsid w:val="000B3097"/>
    <w:rsid w:val="000B36DE"/>
    <w:rsid w:val="000B3C1E"/>
    <w:rsid w:val="000B417B"/>
    <w:rsid w:val="000B43E8"/>
    <w:rsid w:val="000B4ACA"/>
    <w:rsid w:val="000B4BA4"/>
    <w:rsid w:val="000B54A8"/>
    <w:rsid w:val="000B5B70"/>
    <w:rsid w:val="000B5CDC"/>
    <w:rsid w:val="000B64E0"/>
    <w:rsid w:val="000B6936"/>
    <w:rsid w:val="000B6F19"/>
    <w:rsid w:val="000B6F66"/>
    <w:rsid w:val="000B7001"/>
    <w:rsid w:val="000B7523"/>
    <w:rsid w:val="000B76E5"/>
    <w:rsid w:val="000B7799"/>
    <w:rsid w:val="000B7C1F"/>
    <w:rsid w:val="000B7CBD"/>
    <w:rsid w:val="000C007C"/>
    <w:rsid w:val="000C047E"/>
    <w:rsid w:val="000C04A4"/>
    <w:rsid w:val="000C0B37"/>
    <w:rsid w:val="000C0C59"/>
    <w:rsid w:val="000C0EA6"/>
    <w:rsid w:val="000C1AF6"/>
    <w:rsid w:val="000C1DAD"/>
    <w:rsid w:val="000C27B0"/>
    <w:rsid w:val="000C2873"/>
    <w:rsid w:val="000C2908"/>
    <w:rsid w:val="000C4C76"/>
    <w:rsid w:val="000C4EB6"/>
    <w:rsid w:val="000C5048"/>
    <w:rsid w:val="000C5401"/>
    <w:rsid w:val="000C5547"/>
    <w:rsid w:val="000C58C4"/>
    <w:rsid w:val="000C58F6"/>
    <w:rsid w:val="000C59DB"/>
    <w:rsid w:val="000C5A06"/>
    <w:rsid w:val="000C6043"/>
    <w:rsid w:val="000C6676"/>
    <w:rsid w:val="000C676A"/>
    <w:rsid w:val="000C6A9D"/>
    <w:rsid w:val="000C6E2E"/>
    <w:rsid w:val="000C7289"/>
    <w:rsid w:val="000C72BA"/>
    <w:rsid w:val="000C72C4"/>
    <w:rsid w:val="000C7433"/>
    <w:rsid w:val="000C7487"/>
    <w:rsid w:val="000C74FA"/>
    <w:rsid w:val="000C79B8"/>
    <w:rsid w:val="000C7BA7"/>
    <w:rsid w:val="000C7E96"/>
    <w:rsid w:val="000D02A6"/>
    <w:rsid w:val="000D08B5"/>
    <w:rsid w:val="000D0945"/>
    <w:rsid w:val="000D107F"/>
    <w:rsid w:val="000D10EE"/>
    <w:rsid w:val="000D25F2"/>
    <w:rsid w:val="000D338D"/>
    <w:rsid w:val="000D38C0"/>
    <w:rsid w:val="000D399E"/>
    <w:rsid w:val="000D4707"/>
    <w:rsid w:val="000D4A47"/>
    <w:rsid w:val="000D4B94"/>
    <w:rsid w:val="000D4D90"/>
    <w:rsid w:val="000D4E81"/>
    <w:rsid w:val="000D4FD0"/>
    <w:rsid w:val="000D54A7"/>
    <w:rsid w:val="000D55B2"/>
    <w:rsid w:val="000D55E8"/>
    <w:rsid w:val="000D59F4"/>
    <w:rsid w:val="000D5E5A"/>
    <w:rsid w:val="000D5FE1"/>
    <w:rsid w:val="000D668C"/>
    <w:rsid w:val="000D669D"/>
    <w:rsid w:val="000D6CE6"/>
    <w:rsid w:val="000D6EDA"/>
    <w:rsid w:val="000D6F6F"/>
    <w:rsid w:val="000D7000"/>
    <w:rsid w:val="000D721B"/>
    <w:rsid w:val="000D73A9"/>
    <w:rsid w:val="000D7415"/>
    <w:rsid w:val="000D766F"/>
    <w:rsid w:val="000D7B93"/>
    <w:rsid w:val="000D7CB9"/>
    <w:rsid w:val="000D7F73"/>
    <w:rsid w:val="000E0539"/>
    <w:rsid w:val="000E0810"/>
    <w:rsid w:val="000E0A89"/>
    <w:rsid w:val="000E0B43"/>
    <w:rsid w:val="000E0F23"/>
    <w:rsid w:val="000E1480"/>
    <w:rsid w:val="000E301F"/>
    <w:rsid w:val="000E33C3"/>
    <w:rsid w:val="000E3A35"/>
    <w:rsid w:val="000E3E28"/>
    <w:rsid w:val="000E41A1"/>
    <w:rsid w:val="000E45F3"/>
    <w:rsid w:val="000E4866"/>
    <w:rsid w:val="000E4BF7"/>
    <w:rsid w:val="000E4C2D"/>
    <w:rsid w:val="000E4CEE"/>
    <w:rsid w:val="000E4FD4"/>
    <w:rsid w:val="000E514B"/>
    <w:rsid w:val="000E52A8"/>
    <w:rsid w:val="000E5AD4"/>
    <w:rsid w:val="000E5FD1"/>
    <w:rsid w:val="000E6923"/>
    <w:rsid w:val="000E7494"/>
    <w:rsid w:val="000E7CAC"/>
    <w:rsid w:val="000F00BE"/>
    <w:rsid w:val="000F090D"/>
    <w:rsid w:val="000F1089"/>
    <w:rsid w:val="000F156C"/>
    <w:rsid w:val="000F17AE"/>
    <w:rsid w:val="000F17B7"/>
    <w:rsid w:val="000F1D8D"/>
    <w:rsid w:val="000F28A9"/>
    <w:rsid w:val="000F28DE"/>
    <w:rsid w:val="000F3886"/>
    <w:rsid w:val="000F3991"/>
    <w:rsid w:val="000F4038"/>
    <w:rsid w:val="000F4597"/>
    <w:rsid w:val="000F5BAF"/>
    <w:rsid w:val="000F5DF2"/>
    <w:rsid w:val="000F61A9"/>
    <w:rsid w:val="000F6F98"/>
    <w:rsid w:val="000F755C"/>
    <w:rsid w:val="000F79AE"/>
    <w:rsid w:val="00100760"/>
    <w:rsid w:val="00100933"/>
    <w:rsid w:val="00100A4E"/>
    <w:rsid w:val="00100DD5"/>
    <w:rsid w:val="00100EF5"/>
    <w:rsid w:val="00101385"/>
    <w:rsid w:val="001018B1"/>
    <w:rsid w:val="00101AAD"/>
    <w:rsid w:val="00101C5F"/>
    <w:rsid w:val="0010207B"/>
    <w:rsid w:val="0010269F"/>
    <w:rsid w:val="001030E3"/>
    <w:rsid w:val="001037EC"/>
    <w:rsid w:val="00103D07"/>
    <w:rsid w:val="00103E16"/>
    <w:rsid w:val="00104385"/>
    <w:rsid w:val="00104814"/>
    <w:rsid w:val="00104B0F"/>
    <w:rsid w:val="00105033"/>
    <w:rsid w:val="001057B5"/>
    <w:rsid w:val="00106099"/>
    <w:rsid w:val="001062D4"/>
    <w:rsid w:val="00106432"/>
    <w:rsid w:val="0010648F"/>
    <w:rsid w:val="00106708"/>
    <w:rsid w:val="001068F6"/>
    <w:rsid w:val="00106AA5"/>
    <w:rsid w:val="00106BE3"/>
    <w:rsid w:val="00106C20"/>
    <w:rsid w:val="00106E8E"/>
    <w:rsid w:val="00106F17"/>
    <w:rsid w:val="0010762B"/>
    <w:rsid w:val="001077BA"/>
    <w:rsid w:val="001077EB"/>
    <w:rsid w:val="001078EA"/>
    <w:rsid w:val="00107D18"/>
    <w:rsid w:val="0011001B"/>
    <w:rsid w:val="00110CEF"/>
    <w:rsid w:val="00110FEB"/>
    <w:rsid w:val="00111420"/>
    <w:rsid w:val="00111CB8"/>
    <w:rsid w:val="001122F3"/>
    <w:rsid w:val="00112789"/>
    <w:rsid w:val="00112AEB"/>
    <w:rsid w:val="00112F3E"/>
    <w:rsid w:val="00113297"/>
    <w:rsid w:val="0011352C"/>
    <w:rsid w:val="001139F7"/>
    <w:rsid w:val="00113BBA"/>
    <w:rsid w:val="00113C78"/>
    <w:rsid w:val="00114320"/>
    <w:rsid w:val="00114A79"/>
    <w:rsid w:val="00114E66"/>
    <w:rsid w:val="00115BDA"/>
    <w:rsid w:val="00116D13"/>
    <w:rsid w:val="00116FEB"/>
    <w:rsid w:val="0011750A"/>
    <w:rsid w:val="00117C6F"/>
    <w:rsid w:val="0012006F"/>
    <w:rsid w:val="00120114"/>
    <w:rsid w:val="0012011D"/>
    <w:rsid w:val="001208E2"/>
    <w:rsid w:val="00120A86"/>
    <w:rsid w:val="00120ED6"/>
    <w:rsid w:val="0012100F"/>
    <w:rsid w:val="00121AAD"/>
    <w:rsid w:val="00122185"/>
    <w:rsid w:val="00122977"/>
    <w:rsid w:val="00122FF2"/>
    <w:rsid w:val="0012319C"/>
    <w:rsid w:val="001232CC"/>
    <w:rsid w:val="00123516"/>
    <w:rsid w:val="001236AB"/>
    <w:rsid w:val="00123729"/>
    <w:rsid w:val="00123ABF"/>
    <w:rsid w:val="00124383"/>
    <w:rsid w:val="00124AA8"/>
    <w:rsid w:val="00125C3E"/>
    <w:rsid w:val="00125D36"/>
    <w:rsid w:val="0012628A"/>
    <w:rsid w:val="0012645E"/>
    <w:rsid w:val="0012684F"/>
    <w:rsid w:val="00126931"/>
    <w:rsid w:val="00126C20"/>
    <w:rsid w:val="00126CD2"/>
    <w:rsid w:val="00126CF1"/>
    <w:rsid w:val="0012720D"/>
    <w:rsid w:val="00127D3B"/>
    <w:rsid w:val="0013026C"/>
    <w:rsid w:val="001305FF"/>
    <w:rsid w:val="00130626"/>
    <w:rsid w:val="001306BF"/>
    <w:rsid w:val="0013135D"/>
    <w:rsid w:val="00131912"/>
    <w:rsid w:val="00131978"/>
    <w:rsid w:val="0013198D"/>
    <w:rsid w:val="00131C02"/>
    <w:rsid w:val="001321FA"/>
    <w:rsid w:val="001322A4"/>
    <w:rsid w:val="00132873"/>
    <w:rsid w:val="00133299"/>
    <w:rsid w:val="001336C6"/>
    <w:rsid w:val="00133B1A"/>
    <w:rsid w:val="00134273"/>
    <w:rsid w:val="001349A2"/>
    <w:rsid w:val="00134DA9"/>
    <w:rsid w:val="00135BF9"/>
    <w:rsid w:val="00136038"/>
    <w:rsid w:val="00136262"/>
    <w:rsid w:val="001366C8"/>
    <w:rsid w:val="0013694C"/>
    <w:rsid w:val="00136983"/>
    <w:rsid w:val="00137009"/>
    <w:rsid w:val="0013720E"/>
    <w:rsid w:val="00137304"/>
    <w:rsid w:val="0013745E"/>
    <w:rsid w:val="00137488"/>
    <w:rsid w:val="00137A7C"/>
    <w:rsid w:val="00137BB8"/>
    <w:rsid w:val="0014004A"/>
    <w:rsid w:val="001402ED"/>
    <w:rsid w:val="001410AB"/>
    <w:rsid w:val="0014129D"/>
    <w:rsid w:val="001413B1"/>
    <w:rsid w:val="00141415"/>
    <w:rsid w:val="00141A2B"/>
    <w:rsid w:val="00141AEB"/>
    <w:rsid w:val="0014212F"/>
    <w:rsid w:val="00142233"/>
    <w:rsid w:val="00142784"/>
    <w:rsid w:val="001427CB"/>
    <w:rsid w:val="00142953"/>
    <w:rsid w:val="0014297F"/>
    <w:rsid w:val="00143003"/>
    <w:rsid w:val="001430F3"/>
    <w:rsid w:val="001432EB"/>
    <w:rsid w:val="00143CB5"/>
    <w:rsid w:val="00143DC4"/>
    <w:rsid w:val="0014400E"/>
    <w:rsid w:val="001440F0"/>
    <w:rsid w:val="00144244"/>
    <w:rsid w:val="001443BA"/>
    <w:rsid w:val="00144AE0"/>
    <w:rsid w:val="00144BE4"/>
    <w:rsid w:val="00144E15"/>
    <w:rsid w:val="001450CC"/>
    <w:rsid w:val="00145C93"/>
    <w:rsid w:val="00145E0B"/>
    <w:rsid w:val="001462AE"/>
    <w:rsid w:val="00146B3F"/>
    <w:rsid w:val="00146CAA"/>
    <w:rsid w:val="00146DC4"/>
    <w:rsid w:val="001472C4"/>
    <w:rsid w:val="001473BC"/>
    <w:rsid w:val="001475F7"/>
    <w:rsid w:val="0015027C"/>
    <w:rsid w:val="00150AED"/>
    <w:rsid w:val="00150CC1"/>
    <w:rsid w:val="00150D5B"/>
    <w:rsid w:val="00151ECC"/>
    <w:rsid w:val="00152408"/>
    <w:rsid w:val="0015274D"/>
    <w:rsid w:val="001527BA"/>
    <w:rsid w:val="00152867"/>
    <w:rsid w:val="00152A4D"/>
    <w:rsid w:val="00153067"/>
    <w:rsid w:val="00153072"/>
    <w:rsid w:val="001530ED"/>
    <w:rsid w:val="0015319E"/>
    <w:rsid w:val="00153210"/>
    <w:rsid w:val="00153251"/>
    <w:rsid w:val="0015338F"/>
    <w:rsid w:val="0015339A"/>
    <w:rsid w:val="00153995"/>
    <w:rsid w:val="00153C00"/>
    <w:rsid w:val="00153D62"/>
    <w:rsid w:val="00154579"/>
    <w:rsid w:val="001545ED"/>
    <w:rsid w:val="0015465D"/>
    <w:rsid w:val="00154962"/>
    <w:rsid w:val="00154F62"/>
    <w:rsid w:val="00155350"/>
    <w:rsid w:val="00155686"/>
    <w:rsid w:val="00155748"/>
    <w:rsid w:val="00155B9A"/>
    <w:rsid w:val="00156399"/>
    <w:rsid w:val="0015641E"/>
    <w:rsid w:val="00156622"/>
    <w:rsid w:val="001569F3"/>
    <w:rsid w:val="00156AF8"/>
    <w:rsid w:val="00156D08"/>
    <w:rsid w:val="00157101"/>
    <w:rsid w:val="001573CB"/>
    <w:rsid w:val="001603B0"/>
    <w:rsid w:val="00160452"/>
    <w:rsid w:val="00160E68"/>
    <w:rsid w:val="00160EA8"/>
    <w:rsid w:val="00160FE3"/>
    <w:rsid w:val="001612DD"/>
    <w:rsid w:val="0016130C"/>
    <w:rsid w:val="00161B8F"/>
    <w:rsid w:val="00161F64"/>
    <w:rsid w:val="0016219E"/>
    <w:rsid w:val="001628FB"/>
    <w:rsid w:val="00162EF1"/>
    <w:rsid w:val="001630A4"/>
    <w:rsid w:val="00163665"/>
    <w:rsid w:val="00164213"/>
    <w:rsid w:val="001644A4"/>
    <w:rsid w:val="001644C5"/>
    <w:rsid w:val="00164624"/>
    <w:rsid w:val="00164FF9"/>
    <w:rsid w:val="00165081"/>
    <w:rsid w:val="001650F0"/>
    <w:rsid w:val="00165107"/>
    <w:rsid w:val="0016542C"/>
    <w:rsid w:val="001658E4"/>
    <w:rsid w:val="00165C8A"/>
    <w:rsid w:val="00165D93"/>
    <w:rsid w:val="00165ED0"/>
    <w:rsid w:val="001661DD"/>
    <w:rsid w:val="00166954"/>
    <w:rsid w:val="00166A11"/>
    <w:rsid w:val="00166B3B"/>
    <w:rsid w:val="00166D90"/>
    <w:rsid w:val="00166E67"/>
    <w:rsid w:val="001674F8"/>
    <w:rsid w:val="00167621"/>
    <w:rsid w:val="00167F72"/>
    <w:rsid w:val="00167FA5"/>
    <w:rsid w:val="00170765"/>
    <w:rsid w:val="00170A1A"/>
    <w:rsid w:val="00170A43"/>
    <w:rsid w:val="001712C0"/>
    <w:rsid w:val="0017181F"/>
    <w:rsid w:val="00171A9D"/>
    <w:rsid w:val="00172039"/>
    <w:rsid w:val="001720D7"/>
    <w:rsid w:val="00172400"/>
    <w:rsid w:val="0017281E"/>
    <w:rsid w:val="00172A92"/>
    <w:rsid w:val="00173370"/>
    <w:rsid w:val="001733D3"/>
    <w:rsid w:val="0017371C"/>
    <w:rsid w:val="00173F3E"/>
    <w:rsid w:val="00174139"/>
    <w:rsid w:val="001741DB"/>
    <w:rsid w:val="00175306"/>
    <w:rsid w:val="0017539D"/>
    <w:rsid w:val="001757D0"/>
    <w:rsid w:val="001757F7"/>
    <w:rsid w:val="00175E19"/>
    <w:rsid w:val="00175F7D"/>
    <w:rsid w:val="0017655C"/>
    <w:rsid w:val="001767A0"/>
    <w:rsid w:val="0017738E"/>
    <w:rsid w:val="001775F5"/>
    <w:rsid w:val="001808B0"/>
    <w:rsid w:val="00180915"/>
    <w:rsid w:val="00180A10"/>
    <w:rsid w:val="001812BA"/>
    <w:rsid w:val="00181451"/>
    <w:rsid w:val="001814C1"/>
    <w:rsid w:val="00181506"/>
    <w:rsid w:val="0018177D"/>
    <w:rsid w:val="001817A2"/>
    <w:rsid w:val="00181F94"/>
    <w:rsid w:val="00182257"/>
    <w:rsid w:val="001828A0"/>
    <w:rsid w:val="00182F24"/>
    <w:rsid w:val="001832B8"/>
    <w:rsid w:val="001832C9"/>
    <w:rsid w:val="00183516"/>
    <w:rsid w:val="001839F7"/>
    <w:rsid w:val="00183C12"/>
    <w:rsid w:val="00183CDA"/>
    <w:rsid w:val="00183D79"/>
    <w:rsid w:val="0018420E"/>
    <w:rsid w:val="00184518"/>
    <w:rsid w:val="00184648"/>
    <w:rsid w:val="00184A0A"/>
    <w:rsid w:val="0018542D"/>
    <w:rsid w:val="00185496"/>
    <w:rsid w:val="00185739"/>
    <w:rsid w:val="00185986"/>
    <w:rsid w:val="0018599C"/>
    <w:rsid w:val="00185A2C"/>
    <w:rsid w:val="00186141"/>
    <w:rsid w:val="00186389"/>
    <w:rsid w:val="0018715F"/>
    <w:rsid w:val="00187341"/>
    <w:rsid w:val="00187473"/>
    <w:rsid w:val="00187592"/>
    <w:rsid w:val="001875B1"/>
    <w:rsid w:val="001875C8"/>
    <w:rsid w:val="001876B9"/>
    <w:rsid w:val="00187E3F"/>
    <w:rsid w:val="00187FCA"/>
    <w:rsid w:val="001909FE"/>
    <w:rsid w:val="00191356"/>
    <w:rsid w:val="00191379"/>
    <w:rsid w:val="001913C5"/>
    <w:rsid w:val="00191D80"/>
    <w:rsid w:val="00191DC0"/>
    <w:rsid w:val="00192144"/>
    <w:rsid w:val="00192414"/>
    <w:rsid w:val="00192C04"/>
    <w:rsid w:val="00192D99"/>
    <w:rsid w:val="00192E46"/>
    <w:rsid w:val="00192EF7"/>
    <w:rsid w:val="00193172"/>
    <w:rsid w:val="001936C2"/>
    <w:rsid w:val="001942AD"/>
    <w:rsid w:val="001942B9"/>
    <w:rsid w:val="00194535"/>
    <w:rsid w:val="001946C8"/>
    <w:rsid w:val="0019485F"/>
    <w:rsid w:val="00195131"/>
    <w:rsid w:val="001953F1"/>
    <w:rsid w:val="001958DF"/>
    <w:rsid w:val="001959B2"/>
    <w:rsid w:val="00196682"/>
    <w:rsid w:val="001968F7"/>
    <w:rsid w:val="00196E07"/>
    <w:rsid w:val="001979A6"/>
    <w:rsid w:val="00197DC3"/>
    <w:rsid w:val="001A0192"/>
    <w:rsid w:val="001A0301"/>
    <w:rsid w:val="001A09A6"/>
    <w:rsid w:val="001A0CB4"/>
    <w:rsid w:val="001A0E87"/>
    <w:rsid w:val="001A1421"/>
    <w:rsid w:val="001A1648"/>
    <w:rsid w:val="001A1CA4"/>
    <w:rsid w:val="001A1E63"/>
    <w:rsid w:val="001A2361"/>
    <w:rsid w:val="001A238F"/>
    <w:rsid w:val="001A28B6"/>
    <w:rsid w:val="001A29F7"/>
    <w:rsid w:val="001A302F"/>
    <w:rsid w:val="001A3F07"/>
    <w:rsid w:val="001A41C7"/>
    <w:rsid w:val="001A4363"/>
    <w:rsid w:val="001A4670"/>
    <w:rsid w:val="001A4A9E"/>
    <w:rsid w:val="001A4AA9"/>
    <w:rsid w:val="001A55FD"/>
    <w:rsid w:val="001A5674"/>
    <w:rsid w:val="001A5851"/>
    <w:rsid w:val="001A5DD3"/>
    <w:rsid w:val="001A5FE9"/>
    <w:rsid w:val="001A67D5"/>
    <w:rsid w:val="001A684D"/>
    <w:rsid w:val="001A6C27"/>
    <w:rsid w:val="001A6D59"/>
    <w:rsid w:val="001A705E"/>
    <w:rsid w:val="001A7A39"/>
    <w:rsid w:val="001A7F29"/>
    <w:rsid w:val="001B0222"/>
    <w:rsid w:val="001B05CB"/>
    <w:rsid w:val="001B1118"/>
    <w:rsid w:val="001B13E7"/>
    <w:rsid w:val="001B1957"/>
    <w:rsid w:val="001B1C0B"/>
    <w:rsid w:val="001B204B"/>
    <w:rsid w:val="001B219D"/>
    <w:rsid w:val="001B2271"/>
    <w:rsid w:val="001B250F"/>
    <w:rsid w:val="001B253C"/>
    <w:rsid w:val="001B2586"/>
    <w:rsid w:val="001B25AE"/>
    <w:rsid w:val="001B3909"/>
    <w:rsid w:val="001B40A5"/>
    <w:rsid w:val="001B4DB1"/>
    <w:rsid w:val="001B55B8"/>
    <w:rsid w:val="001B582B"/>
    <w:rsid w:val="001B5AB3"/>
    <w:rsid w:val="001B6022"/>
    <w:rsid w:val="001B6166"/>
    <w:rsid w:val="001B6553"/>
    <w:rsid w:val="001B6686"/>
    <w:rsid w:val="001B71A1"/>
    <w:rsid w:val="001B78D8"/>
    <w:rsid w:val="001B792E"/>
    <w:rsid w:val="001B7A77"/>
    <w:rsid w:val="001B7EA1"/>
    <w:rsid w:val="001B7F21"/>
    <w:rsid w:val="001C0155"/>
    <w:rsid w:val="001C03A6"/>
    <w:rsid w:val="001C0700"/>
    <w:rsid w:val="001C0A68"/>
    <w:rsid w:val="001C1E51"/>
    <w:rsid w:val="001C2172"/>
    <w:rsid w:val="001C2225"/>
    <w:rsid w:val="001C25EE"/>
    <w:rsid w:val="001C2837"/>
    <w:rsid w:val="001C2B39"/>
    <w:rsid w:val="001C2BCB"/>
    <w:rsid w:val="001C2EC8"/>
    <w:rsid w:val="001C305A"/>
    <w:rsid w:val="001C3247"/>
    <w:rsid w:val="001C3766"/>
    <w:rsid w:val="001C4274"/>
    <w:rsid w:val="001C4AD1"/>
    <w:rsid w:val="001C4C22"/>
    <w:rsid w:val="001C4DBE"/>
    <w:rsid w:val="001C5207"/>
    <w:rsid w:val="001C54CF"/>
    <w:rsid w:val="001C55C9"/>
    <w:rsid w:val="001C5F8F"/>
    <w:rsid w:val="001C6483"/>
    <w:rsid w:val="001C6FE0"/>
    <w:rsid w:val="001C753E"/>
    <w:rsid w:val="001C774F"/>
    <w:rsid w:val="001C7915"/>
    <w:rsid w:val="001C7C9B"/>
    <w:rsid w:val="001C7F85"/>
    <w:rsid w:val="001C7FC3"/>
    <w:rsid w:val="001D06BE"/>
    <w:rsid w:val="001D0D9D"/>
    <w:rsid w:val="001D0F5F"/>
    <w:rsid w:val="001D167F"/>
    <w:rsid w:val="001D1EE9"/>
    <w:rsid w:val="001D24D7"/>
    <w:rsid w:val="001D28AD"/>
    <w:rsid w:val="001D2BC6"/>
    <w:rsid w:val="001D2E84"/>
    <w:rsid w:val="001D3392"/>
    <w:rsid w:val="001D347D"/>
    <w:rsid w:val="001D364E"/>
    <w:rsid w:val="001D3789"/>
    <w:rsid w:val="001D3D65"/>
    <w:rsid w:val="001D421D"/>
    <w:rsid w:val="001D463D"/>
    <w:rsid w:val="001D4B73"/>
    <w:rsid w:val="001D4BE3"/>
    <w:rsid w:val="001D4FA9"/>
    <w:rsid w:val="001D503B"/>
    <w:rsid w:val="001D532D"/>
    <w:rsid w:val="001D56CB"/>
    <w:rsid w:val="001D5C05"/>
    <w:rsid w:val="001D5DCF"/>
    <w:rsid w:val="001D6220"/>
    <w:rsid w:val="001D67F9"/>
    <w:rsid w:val="001D697B"/>
    <w:rsid w:val="001D7018"/>
    <w:rsid w:val="001D71E0"/>
    <w:rsid w:val="001D75D7"/>
    <w:rsid w:val="001D7C37"/>
    <w:rsid w:val="001D7CED"/>
    <w:rsid w:val="001D7E69"/>
    <w:rsid w:val="001E0288"/>
    <w:rsid w:val="001E06C0"/>
    <w:rsid w:val="001E0CE9"/>
    <w:rsid w:val="001E0FA3"/>
    <w:rsid w:val="001E11C8"/>
    <w:rsid w:val="001E1345"/>
    <w:rsid w:val="001E18C2"/>
    <w:rsid w:val="001E1D20"/>
    <w:rsid w:val="001E29F8"/>
    <w:rsid w:val="001E2B60"/>
    <w:rsid w:val="001E3185"/>
    <w:rsid w:val="001E4095"/>
    <w:rsid w:val="001E41FE"/>
    <w:rsid w:val="001E4212"/>
    <w:rsid w:val="001E42A7"/>
    <w:rsid w:val="001E454D"/>
    <w:rsid w:val="001E49C7"/>
    <w:rsid w:val="001E4F97"/>
    <w:rsid w:val="001E50E2"/>
    <w:rsid w:val="001E549D"/>
    <w:rsid w:val="001E59DC"/>
    <w:rsid w:val="001E6476"/>
    <w:rsid w:val="001E676C"/>
    <w:rsid w:val="001E6B9D"/>
    <w:rsid w:val="001E6D06"/>
    <w:rsid w:val="001E7836"/>
    <w:rsid w:val="001E7B93"/>
    <w:rsid w:val="001E7C50"/>
    <w:rsid w:val="001E7F93"/>
    <w:rsid w:val="001F03F8"/>
    <w:rsid w:val="001F05FD"/>
    <w:rsid w:val="001F0A30"/>
    <w:rsid w:val="001F0CDF"/>
    <w:rsid w:val="001F10C1"/>
    <w:rsid w:val="001F11DE"/>
    <w:rsid w:val="001F126D"/>
    <w:rsid w:val="001F1346"/>
    <w:rsid w:val="001F1496"/>
    <w:rsid w:val="001F15FA"/>
    <w:rsid w:val="001F172F"/>
    <w:rsid w:val="001F19F0"/>
    <w:rsid w:val="001F1A51"/>
    <w:rsid w:val="001F1B8B"/>
    <w:rsid w:val="001F235D"/>
    <w:rsid w:val="001F278F"/>
    <w:rsid w:val="001F279B"/>
    <w:rsid w:val="001F3238"/>
    <w:rsid w:val="001F32B0"/>
    <w:rsid w:val="001F373A"/>
    <w:rsid w:val="001F3857"/>
    <w:rsid w:val="001F3A44"/>
    <w:rsid w:val="001F3B7B"/>
    <w:rsid w:val="001F3D14"/>
    <w:rsid w:val="001F3E2B"/>
    <w:rsid w:val="001F3EBD"/>
    <w:rsid w:val="001F4066"/>
    <w:rsid w:val="001F4204"/>
    <w:rsid w:val="001F43B9"/>
    <w:rsid w:val="001F44DD"/>
    <w:rsid w:val="001F4808"/>
    <w:rsid w:val="001F4B46"/>
    <w:rsid w:val="001F4C89"/>
    <w:rsid w:val="001F5156"/>
    <w:rsid w:val="001F52F2"/>
    <w:rsid w:val="001F5489"/>
    <w:rsid w:val="001F574D"/>
    <w:rsid w:val="001F5802"/>
    <w:rsid w:val="001F5A9C"/>
    <w:rsid w:val="001F62D3"/>
    <w:rsid w:val="001F672B"/>
    <w:rsid w:val="001F6ED7"/>
    <w:rsid w:val="001F71E3"/>
    <w:rsid w:val="001F7663"/>
    <w:rsid w:val="001F78F2"/>
    <w:rsid w:val="001F7B13"/>
    <w:rsid w:val="001F7DE7"/>
    <w:rsid w:val="001F7E92"/>
    <w:rsid w:val="00200C36"/>
    <w:rsid w:val="00200C3E"/>
    <w:rsid w:val="00200E83"/>
    <w:rsid w:val="00201017"/>
    <w:rsid w:val="0020173A"/>
    <w:rsid w:val="00201775"/>
    <w:rsid w:val="002018CA"/>
    <w:rsid w:val="0020193A"/>
    <w:rsid w:val="00201C5F"/>
    <w:rsid w:val="00201C6F"/>
    <w:rsid w:val="00201E8A"/>
    <w:rsid w:val="00201F66"/>
    <w:rsid w:val="00202340"/>
    <w:rsid w:val="00202466"/>
    <w:rsid w:val="00202BEB"/>
    <w:rsid w:val="00202D16"/>
    <w:rsid w:val="002033A7"/>
    <w:rsid w:val="00203669"/>
    <w:rsid w:val="00203ADD"/>
    <w:rsid w:val="00203AF1"/>
    <w:rsid w:val="00203AFA"/>
    <w:rsid w:val="00203BD7"/>
    <w:rsid w:val="00203DF3"/>
    <w:rsid w:val="00203E17"/>
    <w:rsid w:val="0020435F"/>
    <w:rsid w:val="00204C91"/>
    <w:rsid w:val="00204DAD"/>
    <w:rsid w:val="00205091"/>
    <w:rsid w:val="002053BF"/>
    <w:rsid w:val="002055C4"/>
    <w:rsid w:val="002059A1"/>
    <w:rsid w:val="00205A59"/>
    <w:rsid w:val="00205FF0"/>
    <w:rsid w:val="002060EF"/>
    <w:rsid w:val="002069F8"/>
    <w:rsid w:val="00206F4B"/>
    <w:rsid w:val="00207053"/>
    <w:rsid w:val="00207436"/>
    <w:rsid w:val="00207657"/>
    <w:rsid w:val="00207979"/>
    <w:rsid w:val="00207A8D"/>
    <w:rsid w:val="00207F8D"/>
    <w:rsid w:val="00207FEC"/>
    <w:rsid w:val="00210000"/>
    <w:rsid w:val="002103B5"/>
    <w:rsid w:val="0021176B"/>
    <w:rsid w:val="00211B4B"/>
    <w:rsid w:val="00212060"/>
    <w:rsid w:val="00212247"/>
    <w:rsid w:val="0021245E"/>
    <w:rsid w:val="00212584"/>
    <w:rsid w:val="00212781"/>
    <w:rsid w:val="002129A0"/>
    <w:rsid w:val="00212A11"/>
    <w:rsid w:val="00212A39"/>
    <w:rsid w:val="00212CCD"/>
    <w:rsid w:val="00212DBA"/>
    <w:rsid w:val="002132F7"/>
    <w:rsid w:val="00213563"/>
    <w:rsid w:val="0021368D"/>
    <w:rsid w:val="00213779"/>
    <w:rsid w:val="002137BF"/>
    <w:rsid w:val="00213F55"/>
    <w:rsid w:val="002143C2"/>
    <w:rsid w:val="00214D32"/>
    <w:rsid w:val="00214EE2"/>
    <w:rsid w:val="00215053"/>
    <w:rsid w:val="002150B7"/>
    <w:rsid w:val="0021527E"/>
    <w:rsid w:val="002153B2"/>
    <w:rsid w:val="00215B26"/>
    <w:rsid w:val="00215E37"/>
    <w:rsid w:val="00215F2B"/>
    <w:rsid w:val="00216243"/>
    <w:rsid w:val="002164BF"/>
    <w:rsid w:val="00217105"/>
    <w:rsid w:val="002176DE"/>
    <w:rsid w:val="00217937"/>
    <w:rsid w:val="00217A61"/>
    <w:rsid w:val="0022014E"/>
    <w:rsid w:val="002208BF"/>
    <w:rsid w:val="00220A00"/>
    <w:rsid w:val="0022103C"/>
    <w:rsid w:val="002210CC"/>
    <w:rsid w:val="0022134B"/>
    <w:rsid w:val="00221B36"/>
    <w:rsid w:val="00221BF6"/>
    <w:rsid w:val="00221C17"/>
    <w:rsid w:val="00222484"/>
    <w:rsid w:val="0022266B"/>
    <w:rsid w:val="002228FE"/>
    <w:rsid w:val="00222959"/>
    <w:rsid w:val="002235B7"/>
    <w:rsid w:val="00223BC0"/>
    <w:rsid w:val="00224849"/>
    <w:rsid w:val="00224A53"/>
    <w:rsid w:val="00224ABE"/>
    <w:rsid w:val="00224AF5"/>
    <w:rsid w:val="002252F6"/>
    <w:rsid w:val="00225811"/>
    <w:rsid w:val="00225A30"/>
    <w:rsid w:val="00225AD4"/>
    <w:rsid w:val="00225BBB"/>
    <w:rsid w:val="00225DCD"/>
    <w:rsid w:val="00225EC4"/>
    <w:rsid w:val="00225EE3"/>
    <w:rsid w:val="00225EFF"/>
    <w:rsid w:val="00225F9B"/>
    <w:rsid w:val="002265D8"/>
    <w:rsid w:val="00226795"/>
    <w:rsid w:val="002273BE"/>
    <w:rsid w:val="00227574"/>
    <w:rsid w:val="0022782C"/>
    <w:rsid w:val="00227871"/>
    <w:rsid w:val="00227911"/>
    <w:rsid w:val="002279AD"/>
    <w:rsid w:val="00227F64"/>
    <w:rsid w:val="0023049D"/>
    <w:rsid w:val="0023077A"/>
    <w:rsid w:val="00230A46"/>
    <w:rsid w:val="00230EDC"/>
    <w:rsid w:val="002311F9"/>
    <w:rsid w:val="00231265"/>
    <w:rsid w:val="002312B2"/>
    <w:rsid w:val="002313ED"/>
    <w:rsid w:val="0023166B"/>
    <w:rsid w:val="002316F2"/>
    <w:rsid w:val="002317F1"/>
    <w:rsid w:val="0023274A"/>
    <w:rsid w:val="00232C26"/>
    <w:rsid w:val="00232F35"/>
    <w:rsid w:val="00233192"/>
    <w:rsid w:val="00233D6F"/>
    <w:rsid w:val="00234484"/>
    <w:rsid w:val="00234713"/>
    <w:rsid w:val="00234757"/>
    <w:rsid w:val="002349BD"/>
    <w:rsid w:val="00234A28"/>
    <w:rsid w:val="00234AA0"/>
    <w:rsid w:val="002355C8"/>
    <w:rsid w:val="002359BC"/>
    <w:rsid w:val="00235B06"/>
    <w:rsid w:val="00236186"/>
    <w:rsid w:val="0023625C"/>
    <w:rsid w:val="002364C5"/>
    <w:rsid w:val="0023656B"/>
    <w:rsid w:val="00236941"/>
    <w:rsid w:val="00236D29"/>
    <w:rsid w:val="00236E8D"/>
    <w:rsid w:val="00237339"/>
    <w:rsid w:val="00237983"/>
    <w:rsid w:val="00237CC0"/>
    <w:rsid w:val="0024089B"/>
    <w:rsid w:val="00240DDB"/>
    <w:rsid w:val="00240F6F"/>
    <w:rsid w:val="00240F85"/>
    <w:rsid w:val="002413A3"/>
    <w:rsid w:val="0024168C"/>
    <w:rsid w:val="002416A8"/>
    <w:rsid w:val="00241704"/>
    <w:rsid w:val="00241731"/>
    <w:rsid w:val="00241DAA"/>
    <w:rsid w:val="00242467"/>
    <w:rsid w:val="00242D8A"/>
    <w:rsid w:val="002431AC"/>
    <w:rsid w:val="00243D41"/>
    <w:rsid w:val="0024432D"/>
    <w:rsid w:val="00244342"/>
    <w:rsid w:val="00244A0C"/>
    <w:rsid w:val="0024512E"/>
    <w:rsid w:val="0024539E"/>
    <w:rsid w:val="002459BE"/>
    <w:rsid w:val="00245CD3"/>
    <w:rsid w:val="00245F1B"/>
    <w:rsid w:val="00246225"/>
    <w:rsid w:val="002462E0"/>
    <w:rsid w:val="002466DC"/>
    <w:rsid w:val="00246BE4"/>
    <w:rsid w:val="00247172"/>
    <w:rsid w:val="00247179"/>
    <w:rsid w:val="00247E15"/>
    <w:rsid w:val="0025012E"/>
    <w:rsid w:val="00250680"/>
    <w:rsid w:val="00250711"/>
    <w:rsid w:val="00250B6E"/>
    <w:rsid w:val="00250B85"/>
    <w:rsid w:val="0025101A"/>
    <w:rsid w:val="002511EB"/>
    <w:rsid w:val="0025170D"/>
    <w:rsid w:val="002523F3"/>
    <w:rsid w:val="00252574"/>
    <w:rsid w:val="00252622"/>
    <w:rsid w:val="002527BC"/>
    <w:rsid w:val="002529AB"/>
    <w:rsid w:val="00252EFE"/>
    <w:rsid w:val="00253170"/>
    <w:rsid w:val="002534B2"/>
    <w:rsid w:val="002534CB"/>
    <w:rsid w:val="00254889"/>
    <w:rsid w:val="00254CDD"/>
    <w:rsid w:val="00254DEB"/>
    <w:rsid w:val="0025502C"/>
    <w:rsid w:val="00255458"/>
    <w:rsid w:val="002555C2"/>
    <w:rsid w:val="00255718"/>
    <w:rsid w:val="002559C2"/>
    <w:rsid w:val="00255A43"/>
    <w:rsid w:val="00255B1B"/>
    <w:rsid w:val="00255CAE"/>
    <w:rsid w:val="00255DB5"/>
    <w:rsid w:val="00255EEE"/>
    <w:rsid w:val="002560C8"/>
    <w:rsid w:val="00256859"/>
    <w:rsid w:val="00257090"/>
    <w:rsid w:val="00257562"/>
    <w:rsid w:val="00257A0B"/>
    <w:rsid w:val="00260203"/>
    <w:rsid w:val="002603D3"/>
    <w:rsid w:val="0026067E"/>
    <w:rsid w:val="00260690"/>
    <w:rsid w:val="0026101D"/>
    <w:rsid w:val="00261149"/>
    <w:rsid w:val="00261477"/>
    <w:rsid w:val="00261B6E"/>
    <w:rsid w:val="00261EB2"/>
    <w:rsid w:val="002623D8"/>
    <w:rsid w:val="00262463"/>
    <w:rsid w:val="0026258D"/>
    <w:rsid w:val="002625CE"/>
    <w:rsid w:val="002629F5"/>
    <w:rsid w:val="00262EAF"/>
    <w:rsid w:val="00262F20"/>
    <w:rsid w:val="00262F5B"/>
    <w:rsid w:val="0026375E"/>
    <w:rsid w:val="0026398E"/>
    <w:rsid w:val="00263A4C"/>
    <w:rsid w:val="00263E22"/>
    <w:rsid w:val="002640A6"/>
    <w:rsid w:val="002641B0"/>
    <w:rsid w:val="00264859"/>
    <w:rsid w:val="00266510"/>
    <w:rsid w:val="002665C5"/>
    <w:rsid w:val="0026688D"/>
    <w:rsid w:val="00266961"/>
    <w:rsid w:val="00266B9A"/>
    <w:rsid w:val="00266FA7"/>
    <w:rsid w:val="002700DB"/>
    <w:rsid w:val="00270FDE"/>
    <w:rsid w:val="00271447"/>
    <w:rsid w:val="002719EF"/>
    <w:rsid w:val="00271FE6"/>
    <w:rsid w:val="00272022"/>
    <w:rsid w:val="00272409"/>
    <w:rsid w:val="00272428"/>
    <w:rsid w:val="002726BC"/>
    <w:rsid w:val="00272E41"/>
    <w:rsid w:val="002730FF"/>
    <w:rsid w:val="00273244"/>
    <w:rsid w:val="0027337C"/>
    <w:rsid w:val="0027359B"/>
    <w:rsid w:val="002735B9"/>
    <w:rsid w:val="00273774"/>
    <w:rsid w:val="00273BF4"/>
    <w:rsid w:val="00273CEE"/>
    <w:rsid w:val="00273DCB"/>
    <w:rsid w:val="002744A0"/>
    <w:rsid w:val="002745AB"/>
    <w:rsid w:val="00274787"/>
    <w:rsid w:val="00274A3E"/>
    <w:rsid w:val="002750D8"/>
    <w:rsid w:val="00275BF7"/>
    <w:rsid w:val="00275E37"/>
    <w:rsid w:val="00276430"/>
    <w:rsid w:val="00276864"/>
    <w:rsid w:val="00276CA6"/>
    <w:rsid w:val="00277026"/>
    <w:rsid w:val="00277B25"/>
    <w:rsid w:val="00277B95"/>
    <w:rsid w:val="00277EE6"/>
    <w:rsid w:val="00277F61"/>
    <w:rsid w:val="00280197"/>
    <w:rsid w:val="00280475"/>
    <w:rsid w:val="002806AF"/>
    <w:rsid w:val="00280847"/>
    <w:rsid w:val="00280D4B"/>
    <w:rsid w:val="002810DA"/>
    <w:rsid w:val="0028131A"/>
    <w:rsid w:val="0028143F"/>
    <w:rsid w:val="00281798"/>
    <w:rsid w:val="0028180E"/>
    <w:rsid w:val="002819A7"/>
    <w:rsid w:val="00281C5A"/>
    <w:rsid w:val="002825DA"/>
    <w:rsid w:val="002826BA"/>
    <w:rsid w:val="0028286A"/>
    <w:rsid w:val="00282B35"/>
    <w:rsid w:val="00282E7A"/>
    <w:rsid w:val="002833E2"/>
    <w:rsid w:val="00283571"/>
    <w:rsid w:val="0028375F"/>
    <w:rsid w:val="00283CA8"/>
    <w:rsid w:val="002841A3"/>
    <w:rsid w:val="002841E6"/>
    <w:rsid w:val="00284292"/>
    <w:rsid w:val="00284331"/>
    <w:rsid w:val="002843C3"/>
    <w:rsid w:val="0028454C"/>
    <w:rsid w:val="00284674"/>
    <w:rsid w:val="002847F2"/>
    <w:rsid w:val="0028511F"/>
    <w:rsid w:val="00285920"/>
    <w:rsid w:val="00285959"/>
    <w:rsid w:val="00285E03"/>
    <w:rsid w:val="00286343"/>
    <w:rsid w:val="0028645E"/>
    <w:rsid w:val="0028669A"/>
    <w:rsid w:val="00286AC4"/>
    <w:rsid w:val="002879F5"/>
    <w:rsid w:val="00287A98"/>
    <w:rsid w:val="00287B9F"/>
    <w:rsid w:val="00287E38"/>
    <w:rsid w:val="002901B1"/>
    <w:rsid w:val="002904AE"/>
    <w:rsid w:val="002904FF"/>
    <w:rsid w:val="0029054D"/>
    <w:rsid w:val="00290949"/>
    <w:rsid w:val="00290AB8"/>
    <w:rsid w:val="00290AF0"/>
    <w:rsid w:val="00290DB9"/>
    <w:rsid w:val="002912BE"/>
    <w:rsid w:val="002915A3"/>
    <w:rsid w:val="00291992"/>
    <w:rsid w:val="00291A1F"/>
    <w:rsid w:val="00291DD3"/>
    <w:rsid w:val="00291DEF"/>
    <w:rsid w:val="00291DF7"/>
    <w:rsid w:val="00291E22"/>
    <w:rsid w:val="002920E8"/>
    <w:rsid w:val="00292114"/>
    <w:rsid w:val="002923CD"/>
    <w:rsid w:val="0029278D"/>
    <w:rsid w:val="00292CF3"/>
    <w:rsid w:val="00292E29"/>
    <w:rsid w:val="00293348"/>
    <w:rsid w:val="00293792"/>
    <w:rsid w:val="0029432D"/>
    <w:rsid w:val="00294391"/>
    <w:rsid w:val="00294426"/>
    <w:rsid w:val="002945CA"/>
    <w:rsid w:val="00294EFA"/>
    <w:rsid w:val="00295153"/>
    <w:rsid w:val="002953D8"/>
    <w:rsid w:val="00295BA3"/>
    <w:rsid w:val="0029608A"/>
    <w:rsid w:val="0029634D"/>
    <w:rsid w:val="002969AC"/>
    <w:rsid w:val="002969C8"/>
    <w:rsid w:val="00297055"/>
    <w:rsid w:val="00297096"/>
    <w:rsid w:val="00297302"/>
    <w:rsid w:val="00297D28"/>
    <w:rsid w:val="00297E0E"/>
    <w:rsid w:val="00297EE2"/>
    <w:rsid w:val="00297FC7"/>
    <w:rsid w:val="002A0121"/>
    <w:rsid w:val="002A031D"/>
    <w:rsid w:val="002A06CE"/>
    <w:rsid w:val="002A0DCB"/>
    <w:rsid w:val="002A188A"/>
    <w:rsid w:val="002A18F9"/>
    <w:rsid w:val="002A1A7E"/>
    <w:rsid w:val="002A206B"/>
    <w:rsid w:val="002A22AD"/>
    <w:rsid w:val="002A266C"/>
    <w:rsid w:val="002A2BF1"/>
    <w:rsid w:val="002A2D00"/>
    <w:rsid w:val="002A33E0"/>
    <w:rsid w:val="002A34D8"/>
    <w:rsid w:val="002A4265"/>
    <w:rsid w:val="002A43DD"/>
    <w:rsid w:val="002A45FD"/>
    <w:rsid w:val="002A4ADC"/>
    <w:rsid w:val="002A4C77"/>
    <w:rsid w:val="002A4E72"/>
    <w:rsid w:val="002A50A0"/>
    <w:rsid w:val="002A53FD"/>
    <w:rsid w:val="002A5742"/>
    <w:rsid w:val="002A5757"/>
    <w:rsid w:val="002A5A8B"/>
    <w:rsid w:val="002A63C2"/>
    <w:rsid w:val="002A68E5"/>
    <w:rsid w:val="002A6DB1"/>
    <w:rsid w:val="002A72C0"/>
    <w:rsid w:val="002A78AC"/>
    <w:rsid w:val="002B04FA"/>
    <w:rsid w:val="002B0507"/>
    <w:rsid w:val="002B0A15"/>
    <w:rsid w:val="002B0BDC"/>
    <w:rsid w:val="002B0C23"/>
    <w:rsid w:val="002B0C3D"/>
    <w:rsid w:val="002B1366"/>
    <w:rsid w:val="002B139D"/>
    <w:rsid w:val="002B1447"/>
    <w:rsid w:val="002B15EA"/>
    <w:rsid w:val="002B166E"/>
    <w:rsid w:val="002B1CA8"/>
    <w:rsid w:val="002B1D38"/>
    <w:rsid w:val="002B1D85"/>
    <w:rsid w:val="002B1F9E"/>
    <w:rsid w:val="002B1FD5"/>
    <w:rsid w:val="002B20D9"/>
    <w:rsid w:val="002B255D"/>
    <w:rsid w:val="002B2581"/>
    <w:rsid w:val="002B2692"/>
    <w:rsid w:val="002B2A56"/>
    <w:rsid w:val="002B2C38"/>
    <w:rsid w:val="002B2C79"/>
    <w:rsid w:val="002B2C87"/>
    <w:rsid w:val="002B2F67"/>
    <w:rsid w:val="002B3AAD"/>
    <w:rsid w:val="002B425C"/>
    <w:rsid w:val="002B4340"/>
    <w:rsid w:val="002B454F"/>
    <w:rsid w:val="002B4BF6"/>
    <w:rsid w:val="002B53A3"/>
    <w:rsid w:val="002B5C22"/>
    <w:rsid w:val="002B60C5"/>
    <w:rsid w:val="002B6179"/>
    <w:rsid w:val="002B6225"/>
    <w:rsid w:val="002B683F"/>
    <w:rsid w:val="002B6C39"/>
    <w:rsid w:val="002B71BD"/>
    <w:rsid w:val="002B7403"/>
    <w:rsid w:val="002B7443"/>
    <w:rsid w:val="002B7851"/>
    <w:rsid w:val="002B7B6F"/>
    <w:rsid w:val="002C054F"/>
    <w:rsid w:val="002C0723"/>
    <w:rsid w:val="002C0797"/>
    <w:rsid w:val="002C109B"/>
    <w:rsid w:val="002C12D5"/>
    <w:rsid w:val="002C1C23"/>
    <w:rsid w:val="002C1DBE"/>
    <w:rsid w:val="002C2228"/>
    <w:rsid w:val="002C22A2"/>
    <w:rsid w:val="002C264A"/>
    <w:rsid w:val="002C26CF"/>
    <w:rsid w:val="002C27D0"/>
    <w:rsid w:val="002C27E8"/>
    <w:rsid w:val="002C2920"/>
    <w:rsid w:val="002C2C48"/>
    <w:rsid w:val="002C3A78"/>
    <w:rsid w:val="002C428D"/>
    <w:rsid w:val="002C5705"/>
    <w:rsid w:val="002C58F4"/>
    <w:rsid w:val="002C5B61"/>
    <w:rsid w:val="002C5C6E"/>
    <w:rsid w:val="002C606E"/>
    <w:rsid w:val="002C66C2"/>
    <w:rsid w:val="002C688C"/>
    <w:rsid w:val="002C6B8E"/>
    <w:rsid w:val="002C6E83"/>
    <w:rsid w:val="002C71CF"/>
    <w:rsid w:val="002C7503"/>
    <w:rsid w:val="002D00AD"/>
    <w:rsid w:val="002D0132"/>
    <w:rsid w:val="002D0158"/>
    <w:rsid w:val="002D05EC"/>
    <w:rsid w:val="002D0DB3"/>
    <w:rsid w:val="002D16B8"/>
    <w:rsid w:val="002D1902"/>
    <w:rsid w:val="002D19B0"/>
    <w:rsid w:val="002D1C99"/>
    <w:rsid w:val="002D1FD0"/>
    <w:rsid w:val="002D22FD"/>
    <w:rsid w:val="002D259C"/>
    <w:rsid w:val="002D2971"/>
    <w:rsid w:val="002D2BCD"/>
    <w:rsid w:val="002D335E"/>
    <w:rsid w:val="002D366C"/>
    <w:rsid w:val="002D3C18"/>
    <w:rsid w:val="002D40DA"/>
    <w:rsid w:val="002D42EC"/>
    <w:rsid w:val="002D43D9"/>
    <w:rsid w:val="002D442A"/>
    <w:rsid w:val="002D4567"/>
    <w:rsid w:val="002D4618"/>
    <w:rsid w:val="002D4E2E"/>
    <w:rsid w:val="002D511E"/>
    <w:rsid w:val="002D56E1"/>
    <w:rsid w:val="002D5856"/>
    <w:rsid w:val="002D5AFE"/>
    <w:rsid w:val="002D5E08"/>
    <w:rsid w:val="002D5F70"/>
    <w:rsid w:val="002D5F81"/>
    <w:rsid w:val="002D6009"/>
    <w:rsid w:val="002D6174"/>
    <w:rsid w:val="002D6208"/>
    <w:rsid w:val="002D6889"/>
    <w:rsid w:val="002D69DB"/>
    <w:rsid w:val="002D6A39"/>
    <w:rsid w:val="002D6EB0"/>
    <w:rsid w:val="002D71D7"/>
    <w:rsid w:val="002D750E"/>
    <w:rsid w:val="002E04BD"/>
    <w:rsid w:val="002E0541"/>
    <w:rsid w:val="002E1485"/>
    <w:rsid w:val="002E148D"/>
    <w:rsid w:val="002E14C6"/>
    <w:rsid w:val="002E160E"/>
    <w:rsid w:val="002E1F4B"/>
    <w:rsid w:val="002E283F"/>
    <w:rsid w:val="002E297B"/>
    <w:rsid w:val="002E299A"/>
    <w:rsid w:val="002E2DE1"/>
    <w:rsid w:val="002E38D8"/>
    <w:rsid w:val="002E3F37"/>
    <w:rsid w:val="002E3F40"/>
    <w:rsid w:val="002E5F3B"/>
    <w:rsid w:val="002E62EC"/>
    <w:rsid w:val="002E6B1E"/>
    <w:rsid w:val="002E6B7D"/>
    <w:rsid w:val="002E6C1F"/>
    <w:rsid w:val="002E6F7C"/>
    <w:rsid w:val="002E755A"/>
    <w:rsid w:val="002E7579"/>
    <w:rsid w:val="002E7757"/>
    <w:rsid w:val="002E786E"/>
    <w:rsid w:val="002E7887"/>
    <w:rsid w:val="002E7D4C"/>
    <w:rsid w:val="002F0287"/>
    <w:rsid w:val="002F0289"/>
    <w:rsid w:val="002F04C8"/>
    <w:rsid w:val="002F10AC"/>
    <w:rsid w:val="002F1AD4"/>
    <w:rsid w:val="002F1E1B"/>
    <w:rsid w:val="002F1FEB"/>
    <w:rsid w:val="002F20D9"/>
    <w:rsid w:val="002F23CD"/>
    <w:rsid w:val="002F244B"/>
    <w:rsid w:val="002F2686"/>
    <w:rsid w:val="002F2998"/>
    <w:rsid w:val="002F3AC6"/>
    <w:rsid w:val="002F3B2A"/>
    <w:rsid w:val="002F40A9"/>
    <w:rsid w:val="002F46F3"/>
    <w:rsid w:val="002F4806"/>
    <w:rsid w:val="002F4AF7"/>
    <w:rsid w:val="002F4CB5"/>
    <w:rsid w:val="002F5261"/>
    <w:rsid w:val="002F52A3"/>
    <w:rsid w:val="002F55FD"/>
    <w:rsid w:val="002F562E"/>
    <w:rsid w:val="002F56B2"/>
    <w:rsid w:val="002F5B12"/>
    <w:rsid w:val="002F5D16"/>
    <w:rsid w:val="002F5D32"/>
    <w:rsid w:val="002F6165"/>
    <w:rsid w:val="002F6192"/>
    <w:rsid w:val="002F649A"/>
    <w:rsid w:val="002F655A"/>
    <w:rsid w:val="002F6779"/>
    <w:rsid w:val="002F6CBD"/>
    <w:rsid w:val="002F711B"/>
    <w:rsid w:val="002F7190"/>
    <w:rsid w:val="002F79E1"/>
    <w:rsid w:val="002F7C65"/>
    <w:rsid w:val="00300125"/>
    <w:rsid w:val="003003B3"/>
    <w:rsid w:val="00300947"/>
    <w:rsid w:val="00301015"/>
    <w:rsid w:val="0030173D"/>
    <w:rsid w:val="00302354"/>
    <w:rsid w:val="00302912"/>
    <w:rsid w:val="003029ED"/>
    <w:rsid w:val="00302C9E"/>
    <w:rsid w:val="00302D30"/>
    <w:rsid w:val="00302EDE"/>
    <w:rsid w:val="003030B6"/>
    <w:rsid w:val="00303447"/>
    <w:rsid w:val="003036C3"/>
    <w:rsid w:val="00303915"/>
    <w:rsid w:val="00303921"/>
    <w:rsid w:val="00303EE7"/>
    <w:rsid w:val="00303F88"/>
    <w:rsid w:val="00304137"/>
    <w:rsid w:val="0030475F"/>
    <w:rsid w:val="00304888"/>
    <w:rsid w:val="00304C64"/>
    <w:rsid w:val="00304D21"/>
    <w:rsid w:val="00304F8A"/>
    <w:rsid w:val="00305530"/>
    <w:rsid w:val="003057F3"/>
    <w:rsid w:val="00305870"/>
    <w:rsid w:val="00305F30"/>
    <w:rsid w:val="0030604F"/>
    <w:rsid w:val="003062F3"/>
    <w:rsid w:val="003063E1"/>
    <w:rsid w:val="003069B8"/>
    <w:rsid w:val="003074AA"/>
    <w:rsid w:val="0030773D"/>
    <w:rsid w:val="0030774F"/>
    <w:rsid w:val="00307E59"/>
    <w:rsid w:val="00307EE7"/>
    <w:rsid w:val="003100EE"/>
    <w:rsid w:val="003102C1"/>
    <w:rsid w:val="00310496"/>
    <w:rsid w:val="00311CF5"/>
    <w:rsid w:val="00311E17"/>
    <w:rsid w:val="00311E6B"/>
    <w:rsid w:val="003121FC"/>
    <w:rsid w:val="00312643"/>
    <w:rsid w:val="003126DF"/>
    <w:rsid w:val="00312B16"/>
    <w:rsid w:val="00312F5F"/>
    <w:rsid w:val="00313080"/>
    <w:rsid w:val="00313473"/>
    <w:rsid w:val="003138E2"/>
    <w:rsid w:val="00314049"/>
    <w:rsid w:val="0031411D"/>
    <w:rsid w:val="003145EA"/>
    <w:rsid w:val="00314AA7"/>
    <w:rsid w:val="00314EBC"/>
    <w:rsid w:val="003158DD"/>
    <w:rsid w:val="00315C1B"/>
    <w:rsid w:val="00316180"/>
    <w:rsid w:val="00316649"/>
    <w:rsid w:val="0031714A"/>
    <w:rsid w:val="00317459"/>
    <w:rsid w:val="00317A02"/>
    <w:rsid w:val="00317B7B"/>
    <w:rsid w:val="00317CF4"/>
    <w:rsid w:val="00317EE6"/>
    <w:rsid w:val="0032000B"/>
    <w:rsid w:val="00320208"/>
    <w:rsid w:val="0032041D"/>
    <w:rsid w:val="0032067B"/>
    <w:rsid w:val="003209A5"/>
    <w:rsid w:val="00320D5E"/>
    <w:rsid w:val="00320EB4"/>
    <w:rsid w:val="00320FC1"/>
    <w:rsid w:val="003210B9"/>
    <w:rsid w:val="00321400"/>
    <w:rsid w:val="003217FB"/>
    <w:rsid w:val="003218F4"/>
    <w:rsid w:val="0032206D"/>
    <w:rsid w:val="003221CC"/>
    <w:rsid w:val="00322823"/>
    <w:rsid w:val="00322825"/>
    <w:rsid w:val="00322E3D"/>
    <w:rsid w:val="003234FE"/>
    <w:rsid w:val="0032365E"/>
    <w:rsid w:val="00323869"/>
    <w:rsid w:val="003240B5"/>
    <w:rsid w:val="0032419E"/>
    <w:rsid w:val="00324E24"/>
    <w:rsid w:val="0032558B"/>
    <w:rsid w:val="0032576B"/>
    <w:rsid w:val="0032596A"/>
    <w:rsid w:val="00325EFB"/>
    <w:rsid w:val="003268BF"/>
    <w:rsid w:val="00326BA1"/>
    <w:rsid w:val="00326BE3"/>
    <w:rsid w:val="00326C5F"/>
    <w:rsid w:val="00326D36"/>
    <w:rsid w:val="00327267"/>
    <w:rsid w:val="003275D8"/>
    <w:rsid w:val="0032778A"/>
    <w:rsid w:val="00327FCB"/>
    <w:rsid w:val="00330AF4"/>
    <w:rsid w:val="0033103B"/>
    <w:rsid w:val="003317C2"/>
    <w:rsid w:val="00331DA2"/>
    <w:rsid w:val="00331F4E"/>
    <w:rsid w:val="003327E7"/>
    <w:rsid w:val="00332E63"/>
    <w:rsid w:val="00332F56"/>
    <w:rsid w:val="003335F6"/>
    <w:rsid w:val="00333925"/>
    <w:rsid w:val="00334315"/>
    <w:rsid w:val="00334B17"/>
    <w:rsid w:val="00335010"/>
    <w:rsid w:val="00335112"/>
    <w:rsid w:val="003359CE"/>
    <w:rsid w:val="00335A10"/>
    <w:rsid w:val="00335A81"/>
    <w:rsid w:val="00335B81"/>
    <w:rsid w:val="00335EB7"/>
    <w:rsid w:val="0033632F"/>
    <w:rsid w:val="003364BC"/>
    <w:rsid w:val="00336689"/>
    <w:rsid w:val="00336B15"/>
    <w:rsid w:val="003371BF"/>
    <w:rsid w:val="00337A36"/>
    <w:rsid w:val="00337CA7"/>
    <w:rsid w:val="00337F5F"/>
    <w:rsid w:val="0034014B"/>
    <w:rsid w:val="00340150"/>
    <w:rsid w:val="00340266"/>
    <w:rsid w:val="00340A88"/>
    <w:rsid w:val="00340D27"/>
    <w:rsid w:val="00340DD5"/>
    <w:rsid w:val="003410D1"/>
    <w:rsid w:val="00341328"/>
    <w:rsid w:val="003414C3"/>
    <w:rsid w:val="00341680"/>
    <w:rsid w:val="00341E6B"/>
    <w:rsid w:val="00341F21"/>
    <w:rsid w:val="0034247E"/>
    <w:rsid w:val="00342CBD"/>
    <w:rsid w:val="0034362E"/>
    <w:rsid w:val="00343732"/>
    <w:rsid w:val="00343979"/>
    <w:rsid w:val="00343D25"/>
    <w:rsid w:val="00343F88"/>
    <w:rsid w:val="003454EA"/>
    <w:rsid w:val="0034566A"/>
    <w:rsid w:val="00345CBE"/>
    <w:rsid w:val="003464B3"/>
    <w:rsid w:val="00346836"/>
    <w:rsid w:val="00346EA6"/>
    <w:rsid w:val="0034734A"/>
    <w:rsid w:val="003477CE"/>
    <w:rsid w:val="00347CA1"/>
    <w:rsid w:val="00347E2C"/>
    <w:rsid w:val="0035027C"/>
    <w:rsid w:val="00350A4E"/>
    <w:rsid w:val="00350A52"/>
    <w:rsid w:val="00350F6F"/>
    <w:rsid w:val="003513B2"/>
    <w:rsid w:val="00351AE4"/>
    <w:rsid w:val="00351D49"/>
    <w:rsid w:val="0035277C"/>
    <w:rsid w:val="0035284F"/>
    <w:rsid w:val="00352B70"/>
    <w:rsid w:val="00352B94"/>
    <w:rsid w:val="00352BDC"/>
    <w:rsid w:val="00353351"/>
    <w:rsid w:val="003536FC"/>
    <w:rsid w:val="00353DB9"/>
    <w:rsid w:val="00354545"/>
    <w:rsid w:val="003547BD"/>
    <w:rsid w:val="00355153"/>
    <w:rsid w:val="00355284"/>
    <w:rsid w:val="003553ED"/>
    <w:rsid w:val="00355800"/>
    <w:rsid w:val="00355A8C"/>
    <w:rsid w:val="00355EC0"/>
    <w:rsid w:val="00356611"/>
    <w:rsid w:val="00356634"/>
    <w:rsid w:val="00356638"/>
    <w:rsid w:val="003570B2"/>
    <w:rsid w:val="003575FF"/>
    <w:rsid w:val="003579F7"/>
    <w:rsid w:val="00357BCA"/>
    <w:rsid w:val="00357C1B"/>
    <w:rsid w:val="003606E1"/>
    <w:rsid w:val="00360A47"/>
    <w:rsid w:val="00360DBF"/>
    <w:rsid w:val="00361373"/>
    <w:rsid w:val="003613CF"/>
    <w:rsid w:val="00361FFE"/>
    <w:rsid w:val="003620DC"/>
    <w:rsid w:val="003621CC"/>
    <w:rsid w:val="00362583"/>
    <w:rsid w:val="00362743"/>
    <w:rsid w:val="003628F5"/>
    <w:rsid w:val="00362C1E"/>
    <w:rsid w:val="00362C75"/>
    <w:rsid w:val="00362D49"/>
    <w:rsid w:val="003630EF"/>
    <w:rsid w:val="00363102"/>
    <w:rsid w:val="0036331A"/>
    <w:rsid w:val="00363589"/>
    <w:rsid w:val="0036373A"/>
    <w:rsid w:val="00363E98"/>
    <w:rsid w:val="00363F06"/>
    <w:rsid w:val="003640D6"/>
    <w:rsid w:val="003640D7"/>
    <w:rsid w:val="0036413B"/>
    <w:rsid w:val="003641EF"/>
    <w:rsid w:val="003642C3"/>
    <w:rsid w:val="00365347"/>
    <w:rsid w:val="003655EC"/>
    <w:rsid w:val="003657B6"/>
    <w:rsid w:val="003657ED"/>
    <w:rsid w:val="003658D4"/>
    <w:rsid w:val="003662E3"/>
    <w:rsid w:val="00366B59"/>
    <w:rsid w:val="00366CE1"/>
    <w:rsid w:val="00367236"/>
    <w:rsid w:val="00367537"/>
    <w:rsid w:val="00367570"/>
    <w:rsid w:val="00367587"/>
    <w:rsid w:val="003677B6"/>
    <w:rsid w:val="00367981"/>
    <w:rsid w:val="00367E3F"/>
    <w:rsid w:val="00370296"/>
    <w:rsid w:val="00370661"/>
    <w:rsid w:val="003713AC"/>
    <w:rsid w:val="00371B85"/>
    <w:rsid w:val="00371D23"/>
    <w:rsid w:val="00371EBE"/>
    <w:rsid w:val="00372219"/>
    <w:rsid w:val="0037256C"/>
    <w:rsid w:val="00372694"/>
    <w:rsid w:val="00373317"/>
    <w:rsid w:val="00373581"/>
    <w:rsid w:val="0037373A"/>
    <w:rsid w:val="00373A8D"/>
    <w:rsid w:val="00373E35"/>
    <w:rsid w:val="00374424"/>
    <w:rsid w:val="003746AD"/>
    <w:rsid w:val="00374B3B"/>
    <w:rsid w:val="00374C5F"/>
    <w:rsid w:val="00374F59"/>
    <w:rsid w:val="0037556D"/>
    <w:rsid w:val="00375F00"/>
    <w:rsid w:val="0037668A"/>
    <w:rsid w:val="00376802"/>
    <w:rsid w:val="0037693D"/>
    <w:rsid w:val="00376AB1"/>
    <w:rsid w:val="00376D61"/>
    <w:rsid w:val="00376E2D"/>
    <w:rsid w:val="003770BE"/>
    <w:rsid w:val="003779E9"/>
    <w:rsid w:val="00377F4D"/>
    <w:rsid w:val="003800A8"/>
    <w:rsid w:val="00380161"/>
    <w:rsid w:val="003803FB"/>
    <w:rsid w:val="0038058D"/>
    <w:rsid w:val="00380A21"/>
    <w:rsid w:val="00380C24"/>
    <w:rsid w:val="00380F16"/>
    <w:rsid w:val="003813BE"/>
    <w:rsid w:val="00381CB2"/>
    <w:rsid w:val="00381CDF"/>
    <w:rsid w:val="00382207"/>
    <w:rsid w:val="00382BEE"/>
    <w:rsid w:val="00382E1B"/>
    <w:rsid w:val="003835F7"/>
    <w:rsid w:val="0038393C"/>
    <w:rsid w:val="00383AA0"/>
    <w:rsid w:val="00384237"/>
    <w:rsid w:val="00384A67"/>
    <w:rsid w:val="00384CE1"/>
    <w:rsid w:val="00385572"/>
    <w:rsid w:val="0038565C"/>
    <w:rsid w:val="00385983"/>
    <w:rsid w:val="00385AD5"/>
    <w:rsid w:val="00385C0C"/>
    <w:rsid w:val="00385DD2"/>
    <w:rsid w:val="00385EC8"/>
    <w:rsid w:val="00385F80"/>
    <w:rsid w:val="0038601F"/>
    <w:rsid w:val="003869A6"/>
    <w:rsid w:val="00386B97"/>
    <w:rsid w:val="00386ED9"/>
    <w:rsid w:val="00387053"/>
    <w:rsid w:val="00387269"/>
    <w:rsid w:val="00387E98"/>
    <w:rsid w:val="00390603"/>
    <w:rsid w:val="00390C0D"/>
    <w:rsid w:val="00390D0C"/>
    <w:rsid w:val="00391F67"/>
    <w:rsid w:val="0039336A"/>
    <w:rsid w:val="0039383B"/>
    <w:rsid w:val="00393F1B"/>
    <w:rsid w:val="00393FB2"/>
    <w:rsid w:val="003942EB"/>
    <w:rsid w:val="00394693"/>
    <w:rsid w:val="00394A4D"/>
    <w:rsid w:val="00394FA9"/>
    <w:rsid w:val="00395905"/>
    <w:rsid w:val="00395AAF"/>
    <w:rsid w:val="00395B82"/>
    <w:rsid w:val="00395C5A"/>
    <w:rsid w:val="00395E40"/>
    <w:rsid w:val="00396365"/>
    <w:rsid w:val="00396827"/>
    <w:rsid w:val="00396B94"/>
    <w:rsid w:val="00397175"/>
    <w:rsid w:val="003973FD"/>
    <w:rsid w:val="003979FD"/>
    <w:rsid w:val="00397AAF"/>
    <w:rsid w:val="003A006E"/>
    <w:rsid w:val="003A03DA"/>
    <w:rsid w:val="003A048F"/>
    <w:rsid w:val="003A15C7"/>
    <w:rsid w:val="003A19A9"/>
    <w:rsid w:val="003A1C98"/>
    <w:rsid w:val="003A2A4E"/>
    <w:rsid w:val="003A2E31"/>
    <w:rsid w:val="003A3171"/>
    <w:rsid w:val="003A3315"/>
    <w:rsid w:val="003A33C1"/>
    <w:rsid w:val="003A36CA"/>
    <w:rsid w:val="003A3A86"/>
    <w:rsid w:val="003A3BFD"/>
    <w:rsid w:val="003A3D7D"/>
    <w:rsid w:val="003A3E3F"/>
    <w:rsid w:val="003A4012"/>
    <w:rsid w:val="003A4249"/>
    <w:rsid w:val="003A44CD"/>
    <w:rsid w:val="003A4586"/>
    <w:rsid w:val="003A4639"/>
    <w:rsid w:val="003A48BF"/>
    <w:rsid w:val="003A48C2"/>
    <w:rsid w:val="003A49F3"/>
    <w:rsid w:val="003A5875"/>
    <w:rsid w:val="003A590D"/>
    <w:rsid w:val="003A6255"/>
    <w:rsid w:val="003A6354"/>
    <w:rsid w:val="003A641C"/>
    <w:rsid w:val="003A658A"/>
    <w:rsid w:val="003A6675"/>
    <w:rsid w:val="003A6E8D"/>
    <w:rsid w:val="003A6ED6"/>
    <w:rsid w:val="003A6F19"/>
    <w:rsid w:val="003A73C3"/>
    <w:rsid w:val="003A73FF"/>
    <w:rsid w:val="003A753F"/>
    <w:rsid w:val="003B03B3"/>
    <w:rsid w:val="003B0466"/>
    <w:rsid w:val="003B04D0"/>
    <w:rsid w:val="003B05F3"/>
    <w:rsid w:val="003B0AA5"/>
    <w:rsid w:val="003B10A2"/>
    <w:rsid w:val="003B11CA"/>
    <w:rsid w:val="003B121F"/>
    <w:rsid w:val="003B12BC"/>
    <w:rsid w:val="003B164A"/>
    <w:rsid w:val="003B18D0"/>
    <w:rsid w:val="003B18F9"/>
    <w:rsid w:val="003B22CA"/>
    <w:rsid w:val="003B2B70"/>
    <w:rsid w:val="003B2EE6"/>
    <w:rsid w:val="003B3259"/>
    <w:rsid w:val="003B36FD"/>
    <w:rsid w:val="003B38C0"/>
    <w:rsid w:val="003B3AFE"/>
    <w:rsid w:val="003B3F68"/>
    <w:rsid w:val="003B4486"/>
    <w:rsid w:val="003B44F5"/>
    <w:rsid w:val="003B4773"/>
    <w:rsid w:val="003B48F1"/>
    <w:rsid w:val="003B4AD7"/>
    <w:rsid w:val="003B4B05"/>
    <w:rsid w:val="003B5698"/>
    <w:rsid w:val="003B5F00"/>
    <w:rsid w:val="003B61C1"/>
    <w:rsid w:val="003B625C"/>
    <w:rsid w:val="003B6581"/>
    <w:rsid w:val="003B66FB"/>
    <w:rsid w:val="003B67C7"/>
    <w:rsid w:val="003B69AF"/>
    <w:rsid w:val="003B70A0"/>
    <w:rsid w:val="003B7261"/>
    <w:rsid w:val="003B7287"/>
    <w:rsid w:val="003B729C"/>
    <w:rsid w:val="003B73C6"/>
    <w:rsid w:val="003B787C"/>
    <w:rsid w:val="003B7956"/>
    <w:rsid w:val="003B7BA0"/>
    <w:rsid w:val="003C0357"/>
    <w:rsid w:val="003C0688"/>
    <w:rsid w:val="003C0931"/>
    <w:rsid w:val="003C0A10"/>
    <w:rsid w:val="003C0F02"/>
    <w:rsid w:val="003C2669"/>
    <w:rsid w:val="003C2974"/>
    <w:rsid w:val="003C3132"/>
    <w:rsid w:val="003C3A70"/>
    <w:rsid w:val="003C410B"/>
    <w:rsid w:val="003C43F6"/>
    <w:rsid w:val="003C47FE"/>
    <w:rsid w:val="003C4EEF"/>
    <w:rsid w:val="003C4FA6"/>
    <w:rsid w:val="003C502C"/>
    <w:rsid w:val="003C5226"/>
    <w:rsid w:val="003C5758"/>
    <w:rsid w:val="003C58AF"/>
    <w:rsid w:val="003C61FB"/>
    <w:rsid w:val="003C64B6"/>
    <w:rsid w:val="003C6693"/>
    <w:rsid w:val="003C6C05"/>
    <w:rsid w:val="003C6D70"/>
    <w:rsid w:val="003C6ED9"/>
    <w:rsid w:val="003C73A3"/>
    <w:rsid w:val="003C7FCE"/>
    <w:rsid w:val="003D00A7"/>
    <w:rsid w:val="003D00BC"/>
    <w:rsid w:val="003D0465"/>
    <w:rsid w:val="003D0B21"/>
    <w:rsid w:val="003D0B31"/>
    <w:rsid w:val="003D0B5A"/>
    <w:rsid w:val="003D0C1F"/>
    <w:rsid w:val="003D165E"/>
    <w:rsid w:val="003D18AA"/>
    <w:rsid w:val="003D1D5E"/>
    <w:rsid w:val="003D263B"/>
    <w:rsid w:val="003D29E2"/>
    <w:rsid w:val="003D2D1A"/>
    <w:rsid w:val="003D32DE"/>
    <w:rsid w:val="003D4068"/>
    <w:rsid w:val="003D41D7"/>
    <w:rsid w:val="003D42F6"/>
    <w:rsid w:val="003D4BCB"/>
    <w:rsid w:val="003D53F1"/>
    <w:rsid w:val="003D57EF"/>
    <w:rsid w:val="003D5862"/>
    <w:rsid w:val="003D5A3F"/>
    <w:rsid w:val="003D6218"/>
    <w:rsid w:val="003D623E"/>
    <w:rsid w:val="003D63F2"/>
    <w:rsid w:val="003D6CF7"/>
    <w:rsid w:val="003D6D03"/>
    <w:rsid w:val="003D7146"/>
    <w:rsid w:val="003D7166"/>
    <w:rsid w:val="003D7320"/>
    <w:rsid w:val="003D73E7"/>
    <w:rsid w:val="003D7471"/>
    <w:rsid w:val="003D7774"/>
    <w:rsid w:val="003E0393"/>
    <w:rsid w:val="003E05DA"/>
    <w:rsid w:val="003E093F"/>
    <w:rsid w:val="003E12BE"/>
    <w:rsid w:val="003E16ED"/>
    <w:rsid w:val="003E1708"/>
    <w:rsid w:val="003E1EF9"/>
    <w:rsid w:val="003E1F73"/>
    <w:rsid w:val="003E201C"/>
    <w:rsid w:val="003E209E"/>
    <w:rsid w:val="003E2710"/>
    <w:rsid w:val="003E2883"/>
    <w:rsid w:val="003E2970"/>
    <w:rsid w:val="003E2CC0"/>
    <w:rsid w:val="003E32A4"/>
    <w:rsid w:val="003E3AD8"/>
    <w:rsid w:val="003E457E"/>
    <w:rsid w:val="003E5151"/>
    <w:rsid w:val="003E5511"/>
    <w:rsid w:val="003E5615"/>
    <w:rsid w:val="003E5A6C"/>
    <w:rsid w:val="003E5D62"/>
    <w:rsid w:val="003E5F88"/>
    <w:rsid w:val="003E6775"/>
    <w:rsid w:val="003E68DD"/>
    <w:rsid w:val="003E6B51"/>
    <w:rsid w:val="003E6C50"/>
    <w:rsid w:val="003E6C65"/>
    <w:rsid w:val="003E7120"/>
    <w:rsid w:val="003E76D9"/>
    <w:rsid w:val="003E7733"/>
    <w:rsid w:val="003E774E"/>
    <w:rsid w:val="003E7964"/>
    <w:rsid w:val="003E7B9E"/>
    <w:rsid w:val="003E7C28"/>
    <w:rsid w:val="003E7CEA"/>
    <w:rsid w:val="003F0012"/>
    <w:rsid w:val="003F0249"/>
    <w:rsid w:val="003F0601"/>
    <w:rsid w:val="003F0844"/>
    <w:rsid w:val="003F1015"/>
    <w:rsid w:val="003F14CB"/>
    <w:rsid w:val="003F1903"/>
    <w:rsid w:val="003F1C52"/>
    <w:rsid w:val="003F1CB1"/>
    <w:rsid w:val="003F20A8"/>
    <w:rsid w:val="003F2700"/>
    <w:rsid w:val="003F27D5"/>
    <w:rsid w:val="003F2817"/>
    <w:rsid w:val="003F28BE"/>
    <w:rsid w:val="003F2978"/>
    <w:rsid w:val="003F2DBA"/>
    <w:rsid w:val="003F2E96"/>
    <w:rsid w:val="003F2F5E"/>
    <w:rsid w:val="003F3F9E"/>
    <w:rsid w:val="003F42D4"/>
    <w:rsid w:val="003F42ED"/>
    <w:rsid w:val="003F4752"/>
    <w:rsid w:val="003F4C78"/>
    <w:rsid w:val="003F4EE5"/>
    <w:rsid w:val="003F4FE0"/>
    <w:rsid w:val="003F5405"/>
    <w:rsid w:val="003F570D"/>
    <w:rsid w:val="003F59C7"/>
    <w:rsid w:val="003F59CC"/>
    <w:rsid w:val="003F5B5B"/>
    <w:rsid w:val="003F5EA5"/>
    <w:rsid w:val="003F61AB"/>
    <w:rsid w:val="003F6543"/>
    <w:rsid w:val="003F662D"/>
    <w:rsid w:val="003F662E"/>
    <w:rsid w:val="003F6F80"/>
    <w:rsid w:val="003F70FA"/>
    <w:rsid w:val="003F7331"/>
    <w:rsid w:val="003F7682"/>
    <w:rsid w:val="00400298"/>
    <w:rsid w:val="004007FA"/>
    <w:rsid w:val="00400834"/>
    <w:rsid w:val="00400A64"/>
    <w:rsid w:val="0040152F"/>
    <w:rsid w:val="00401568"/>
    <w:rsid w:val="00401755"/>
    <w:rsid w:val="004021B7"/>
    <w:rsid w:val="0040221E"/>
    <w:rsid w:val="00402DB3"/>
    <w:rsid w:val="00402E3B"/>
    <w:rsid w:val="00402F2E"/>
    <w:rsid w:val="004037A8"/>
    <w:rsid w:val="004039C6"/>
    <w:rsid w:val="00403AB8"/>
    <w:rsid w:val="0040472A"/>
    <w:rsid w:val="00404905"/>
    <w:rsid w:val="00404D8E"/>
    <w:rsid w:val="00405344"/>
    <w:rsid w:val="00405386"/>
    <w:rsid w:val="00405987"/>
    <w:rsid w:val="00405B14"/>
    <w:rsid w:val="00405BC0"/>
    <w:rsid w:val="004061FF"/>
    <w:rsid w:val="00406881"/>
    <w:rsid w:val="00406B9E"/>
    <w:rsid w:val="00406C37"/>
    <w:rsid w:val="004072C2"/>
    <w:rsid w:val="0040734F"/>
    <w:rsid w:val="00407BB6"/>
    <w:rsid w:val="004101B8"/>
    <w:rsid w:val="004105FB"/>
    <w:rsid w:val="004109DC"/>
    <w:rsid w:val="004111C0"/>
    <w:rsid w:val="00411261"/>
    <w:rsid w:val="00411562"/>
    <w:rsid w:val="0041178E"/>
    <w:rsid w:val="00411CAF"/>
    <w:rsid w:val="0041261C"/>
    <w:rsid w:val="00412678"/>
    <w:rsid w:val="00412C2A"/>
    <w:rsid w:val="0041328D"/>
    <w:rsid w:val="004132D5"/>
    <w:rsid w:val="004133DD"/>
    <w:rsid w:val="0041340F"/>
    <w:rsid w:val="004134BE"/>
    <w:rsid w:val="0041365F"/>
    <w:rsid w:val="00413EA9"/>
    <w:rsid w:val="00414FDB"/>
    <w:rsid w:val="004158FD"/>
    <w:rsid w:val="00415FE3"/>
    <w:rsid w:val="004166FF"/>
    <w:rsid w:val="00416764"/>
    <w:rsid w:val="00416B3A"/>
    <w:rsid w:val="00416D64"/>
    <w:rsid w:val="00416E74"/>
    <w:rsid w:val="00416EC3"/>
    <w:rsid w:val="00417345"/>
    <w:rsid w:val="00417C14"/>
    <w:rsid w:val="00420339"/>
    <w:rsid w:val="00420654"/>
    <w:rsid w:val="00420B73"/>
    <w:rsid w:val="00420B97"/>
    <w:rsid w:val="00420E2C"/>
    <w:rsid w:val="00420EDE"/>
    <w:rsid w:val="004210F7"/>
    <w:rsid w:val="00421136"/>
    <w:rsid w:val="00421220"/>
    <w:rsid w:val="0042166A"/>
    <w:rsid w:val="004217DE"/>
    <w:rsid w:val="00421D10"/>
    <w:rsid w:val="0042249C"/>
    <w:rsid w:val="00422713"/>
    <w:rsid w:val="00422DFA"/>
    <w:rsid w:val="00423049"/>
    <w:rsid w:val="00423352"/>
    <w:rsid w:val="004234FA"/>
    <w:rsid w:val="00423ACB"/>
    <w:rsid w:val="00423D6A"/>
    <w:rsid w:val="00424213"/>
    <w:rsid w:val="00424563"/>
    <w:rsid w:val="004248BD"/>
    <w:rsid w:val="00424A0C"/>
    <w:rsid w:val="00424A5B"/>
    <w:rsid w:val="00426117"/>
    <w:rsid w:val="0042647F"/>
    <w:rsid w:val="00426F61"/>
    <w:rsid w:val="0042744E"/>
    <w:rsid w:val="0042754D"/>
    <w:rsid w:val="0042757D"/>
    <w:rsid w:val="00427CE0"/>
    <w:rsid w:val="00427E20"/>
    <w:rsid w:val="00427EE8"/>
    <w:rsid w:val="00427F87"/>
    <w:rsid w:val="00430204"/>
    <w:rsid w:val="004303D3"/>
    <w:rsid w:val="004304DC"/>
    <w:rsid w:val="00430550"/>
    <w:rsid w:val="00430640"/>
    <w:rsid w:val="00430A29"/>
    <w:rsid w:val="00431581"/>
    <w:rsid w:val="00431A12"/>
    <w:rsid w:val="00431A19"/>
    <w:rsid w:val="00431D6C"/>
    <w:rsid w:val="00431DB2"/>
    <w:rsid w:val="00431FF6"/>
    <w:rsid w:val="0043263F"/>
    <w:rsid w:val="004326D9"/>
    <w:rsid w:val="0043326D"/>
    <w:rsid w:val="00433695"/>
    <w:rsid w:val="004337A0"/>
    <w:rsid w:val="00433B9E"/>
    <w:rsid w:val="0043462F"/>
    <w:rsid w:val="00435863"/>
    <w:rsid w:val="00435B1C"/>
    <w:rsid w:val="00435E87"/>
    <w:rsid w:val="00436485"/>
    <w:rsid w:val="00436843"/>
    <w:rsid w:val="00436894"/>
    <w:rsid w:val="004369B1"/>
    <w:rsid w:val="00436B91"/>
    <w:rsid w:val="00436D63"/>
    <w:rsid w:val="00437699"/>
    <w:rsid w:val="0043784E"/>
    <w:rsid w:val="00437A2A"/>
    <w:rsid w:val="00437BB0"/>
    <w:rsid w:val="00437C74"/>
    <w:rsid w:val="00437CBC"/>
    <w:rsid w:val="00440068"/>
    <w:rsid w:val="00440606"/>
    <w:rsid w:val="00440624"/>
    <w:rsid w:val="0044088C"/>
    <w:rsid w:val="00441088"/>
    <w:rsid w:val="00441310"/>
    <w:rsid w:val="004416BA"/>
    <w:rsid w:val="00441C44"/>
    <w:rsid w:val="00441E97"/>
    <w:rsid w:val="00441E9D"/>
    <w:rsid w:val="004422EE"/>
    <w:rsid w:val="0044279D"/>
    <w:rsid w:val="00442E1D"/>
    <w:rsid w:val="00443129"/>
    <w:rsid w:val="0044320B"/>
    <w:rsid w:val="004432A1"/>
    <w:rsid w:val="00443D4F"/>
    <w:rsid w:val="0044417E"/>
    <w:rsid w:val="004446A8"/>
    <w:rsid w:val="00444D13"/>
    <w:rsid w:val="00444D73"/>
    <w:rsid w:val="00444E53"/>
    <w:rsid w:val="00444F23"/>
    <w:rsid w:val="00445140"/>
    <w:rsid w:val="004451F8"/>
    <w:rsid w:val="004453E8"/>
    <w:rsid w:val="00445C84"/>
    <w:rsid w:val="00445E8A"/>
    <w:rsid w:val="004468EA"/>
    <w:rsid w:val="00446A48"/>
    <w:rsid w:val="00446C9D"/>
    <w:rsid w:val="00446D39"/>
    <w:rsid w:val="00446FA9"/>
    <w:rsid w:val="004470B6"/>
    <w:rsid w:val="0044725B"/>
    <w:rsid w:val="0044777C"/>
    <w:rsid w:val="00447964"/>
    <w:rsid w:val="00447A0A"/>
    <w:rsid w:val="00447F8F"/>
    <w:rsid w:val="00447FDE"/>
    <w:rsid w:val="00450014"/>
    <w:rsid w:val="0045016C"/>
    <w:rsid w:val="00450269"/>
    <w:rsid w:val="004504DD"/>
    <w:rsid w:val="0045054A"/>
    <w:rsid w:val="004508A8"/>
    <w:rsid w:val="00451382"/>
    <w:rsid w:val="00451E70"/>
    <w:rsid w:val="004520C0"/>
    <w:rsid w:val="00452CD2"/>
    <w:rsid w:val="00453742"/>
    <w:rsid w:val="00453AA4"/>
    <w:rsid w:val="0045433D"/>
    <w:rsid w:val="00454794"/>
    <w:rsid w:val="004547CC"/>
    <w:rsid w:val="004549D4"/>
    <w:rsid w:val="00454D51"/>
    <w:rsid w:val="00454D85"/>
    <w:rsid w:val="00455721"/>
    <w:rsid w:val="00455C81"/>
    <w:rsid w:val="00455F0F"/>
    <w:rsid w:val="00455F8B"/>
    <w:rsid w:val="0045609B"/>
    <w:rsid w:val="004562F8"/>
    <w:rsid w:val="00456364"/>
    <w:rsid w:val="00456BA8"/>
    <w:rsid w:val="00456F4A"/>
    <w:rsid w:val="004573F1"/>
    <w:rsid w:val="00457689"/>
    <w:rsid w:val="004577B3"/>
    <w:rsid w:val="0045781B"/>
    <w:rsid w:val="00457914"/>
    <w:rsid w:val="0045797D"/>
    <w:rsid w:val="00457DF4"/>
    <w:rsid w:val="00457F18"/>
    <w:rsid w:val="0046001D"/>
    <w:rsid w:val="004603FC"/>
    <w:rsid w:val="004610DA"/>
    <w:rsid w:val="00461340"/>
    <w:rsid w:val="0046158D"/>
    <w:rsid w:val="0046194B"/>
    <w:rsid w:val="004619F2"/>
    <w:rsid w:val="00461F39"/>
    <w:rsid w:val="004629E7"/>
    <w:rsid w:val="00462CE2"/>
    <w:rsid w:val="004632E5"/>
    <w:rsid w:val="00463AE3"/>
    <w:rsid w:val="00463E90"/>
    <w:rsid w:val="0046402A"/>
    <w:rsid w:val="00465331"/>
    <w:rsid w:val="00465420"/>
    <w:rsid w:val="00465441"/>
    <w:rsid w:val="00465824"/>
    <w:rsid w:val="00465BB2"/>
    <w:rsid w:val="004660F6"/>
    <w:rsid w:val="0046630D"/>
    <w:rsid w:val="00466BF4"/>
    <w:rsid w:val="004677D0"/>
    <w:rsid w:val="004678A3"/>
    <w:rsid w:val="004678DD"/>
    <w:rsid w:val="00467A2A"/>
    <w:rsid w:val="00467AED"/>
    <w:rsid w:val="004708C8"/>
    <w:rsid w:val="004709F5"/>
    <w:rsid w:val="00470EE6"/>
    <w:rsid w:val="0047116E"/>
    <w:rsid w:val="00471247"/>
    <w:rsid w:val="004715AE"/>
    <w:rsid w:val="004717ED"/>
    <w:rsid w:val="00471EE2"/>
    <w:rsid w:val="00471FEB"/>
    <w:rsid w:val="00472054"/>
    <w:rsid w:val="004723A0"/>
    <w:rsid w:val="0047268D"/>
    <w:rsid w:val="0047281F"/>
    <w:rsid w:val="00472904"/>
    <w:rsid w:val="00472931"/>
    <w:rsid w:val="00472FA4"/>
    <w:rsid w:val="0047310E"/>
    <w:rsid w:val="004735D7"/>
    <w:rsid w:val="00473AD1"/>
    <w:rsid w:val="00473D02"/>
    <w:rsid w:val="0047412E"/>
    <w:rsid w:val="00474164"/>
    <w:rsid w:val="00474892"/>
    <w:rsid w:val="00474BB8"/>
    <w:rsid w:val="00474D62"/>
    <w:rsid w:val="00474D81"/>
    <w:rsid w:val="004750E7"/>
    <w:rsid w:val="00475C34"/>
    <w:rsid w:val="00476470"/>
    <w:rsid w:val="00476606"/>
    <w:rsid w:val="00476C2A"/>
    <w:rsid w:val="00476E8E"/>
    <w:rsid w:val="00477150"/>
    <w:rsid w:val="004774F8"/>
    <w:rsid w:val="0047765D"/>
    <w:rsid w:val="004776CA"/>
    <w:rsid w:val="00480308"/>
    <w:rsid w:val="0048151C"/>
    <w:rsid w:val="00481B52"/>
    <w:rsid w:val="004824C7"/>
    <w:rsid w:val="004828C8"/>
    <w:rsid w:val="0048303B"/>
    <w:rsid w:val="00483B11"/>
    <w:rsid w:val="00483C30"/>
    <w:rsid w:val="00484D1F"/>
    <w:rsid w:val="0048530E"/>
    <w:rsid w:val="00485810"/>
    <w:rsid w:val="00485F1E"/>
    <w:rsid w:val="00486454"/>
    <w:rsid w:val="00487054"/>
    <w:rsid w:val="00487288"/>
    <w:rsid w:val="00487679"/>
    <w:rsid w:val="004877A2"/>
    <w:rsid w:val="00487879"/>
    <w:rsid w:val="004878DD"/>
    <w:rsid w:val="00487A64"/>
    <w:rsid w:val="00487F6E"/>
    <w:rsid w:val="00490550"/>
    <w:rsid w:val="004907FC"/>
    <w:rsid w:val="00490F5F"/>
    <w:rsid w:val="004912A5"/>
    <w:rsid w:val="004915AA"/>
    <w:rsid w:val="00491970"/>
    <w:rsid w:val="00491CC8"/>
    <w:rsid w:val="00492345"/>
    <w:rsid w:val="00492888"/>
    <w:rsid w:val="00492967"/>
    <w:rsid w:val="00492D7E"/>
    <w:rsid w:val="00492E48"/>
    <w:rsid w:val="00493101"/>
    <w:rsid w:val="0049387F"/>
    <w:rsid w:val="00493B1C"/>
    <w:rsid w:val="004946FA"/>
    <w:rsid w:val="00495022"/>
    <w:rsid w:val="004951CB"/>
    <w:rsid w:val="00495553"/>
    <w:rsid w:val="00495BB1"/>
    <w:rsid w:val="00495E2A"/>
    <w:rsid w:val="00496264"/>
    <w:rsid w:val="00496304"/>
    <w:rsid w:val="00496778"/>
    <w:rsid w:val="004968A4"/>
    <w:rsid w:val="00496AE5"/>
    <w:rsid w:val="00496D1E"/>
    <w:rsid w:val="00496EAE"/>
    <w:rsid w:val="004970B2"/>
    <w:rsid w:val="00497403"/>
    <w:rsid w:val="004974E6"/>
    <w:rsid w:val="004A000F"/>
    <w:rsid w:val="004A0673"/>
    <w:rsid w:val="004A0688"/>
    <w:rsid w:val="004A082C"/>
    <w:rsid w:val="004A0A84"/>
    <w:rsid w:val="004A0BE7"/>
    <w:rsid w:val="004A1C08"/>
    <w:rsid w:val="004A1FAA"/>
    <w:rsid w:val="004A2A2F"/>
    <w:rsid w:val="004A30C6"/>
    <w:rsid w:val="004A34E2"/>
    <w:rsid w:val="004A36A4"/>
    <w:rsid w:val="004A3779"/>
    <w:rsid w:val="004A3D5C"/>
    <w:rsid w:val="004A3F68"/>
    <w:rsid w:val="004A40C4"/>
    <w:rsid w:val="004A4600"/>
    <w:rsid w:val="004A4960"/>
    <w:rsid w:val="004A4AD2"/>
    <w:rsid w:val="004A5808"/>
    <w:rsid w:val="004A5C77"/>
    <w:rsid w:val="004A5CB1"/>
    <w:rsid w:val="004A5D2F"/>
    <w:rsid w:val="004A6145"/>
    <w:rsid w:val="004A6166"/>
    <w:rsid w:val="004A627F"/>
    <w:rsid w:val="004A6641"/>
    <w:rsid w:val="004A66FB"/>
    <w:rsid w:val="004A6A50"/>
    <w:rsid w:val="004A6E47"/>
    <w:rsid w:val="004A6E74"/>
    <w:rsid w:val="004A6FDF"/>
    <w:rsid w:val="004A7223"/>
    <w:rsid w:val="004A739B"/>
    <w:rsid w:val="004A7869"/>
    <w:rsid w:val="004A7B12"/>
    <w:rsid w:val="004A7E4B"/>
    <w:rsid w:val="004B05D3"/>
    <w:rsid w:val="004B0FF7"/>
    <w:rsid w:val="004B124E"/>
    <w:rsid w:val="004B12A4"/>
    <w:rsid w:val="004B176A"/>
    <w:rsid w:val="004B183F"/>
    <w:rsid w:val="004B1E89"/>
    <w:rsid w:val="004B2284"/>
    <w:rsid w:val="004B2B1F"/>
    <w:rsid w:val="004B34AF"/>
    <w:rsid w:val="004B3C6F"/>
    <w:rsid w:val="004B48DF"/>
    <w:rsid w:val="004B4965"/>
    <w:rsid w:val="004B4B54"/>
    <w:rsid w:val="004B4B61"/>
    <w:rsid w:val="004B4F95"/>
    <w:rsid w:val="004B5283"/>
    <w:rsid w:val="004B52BA"/>
    <w:rsid w:val="004B5759"/>
    <w:rsid w:val="004B5BA7"/>
    <w:rsid w:val="004B647D"/>
    <w:rsid w:val="004B66E7"/>
    <w:rsid w:val="004B6A57"/>
    <w:rsid w:val="004B74A6"/>
    <w:rsid w:val="004B76B4"/>
    <w:rsid w:val="004B7BD4"/>
    <w:rsid w:val="004C01E2"/>
    <w:rsid w:val="004C0AFB"/>
    <w:rsid w:val="004C158D"/>
    <w:rsid w:val="004C1C2C"/>
    <w:rsid w:val="004C1FD1"/>
    <w:rsid w:val="004C232A"/>
    <w:rsid w:val="004C243C"/>
    <w:rsid w:val="004C265F"/>
    <w:rsid w:val="004C288A"/>
    <w:rsid w:val="004C31D9"/>
    <w:rsid w:val="004C36A8"/>
    <w:rsid w:val="004C3739"/>
    <w:rsid w:val="004C3967"/>
    <w:rsid w:val="004C39CD"/>
    <w:rsid w:val="004C3B9F"/>
    <w:rsid w:val="004C3D9D"/>
    <w:rsid w:val="004C3FB5"/>
    <w:rsid w:val="004C3FD1"/>
    <w:rsid w:val="004C456C"/>
    <w:rsid w:val="004C47C2"/>
    <w:rsid w:val="004C48E1"/>
    <w:rsid w:val="004C492C"/>
    <w:rsid w:val="004C4AA9"/>
    <w:rsid w:val="004C5062"/>
    <w:rsid w:val="004C53E9"/>
    <w:rsid w:val="004C589A"/>
    <w:rsid w:val="004C58D0"/>
    <w:rsid w:val="004C5A6B"/>
    <w:rsid w:val="004C5B3D"/>
    <w:rsid w:val="004C5B48"/>
    <w:rsid w:val="004C5C2C"/>
    <w:rsid w:val="004C5D06"/>
    <w:rsid w:val="004C5D62"/>
    <w:rsid w:val="004C5E08"/>
    <w:rsid w:val="004C5EF7"/>
    <w:rsid w:val="004C66F7"/>
    <w:rsid w:val="004C6F25"/>
    <w:rsid w:val="004C70F3"/>
    <w:rsid w:val="004C734C"/>
    <w:rsid w:val="004C7494"/>
    <w:rsid w:val="004C7C4A"/>
    <w:rsid w:val="004D0396"/>
    <w:rsid w:val="004D0E57"/>
    <w:rsid w:val="004D1520"/>
    <w:rsid w:val="004D17E6"/>
    <w:rsid w:val="004D1D1A"/>
    <w:rsid w:val="004D2298"/>
    <w:rsid w:val="004D26D7"/>
    <w:rsid w:val="004D27BB"/>
    <w:rsid w:val="004D27CF"/>
    <w:rsid w:val="004D28C8"/>
    <w:rsid w:val="004D30C6"/>
    <w:rsid w:val="004D3443"/>
    <w:rsid w:val="004D3687"/>
    <w:rsid w:val="004D3DAA"/>
    <w:rsid w:val="004D4115"/>
    <w:rsid w:val="004D4530"/>
    <w:rsid w:val="004D48CA"/>
    <w:rsid w:val="004D48F8"/>
    <w:rsid w:val="004D49AF"/>
    <w:rsid w:val="004D4DED"/>
    <w:rsid w:val="004D4FEA"/>
    <w:rsid w:val="004D511A"/>
    <w:rsid w:val="004D5149"/>
    <w:rsid w:val="004D5787"/>
    <w:rsid w:val="004D71FB"/>
    <w:rsid w:val="004D7279"/>
    <w:rsid w:val="004E0C26"/>
    <w:rsid w:val="004E1168"/>
    <w:rsid w:val="004E1719"/>
    <w:rsid w:val="004E1A2F"/>
    <w:rsid w:val="004E1B7E"/>
    <w:rsid w:val="004E1E41"/>
    <w:rsid w:val="004E2421"/>
    <w:rsid w:val="004E25A3"/>
    <w:rsid w:val="004E2B22"/>
    <w:rsid w:val="004E3AC7"/>
    <w:rsid w:val="004E3BDE"/>
    <w:rsid w:val="004E3C12"/>
    <w:rsid w:val="004E3F7B"/>
    <w:rsid w:val="004E434F"/>
    <w:rsid w:val="004E4BB9"/>
    <w:rsid w:val="004E50D0"/>
    <w:rsid w:val="004E53A7"/>
    <w:rsid w:val="004E56B3"/>
    <w:rsid w:val="004E5BAD"/>
    <w:rsid w:val="004E6087"/>
    <w:rsid w:val="004E6090"/>
    <w:rsid w:val="004E61A7"/>
    <w:rsid w:val="004E6893"/>
    <w:rsid w:val="004E6CD6"/>
    <w:rsid w:val="004F0295"/>
    <w:rsid w:val="004F02F5"/>
    <w:rsid w:val="004F0672"/>
    <w:rsid w:val="004F07DF"/>
    <w:rsid w:val="004F1074"/>
    <w:rsid w:val="004F19D7"/>
    <w:rsid w:val="004F1AEE"/>
    <w:rsid w:val="004F1BEC"/>
    <w:rsid w:val="004F1C72"/>
    <w:rsid w:val="004F1ED7"/>
    <w:rsid w:val="004F207F"/>
    <w:rsid w:val="004F237B"/>
    <w:rsid w:val="004F240E"/>
    <w:rsid w:val="004F2723"/>
    <w:rsid w:val="004F3178"/>
    <w:rsid w:val="004F36CA"/>
    <w:rsid w:val="004F3732"/>
    <w:rsid w:val="004F3949"/>
    <w:rsid w:val="004F3A28"/>
    <w:rsid w:val="004F3CE3"/>
    <w:rsid w:val="004F3D4A"/>
    <w:rsid w:val="004F3ECB"/>
    <w:rsid w:val="004F428C"/>
    <w:rsid w:val="004F4307"/>
    <w:rsid w:val="004F4FEE"/>
    <w:rsid w:val="004F51D5"/>
    <w:rsid w:val="004F59C1"/>
    <w:rsid w:val="004F5E50"/>
    <w:rsid w:val="004F5EA3"/>
    <w:rsid w:val="004F68CA"/>
    <w:rsid w:val="004F6B58"/>
    <w:rsid w:val="004F7365"/>
    <w:rsid w:val="004F76AA"/>
    <w:rsid w:val="00500272"/>
    <w:rsid w:val="00500439"/>
    <w:rsid w:val="005004BB"/>
    <w:rsid w:val="0050089D"/>
    <w:rsid w:val="0050090B"/>
    <w:rsid w:val="00500955"/>
    <w:rsid w:val="00500A88"/>
    <w:rsid w:val="00501004"/>
    <w:rsid w:val="0050102E"/>
    <w:rsid w:val="005010A0"/>
    <w:rsid w:val="0050112B"/>
    <w:rsid w:val="005013E6"/>
    <w:rsid w:val="00501432"/>
    <w:rsid w:val="00501C7A"/>
    <w:rsid w:val="00501FC9"/>
    <w:rsid w:val="005030C2"/>
    <w:rsid w:val="00503319"/>
    <w:rsid w:val="0050332D"/>
    <w:rsid w:val="005034FA"/>
    <w:rsid w:val="00503A30"/>
    <w:rsid w:val="005041E5"/>
    <w:rsid w:val="00504406"/>
    <w:rsid w:val="00504AB7"/>
    <w:rsid w:val="00504F50"/>
    <w:rsid w:val="00505292"/>
    <w:rsid w:val="00505604"/>
    <w:rsid w:val="00505BC7"/>
    <w:rsid w:val="00505D55"/>
    <w:rsid w:val="00505FD7"/>
    <w:rsid w:val="0050629D"/>
    <w:rsid w:val="005064C2"/>
    <w:rsid w:val="005064FD"/>
    <w:rsid w:val="00506752"/>
    <w:rsid w:val="00506F6D"/>
    <w:rsid w:val="00507013"/>
    <w:rsid w:val="00507761"/>
    <w:rsid w:val="005077C0"/>
    <w:rsid w:val="00507BA1"/>
    <w:rsid w:val="00510921"/>
    <w:rsid w:val="005113FD"/>
    <w:rsid w:val="00511768"/>
    <w:rsid w:val="00511D94"/>
    <w:rsid w:val="005123D4"/>
    <w:rsid w:val="005128F6"/>
    <w:rsid w:val="00512ADA"/>
    <w:rsid w:val="00512C03"/>
    <w:rsid w:val="00512E22"/>
    <w:rsid w:val="00512FD3"/>
    <w:rsid w:val="005131A0"/>
    <w:rsid w:val="0051337E"/>
    <w:rsid w:val="0051381D"/>
    <w:rsid w:val="00514010"/>
    <w:rsid w:val="00514DF2"/>
    <w:rsid w:val="00514E7F"/>
    <w:rsid w:val="0051500A"/>
    <w:rsid w:val="0051583C"/>
    <w:rsid w:val="00515879"/>
    <w:rsid w:val="00515E3C"/>
    <w:rsid w:val="005161A9"/>
    <w:rsid w:val="005169C4"/>
    <w:rsid w:val="00516D10"/>
    <w:rsid w:val="00516D29"/>
    <w:rsid w:val="00516D52"/>
    <w:rsid w:val="00516F09"/>
    <w:rsid w:val="00516F17"/>
    <w:rsid w:val="00516F8C"/>
    <w:rsid w:val="005170E2"/>
    <w:rsid w:val="005176D9"/>
    <w:rsid w:val="00517809"/>
    <w:rsid w:val="00520040"/>
    <w:rsid w:val="0052048B"/>
    <w:rsid w:val="00520DA6"/>
    <w:rsid w:val="00520E25"/>
    <w:rsid w:val="00521775"/>
    <w:rsid w:val="00521B05"/>
    <w:rsid w:val="00521B85"/>
    <w:rsid w:val="00521E03"/>
    <w:rsid w:val="00521F9A"/>
    <w:rsid w:val="005225CF"/>
    <w:rsid w:val="00523445"/>
    <w:rsid w:val="00523808"/>
    <w:rsid w:val="00523D27"/>
    <w:rsid w:val="00525389"/>
    <w:rsid w:val="0052590B"/>
    <w:rsid w:val="00525BF5"/>
    <w:rsid w:val="0052605A"/>
    <w:rsid w:val="00526596"/>
    <w:rsid w:val="005265E0"/>
    <w:rsid w:val="00526A0D"/>
    <w:rsid w:val="005277AC"/>
    <w:rsid w:val="00527F2D"/>
    <w:rsid w:val="0053023B"/>
    <w:rsid w:val="005309F7"/>
    <w:rsid w:val="005310F3"/>
    <w:rsid w:val="0053178B"/>
    <w:rsid w:val="00531942"/>
    <w:rsid w:val="00531C66"/>
    <w:rsid w:val="005324A7"/>
    <w:rsid w:val="00532607"/>
    <w:rsid w:val="00532B2C"/>
    <w:rsid w:val="00532D1B"/>
    <w:rsid w:val="00532FD6"/>
    <w:rsid w:val="00533038"/>
    <w:rsid w:val="00533539"/>
    <w:rsid w:val="00533826"/>
    <w:rsid w:val="00533C0B"/>
    <w:rsid w:val="00533ECD"/>
    <w:rsid w:val="00534093"/>
    <w:rsid w:val="005343F9"/>
    <w:rsid w:val="005351B5"/>
    <w:rsid w:val="005352E4"/>
    <w:rsid w:val="00535889"/>
    <w:rsid w:val="00535D39"/>
    <w:rsid w:val="00535FEC"/>
    <w:rsid w:val="005369D9"/>
    <w:rsid w:val="00536B15"/>
    <w:rsid w:val="00536DAF"/>
    <w:rsid w:val="00536E75"/>
    <w:rsid w:val="00536F39"/>
    <w:rsid w:val="00537331"/>
    <w:rsid w:val="00537604"/>
    <w:rsid w:val="005376DE"/>
    <w:rsid w:val="005377F3"/>
    <w:rsid w:val="00537915"/>
    <w:rsid w:val="00537EFD"/>
    <w:rsid w:val="00537F35"/>
    <w:rsid w:val="00540684"/>
    <w:rsid w:val="005407D3"/>
    <w:rsid w:val="005408B6"/>
    <w:rsid w:val="00540932"/>
    <w:rsid w:val="005417FF"/>
    <w:rsid w:val="00541F96"/>
    <w:rsid w:val="00542178"/>
    <w:rsid w:val="005422F0"/>
    <w:rsid w:val="0054234B"/>
    <w:rsid w:val="005427F9"/>
    <w:rsid w:val="005431B7"/>
    <w:rsid w:val="00543205"/>
    <w:rsid w:val="0054323B"/>
    <w:rsid w:val="00543503"/>
    <w:rsid w:val="00543906"/>
    <w:rsid w:val="00543D82"/>
    <w:rsid w:val="00543F2C"/>
    <w:rsid w:val="00544363"/>
    <w:rsid w:val="00544496"/>
    <w:rsid w:val="0054465E"/>
    <w:rsid w:val="0054481A"/>
    <w:rsid w:val="00544A20"/>
    <w:rsid w:val="00544A4C"/>
    <w:rsid w:val="00544E05"/>
    <w:rsid w:val="005453A7"/>
    <w:rsid w:val="00546407"/>
    <w:rsid w:val="005464ED"/>
    <w:rsid w:val="00547880"/>
    <w:rsid w:val="00547FEA"/>
    <w:rsid w:val="0055033C"/>
    <w:rsid w:val="005508C4"/>
    <w:rsid w:val="00550E55"/>
    <w:rsid w:val="00551B0A"/>
    <w:rsid w:val="00551D0D"/>
    <w:rsid w:val="00551D32"/>
    <w:rsid w:val="00551D50"/>
    <w:rsid w:val="00552618"/>
    <w:rsid w:val="005527E8"/>
    <w:rsid w:val="0055372A"/>
    <w:rsid w:val="00554556"/>
    <w:rsid w:val="005545E1"/>
    <w:rsid w:val="00554A29"/>
    <w:rsid w:val="005550F4"/>
    <w:rsid w:val="0055532C"/>
    <w:rsid w:val="005556E8"/>
    <w:rsid w:val="0055572F"/>
    <w:rsid w:val="005566C2"/>
    <w:rsid w:val="005573E0"/>
    <w:rsid w:val="00557599"/>
    <w:rsid w:val="0055768F"/>
    <w:rsid w:val="005577BB"/>
    <w:rsid w:val="00560223"/>
    <w:rsid w:val="005603CA"/>
    <w:rsid w:val="005609E2"/>
    <w:rsid w:val="00560F83"/>
    <w:rsid w:val="00560F8B"/>
    <w:rsid w:val="005610ED"/>
    <w:rsid w:val="00561117"/>
    <w:rsid w:val="005612C3"/>
    <w:rsid w:val="0056159A"/>
    <w:rsid w:val="00562157"/>
    <w:rsid w:val="005623EC"/>
    <w:rsid w:val="00562C14"/>
    <w:rsid w:val="00562FDF"/>
    <w:rsid w:val="005632CE"/>
    <w:rsid w:val="005634D8"/>
    <w:rsid w:val="005634E9"/>
    <w:rsid w:val="00563764"/>
    <w:rsid w:val="00563A04"/>
    <w:rsid w:val="00563EB4"/>
    <w:rsid w:val="00563F05"/>
    <w:rsid w:val="00564157"/>
    <w:rsid w:val="005641F7"/>
    <w:rsid w:val="00564273"/>
    <w:rsid w:val="005644A2"/>
    <w:rsid w:val="005649C3"/>
    <w:rsid w:val="00564E86"/>
    <w:rsid w:val="00564EAE"/>
    <w:rsid w:val="00564F3A"/>
    <w:rsid w:val="00565664"/>
    <w:rsid w:val="005658A2"/>
    <w:rsid w:val="00565C8F"/>
    <w:rsid w:val="005666CD"/>
    <w:rsid w:val="00566927"/>
    <w:rsid w:val="00566BAE"/>
    <w:rsid w:val="00566C1D"/>
    <w:rsid w:val="00567058"/>
    <w:rsid w:val="0056713A"/>
    <w:rsid w:val="0056799E"/>
    <w:rsid w:val="00567D63"/>
    <w:rsid w:val="00567DE6"/>
    <w:rsid w:val="00567F6B"/>
    <w:rsid w:val="00570243"/>
    <w:rsid w:val="00570367"/>
    <w:rsid w:val="00570684"/>
    <w:rsid w:val="00570A46"/>
    <w:rsid w:val="00570C3A"/>
    <w:rsid w:val="00570DEB"/>
    <w:rsid w:val="0057175B"/>
    <w:rsid w:val="0057179A"/>
    <w:rsid w:val="00571B1C"/>
    <w:rsid w:val="00571D93"/>
    <w:rsid w:val="00571F63"/>
    <w:rsid w:val="00572265"/>
    <w:rsid w:val="00572448"/>
    <w:rsid w:val="00572609"/>
    <w:rsid w:val="005726AE"/>
    <w:rsid w:val="0057277C"/>
    <w:rsid w:val="00572933"/>
    <w:rsid w:val="00572C5E"/>
    <w:rsid w:val="00572E98"/>
    <w:rsid w:val="005731BE"/>
    <w:rsid w:val="00573524"/>
    <w:rsid w:val="00573D26"/>
    <w:rsid w:val="005744B1"/>
    <w:rsid w:val="005744CF"/>
    <w:rsid w:val="00574586"/>
    <w:rsid w:val="00574829"/>
    <w:rsid w:val="00574E22"/>
    <w:rsid w:val="005753AF"/>
    <w:rsid w:val="005754CB"/>
    <w:rsid w:val="005758C9"/>
    <w:rsid w:val="0057593E"/>
    <w:rsid w:val="00575AA2"/>
    <w:rsid w:val="00575D51"/>
    <w:rsid w:val="00575F5B"/>
    <w:rsid w:val="0057685D"/>
    <w:rsid w:val="00576E41"/>
    <w:rsid w:val="00577091"/>
    <w:rsid w:val="0057740C"/>
    <w:rsid w:val="005774A3"/>
    <w:rsid w:val="00577E76"/>
    <w:rsid w:val="00577F4D"/>
    <w:rsid w:val="00577F93"/>
    <w:rsid w:val="0058014A"/>
    <w:rsid w:val="0058033A"/>
    <w:rsid w:val="005803B3"/>
    <w:rsid w:val="005804AC"/>
    <w:rsid w:val="0058062D"/>
    <w:rsid w:val="00580705"/>
    <w:rsid w:val="0058089B"/>
    <w:rsid w:val="005809C2"/>
    <w:rsid w:val="00580B3F"/>
    <w:rsid w:val="00580D56"/>
    <w:rsid w:val="00580E75"/>
    <w:rsid w:val="00581029"/>
    <w:rsid w:val="00581648"/>
    <w:rsid w:val="00581C14"/>
    <w:rsid w:val="005829A4"/>
    <w:rsid w:val="00582ED8"/>
    <w:rsid w:val="00583B00"/>
    <w:rsid w:val="00583BC0"/>
    <w:rsid w:val="00583EC8"/>
    <w:rsid w:val="00584223"/>
    <w:rsid w:val="00584324"/>
    <w:rsid w:val="0058438D"/>
    <w:rsid w:val="00584B6F"/>
    <w:rsid w:val="00584C57"/>
    <w:rsid w:val="00584C7D"/>
    <w:rsid w:val="005854B4"/>
    <w:rsid w:val="00585EEF"/>
    <w:rsid w:val="005860BC"/>
    <w:rsid w:val="0058628E"/>
    <w:rsid w:val="00586358"/>
    <w:rsid w:val="00586912"/>
    <w:rsid w:val="00586C2F"/>
    <w:rsid w:val="00590274"/>
    <w:rsid w:val="005904B3"/>
    <w:rsid w:val="00590686"/>
    <w:rsid w:val="00590D83"/>
    <w:rsid w:val="00591138"/>
    <w:rsid w:val="0059136A"/>
    <w:rsid w:val="00591439"/>
    <w:rsid w:val="00591796"/>
    <w:rsid w:val="005917CD"/>
    <w:rsid w:val="00591C5E"/>
    <w:rsid w:val="005923C6"/>
    <w:rsid w:val="005925E1"/>
    <w:rsid w:val="00592AAA"/>
    <w:rsid w:val="005931F0"/>
    <w:rsid w:val="00593669"/>
    <w:rsid w:val="00593699"/>
    <w:rsid w:val="0059389D"/>
    <w:rsid w:val="00593ECF"/>
    <w:rsid w:val="00594045"/>
    <w:rsid w:val="005943ED"/>
    <w:rsid w:val="00594C3F"/>
    <w:rsid w:val="00595CF9"/>
    <w:rsid w:val="00596487"/>
    <w:rsid w:val="00596854"/>
    <w:rsid w:val="00596E12"/>
    <w:rsid w:val="005970A2"/>
    <w:rsid w:val="00597B32"/>
    <w:rsid w:val="00597C78"/>
    <w:rsid w:val="005A006F"/>
    <w:rsid w:val="005A07E0"/>
    <w:rsid w:val="005A09A3"/>
    <w:rsid w:val="005A167A"/>
    <w:rsid w:val="005A1875"/>
    <w:rsid w:val="005A1D47"/>
    <w:rsid w:val="005A27F0"/>
    <w:rsid w:val="005A297E"/>
    <w:rsid w:val="005A2B4A"/>
    <w:rsid w:val="005A3118"/>
    <w:rsid w:val="005A31FD"/>
    <w:rsid w:val="005A33F2"/>
    <w:rsid w:val="005A36E4"/>
    <w:rsid w:val="005A373C"/>
    <w:rsid w:val="005A3BF5"/>
    <w:rsid w:val="005A3DD4"/>
    <w:rsid w:val="005A3E8C"/>
    <w:rsid w:val="005A3E9A"/>
    <w:rsid w:val="005A412E"/>
    <w:rsid w:val="005A4771"/>
    <w:rsid w:val="005A4826"/>
    <w:rsid w:val="005A4AD0"/>
    <w:rsid w:val="005A4D56"/>
    <w:rsid w:val="005A5550"/>
    <w:rsid w:val="005A56DB"/>
    <w:rsid w:val="005A5903"/>
    <w:rsid w:val="005A5C59"/>
    <w:rsid w:val="005A6170"/>
    <w:rsid w:val="005A63F4"/>
    <w:rsid w:val="005A651F"/>
    <w:rsid w:val="005A6593"/>
    <w:rsid w:val="005A67D2"/>
    <w:rsid w:val="005A69C5"/>
    <w:rsid w:val="005A6D7B"/>
    <w:rsid w:val="005A70B3"/>
    <w:rsid w:val="005A731B"/>
    <w:rsid w:val="005A757C"/>
    <w:rsid w:val="005A7DC0"/>
    <w:rsid w:val="005B010D"/>
    <w:rsid w:val="005B05EE"/>
    <w:rsid w:val="005B0797"/>
    <w:rsid w:val="005B0906"/>
    <w:rsid w:val="005B0C80"/>
    <w:rsid w:val="005B0D22"/>
    <w:rsid w:val="005B1180"/>
    <w:rsid w:val="005B1340"/>
    <w:rsid w:val="005B137B"/>
    <w:rsid w:val="005B156D"/>
    <w:rsid w:val="005B19FA"/>
    <w:rsid w:val="005B1A6C"/>
    <w:rsid w:val="005B1BD1"/>
    <w:rsid w:val="005B1E5B"/>
    <w:rsid w:val="005B2777"/>
    <w:rsid w:val="005B2D25"/>
    <w:rsid w:val="005B3D7A"/>
    <w:rsid w:val="005B3D87"/>
    <w:rsid w:val="005B4059"/>
    <w:rsid w:val="005B41D0"/>
    <w:rsid w:val="005B4405"/>
    <w:rsid w:val="005B4B65"/>
    <w:rsid w:val="005B4E47"/>
    <w:rsid w:val="005B56AE"/>
    <w:rsid w:val="005B5CF6"/>
    <w:rsid w:val="005B5DC7"/>
    <w:rsid w:val="005B66C9"/>
    <w:rsid w:val="005B6E6A"/>
    <w:rsid w:val="005B794B"/>
    <w:rsid w:val="005B795E"/>
    <w:rsid w:val="005B7A9C"/>
    <w:rsid w:val="005B7B2F"/>
    <w:rsid w:val="005B7F33"/>
    <w:rsid w:val="005B7F66"/>
    <w:rsid w:val="005B7F91"/>
    <w:rsid w:val="005C0716"/>
    <w:rsid w:val="005C07EB"/>
    <w:rsid w:val="005C129F"/>
    <w:rsid w:val="005C15AD"/>
    <w:rsid w:val="005C1EC8"/>
    <w:rsid w:val="005C223A"/>
    <w:rsid w:val="005C2338"/>
    <w:rsid w:val="005C2409"/>
    <w:rsid w:val="005C242E"/>
    <w:rsid w:val="005C2A89"/>
    <w:rsid w:val="005C3170"/>
    <w:rsid w:val="005C392B"/>
    <w:rsid w:val="005C3ED6"/>
    <w:rsid w:val="005C4912"/>
    <w:rsid w:val="005C49EA"/>
    <w:rsid w:val="005C4BAC"/>
    <w:rsid w:val="005C4DD5"/>
    <w:rsid w:val="005C4DEE"/>
    <w:rsid w:val="005C4DF1"/>
    <w:rsid w:val="005C4F92"/>
    <w:rsid w:val="005C5208"/>
    <w:rsid w:val="005C5251"/>
    <w:rsid w:val="005C5905"/>
    <w:rsid w:val="005C5E25"/>
    <w:rsid w:val="005C6470"/>
    <w:rsid w:val="005C712F"/>
    <w:rsid w:val="005C747E"/>
    <w:rsid w:val="005C755D"/>
    <w:rsid w:val="005C7652"/>
    <w:rsid w:val="005C777B"/>
    <w:rsid w:val="005C7A99"/>
    <w:rsid w:val="005C7B7A"/>
    <w:rsid w:val="005C7BBE"/>
    <w:rsid w:val="005D03F1"/>
    <w:rsid w:val="005D0FA3"/>
    <w:rsid w:val="005D15DE"/>
    <w:rsid w:val="005D19BC"/>
    <w:rsid w:val="005D2200"/>
    <w:rsid w:val="005D2401"/>
    <w:rsid w:val="005D2522"/>
    <w:rsid w:val="005D2939"/>
    <w:rsid w:val="005D3BAD"/>
    <w:rsid w:val="005D3C9A"/>
    <w:rsid w:val="005D4019"/>
    <w:rsid w:val="005D4022"/>
    <w:rsid w:val="005D44F0"/>
    <w:rsid w:val="005D4551"/>
    <w:rsid w:val="005D4AFD"/>
    <w:rsid w:val="005D4FB3"/>
    <w:rsid w:val="005D5095"/>
    <w:rsid w:val="005D5258"/>
    <w:rsid w:val="005D5282"/>
    <w:rsid w:val="005D53AB"/>
    <w:rsid w:val="005D561E"/>
    <w:rsid w:val="005D5F2C"/>
    <w:rsid w:val="005D6309"/>
    <w:rsid w:val="005D6ADA"/>
    <w:rsid w:val="005D6CBB"/>
    <w:rsid w:val="005D7089"/>
    <w:rsid w:val="005D75F9"/>
    <w:rsid w:val="005D77B4"/>
    <w:rsid w:val="005D78C0"/>
    <w:rsid w:val="005D795E"/>
    <w:rsid w:val="005D7C27"/>
    <w:rsid w:val="005D7F36"/>
    <w:rsid w:val="005E0CA4"/>
    <w:rsid w:val="005E0FAE"/>
    <w:rsid w:val="005E1AFF"/>
    <w:rsid w:val="005E1E68"/>
    <w:rsid w:val="005E1E90"/>
    <w:rsid w:val="005E1F01"/>
    <w:rsid w:val="005E2060"/>
    <w:rsid w:val="005E22A5"/>
    <w:rsid w:val="005E283F"/>
    <w:rsid w:val="005E2FA2"/>
    <w:rsid w:val="005E317B"/>
    <w:rsid w:val="005E334F"/>
    <w:rsid w:val="005E3646"/>
    <w:rsid w:val="005E3689"/>
    <w:rsid w:val="005E3C32"/>
    <w:rsid w:val="005E3C98"/>
    <w:rsid w:val="005E3DC7"/>
    <w:rsid w:val="005E400F"/>
    <w:rsid w:val="005E4122"/>
    <w:rsid w:val="005E41FD"/>
    <w:rsid w:val="005E42FD"/>
    <w:rsid w:val="005E450D"/>
    <w:rsid w:val="005E46B3"/>
    <w:rsid w:val="005E4982"/>
    <w:rsid w:val="005E4B83"/>
    <w:rsid w:val="005E4DFD"/>
    <w:rsid w:val="005E5224"/>
    <w:rsid w:val="005E54A8"/>
    <w:rsid w:val="005E5708"/>
    <w:rsid w:val="005E5747"/>
    <w:rsid w:val="005E57C7"/>
    <w:rsid w:val="005E5D68"/>
    <w:rsid w:val="005E5E75"/>
    <w:rsid w:val="005E627F"/>
    <w:rsid w:val="005E635A"/>
    <w:rsid w:val="005E67EF"/>
    <w:rsid w:val="005E78D9"/>
    <w:rsid w:val="005E793C"/>
    <w:rsid w:val="005F03FA"/>
    <w:rsid w:val="005F0605"/>
    <w:rsid w:val="005F0A15"/>
    <w:rsid w:val="005F0A64"/>
    <w:rsid w:val="005F11A2"/>
    <w:rsid w:val="005F1392"/>
    <w:rsid w:val="005F18CE"/>
    <w:rsid w:val="005F1937"/>
    <w:rsid w:val="005F1A6E"/>
    <w:rsid w:val="005F1B4D"/>
    <w:rsid w:val="005F1F36"/>
    <w:rsid w:val="005F24BE"/>
    <w:rsid w:val="005F2527"/>
    <w:rsid w:val="005F2591"/>
    <w:rsid w:val="005F25A5"/>
    <w:rsid w:val="005F2806"/>
    <w:rsid w:val="005F2850"/>
    <w:rsid w:val="005F2AF6"/>
    <w:rsid w:val="005F2C02"/>
    <w:rsid w:val="005F3006"/>
    <w:rsid w:val="005F3287"/>
    <w:rsid w:val="005F3297"/>
    <w:rsid w:val="005F3352"/>
    <w:rsid w:val="005F38DF"/>
    <w:rsid w:val="005F3F73"/>
    <w:rsid w:val="005F42F8"/>
    <w:rsid w:val="005F465A"/>
    <w:rsid w:val="005F4C7F"/>
    <w:rsid w:val="005F5018"/>
    <w:rsid w:val="005F54E4"/>
    <w:rsid w:val="005F55A2"/>
    <w:rsid w:val="005F5665"/>
    <w:rsid w:val="005F56A3"/>
    <w:rsid w:val="005F590F"/>
    <w:rsid w:val="005F5971"/>
    <w:rsid w:val="005F5A75"/>
    <w:rsid w:val="005F5CF1"/>
    <w:rsid w:val="005F5F87"/>
    <w:rsid w:val="005F61BB"/>
    <w:rsid w:val="005F625B"/>
    <w:rsid w:val="005F65F9"/>
    <w:rsid w:val="005F6792"/>
    <w:rsid w:val="005F67D3"/>
    <w:rsid w:val="005F6D8A"/>
    <w:rsid w:val="005F6E07"/>
    <w:rsid w:val="005F6F50"/>
    <w:rsid w:val="005F7104"/>
    <w:rsid w:val="005F7A25"/>
    <w:rsid w:val="005F7E4F"/>
    <w:rsid w:val="00600273"/>
    <w:rsid w:val="006007B7"/>
    <w:rsid w:val="00600D65"/>
    <w:rsid w:val="00600EA7"/>
    <w:rsid w:val="00601064"/>
    <w:rsid w:val="00601162"/>
    <w:rsid w:val="006016E3"/>
    <w:rsid w:val="006019A5"/>
    <w:rsid w:val="00601AAC"/>
    <w:rsid w:val="00601B03"/>
    <w:rsid w:val="00601BCE"/>
    <w:rsid w:val="006030FD"/>
    <w:rsid w:val="006038BC"/>
    <w:rsid w:val="0060397F"/>
    <w:rsid w:val="00603BFD"/>
    <w:rsid w:val="00603EF8"/>
    <w:rsid w:val="00604606"/>
    <w:rsid w:val="00604844"/>
    <w:rsid w:val="00604F9D"/>
    <w:rsid w:val="00605029"/>
    <w:rsid w:val="00605637"/>
    <w:rsid w:val="00606139"/>
    <w:rsid w:val="006066D1"/>
    <w:rsid w:val="00606914"/>
    <w:rsid w:val="00606D68"/>
    <w:rsid w:val="00606EE2"/>
    <w:rsid w:val="006075E3"/>
    <w:rsid w:val="00607756"/>
    <w:rsid w:val="006078FF"/>
    <w:rsid w:val="0060799F"/>
    <w:rsid w:val="00607E27"/>
    <w:rsid w:val="00610046"/>
    <w:rsid w:val="00610196"/>
    <w:rsid w:val="006104DC"/>
    <w:rsid w:val="00610803"/>
    <w:rsid w:val="00610A24"/>
    <w:rsid w:val="00610C06"/>
    <w:rsid w:val="006110DE"/>
    <w:rsid w:val="00611254"/>
    <w:rsid w:val="00611662"/>
    <w:rsid w:val="00611812"/>
    <w:rsid w:val="0061193B"/>
    <w:rsid w:val="00611ECC"/>
    <w:rsid w:val="00612058"/>
    <w:rsid w:val="0061261D"/>
    <w:rsid w:val="00612863"/>
    <w:rsid w:val="00612B30"/>
    <w:rsid w:val="00612D15"/>
    <w:rsid w:val="0061329C"/>
    <w:rsid w:val="006133EA"/>
    <w:rsid w:val="006134A2"/>
    <w:rsid w:val="006134BB"/>
    <w:rsid w:val="00613ACF"/>
    <w:rsid w:val="00613B2C"/>
    <w:rsid w:val="00613D2D"/>
    <w:rsid w:val="00613E11"/>
    <w:rsid w:val="00613E4F"/>
    <w:rsid w:val="006140E4"/>
    <w:rsid w:val="0061412D"/>
    <w:rsid w:val="0061433D"/>
    <w:rsid w:val="0061490C"/>
    <w:rsid w:val="00614A37"/>
    <w:rsid w:val="006156B6"/>
    <w:rsid w:val="00615C6C"/>
    <w:rsid w:val="00615FAE"/>
    <w:rsid w:val="006164B4"/>
    <w:rsid w:val="00616B8B"/>
    <w:rsid w:val="00616FC9"/>
    <w:rsid w:val="006203F0"/>
    <w:rsid w:val="00620644"/>
    <w:rsid w:val="0062082C"/>
    <w:rsid w:val="00620D88"/>
    <w:rsid w:val="006210FB"/>
    <w:rsid w:val="00621207"/>
    <w:rsid w:val="00621571"/>
    <w:rsid w:val="006216E4"/>
    <w:rsid w:val="0062176D"/>
    <w:rsid w:val="00621782"/>
    <w:rsid w:val="0062188E"/>
    <w:rsid w:val="00621FC5"/>
    <w:rsid w:val="006220F4"/>
    <w:rsid w:val="0062215F"/>
    <w:rsid w:val="00622363"/>
    <w:rsid w:val="0062255B"/>
    <w:rsid w:val="0062260E"/>
    <w:rsid w:val="006233B8"/>
    <w:rsid w:val="0062386C"/>
    <w:rsid w:val="00623ADD"/>
    <w:rsid w:val="0062440F"/>
    <w:rsid w:val="00624762"/>
    <w:rsid w:val="00624936"/>
    <w:rsid w:val="00624ACB"/>
    <w:rsid w:val="00624FB2"/>
    <w:rsid w:val="006255FF"/>
    <w:rsid w:val="006256EA"/>
    <w:rsid w:val="00625CE2"/>
    <w:rsid w:val="00625F87"/>
    <w:rsid w:val="0062661C"/>
    <w:rsid w:val="00626B52"/>
    <w:rsid w:val="00626BED"/>
    <w:rsid w:val="00627129"/>
    <w:rsid w:val="00627175"/>
    <w:rsid w:val="006275BD"/>
    <w:rsid w:val="00627BA9"/>
    <w:rsid w:val="00627CEA"/>
    <w:rsid w:val="006301E7"/>
    <w:rsid w:val="006301F2"/>
    <w:rsid w:val="00630373"/>
    <w:rsid w:val="0063089E"/>
    <w:rsid w:val="006309AE"/>
    <w:rsid w:val="00630D87"/>
    <w:rsid w:val="00630FB9"/>
    <w:rsid w:val="00630FDB"/>
    <w:rsid w:val="006311A5"/>
    <w:rsid w:val="00631904"/>
    <w:rsid w:val="00632281"/>
    <w:rsid w:val="006322E3"/>
    <w:rsid w:val="00632549"/>
    <w:rsid w:val="00632AF5"/>
    <w:rsid w:val="00632CDA"/>
    <w:rsid w:val="00632D68"/>
    <w:rsid w:val="00633050"/>
    <w:rsid w:val="006330CE"/>
    <w:rsid w:val="006331B8"/>
    <w:rsid w:val="006331CC"/>
    <w:rsid w:val="006332CE"/>
    <w:rsid w:val="006333F2"/>
    <w:rsid w:val="006335D8"/>
    <w:rsid w:val="0063400C"/>
    <w:rsid w:val="006344FA"/>
    <w:rsid w:val="00634BED"/>
    <w:rsid w:val="00634C40"/>
    <w:rsid w:val="00635137"/>
    <w:rsid w:val="00635190"/>
    <w:rsid w:val="006353A5"/>
    <w:rsid w:val="00635972"/>
    <w:rsid w:val="00635DDB"/>
    <w:rsid w:val="00636005"/>
    <w:rsid w:val="006365CD"/>
    <w:rsid w:val="006366F4"/>
    <w:rsid w:val="00636877"/>
    <w:rsid w:val="00637071"/>
    <w:rsid w:val="006371E1"/>
    <w:rsid w:val="006372E8"/>
    <w:rsid w:val="006374CD"/>
    <w:rsid w:val="006377C4"/>
    <w:rsid w:val="00637A33"/>
    <w:rsid w:val="00637E05"/>
    <w:rsid w:val="00640334"/>
    <w:rsid w:val="006403BD"/>
    <w:rsid w:val="00640687"/>
    <w:rsid w:val="0064077C"/>
    <w:rsid w:val="00640EF5"/>
    <w:rsid w:val="00640F89"/>
    <w:rsid w:val="00641D83"/>
    <w:rsid w:val="00641F6D"/>
    <w:rsid w:val="006427AC"/>
    <w:rsid w:val="006427E1"/>
    <w:rsid w:val="0064333F"/>
    <w:rsid w:val="00643A29"/>
    <w:rsid w:val="00643B93"/>
    <w:rsid w:val="00643CC2"/>
    <w:rsid w:val="00643EA4"/>
    <w:rsid w:val="006442A5"/>
    <w:rsid w:val="0064453B"/>
    <w:rsid w:val="00644A4B"/>
    <w:rsid w:val="00645043"/>
    <w:rsid w:val="00645053"/>
    <w:rsid w:val="00645F39"/>
    <w:rsid w:val="006461B3"/>
    <w:rsid w:val="00646273"/>
    <w:rsid w:val="00646C50"/>
    <w:rsid w:val="00646E65"/>
    <w:rsid w:val="00646E78"/>
    <w:rsid w:val="006474B9"/>
    <w:rsid w:val="006476C2"/>
    <w:rsid w:val="00647726"/>
    <w:rsid w:val="006478A0"/>
    <w:rsid w:val="00647C8C"/>
    <w:rsid w:val="0065022A"/>
    <w:rsid w:val="00650389"/>
    <w:rsid w:val="006505DD"/>
    <w:rsid w:val="006509AB"/>
    <w:rsid w:val="00650BAA"/>
    <w:rsid w:val="00650F4C"/>
    <w:rsid w:val="00650FE3"/>
    <w:rsid w:val="0065126F"/>
    <w:rsid w:val="00651BB0"/>
    <w:rsid w:val="00652004"/>
    <w:rsid w:val="00652247"/>
    <w:rsid w:val="0065225B"/>
    <w:rsid w:val="0065241E"/>
    <w:rsid w:val="00652776"/>
    <w:rsid w:val="00652D24"/>
    <w:rsid w:val="00652D57"/>
    <w:rsid w:val="00653214"/>
    <w:rsid w:val="00653276"/>
    <w:rsid w:val="00653521"/>
    <w:rsid w:val="006535F5"/>
    <w:rsid w:val="00653672"/>
    <w:rsid w:val="006544CF"/>
    <w:rsid w:val="00654BC3"/>
    <w:rsid w:val="00654C1A"/>
    <w:rsid w:val="0065581C"/>
    <w:rsid w:val="00655C95"/>
    <w:rsid w:val="00655E7E"/>
    <w:rsid w:val="00656348"/>
    <w:rsid w:val="006565EB"/>
    <w:rsid w:val="006567BB"/>
    <w:rsid w:val="0065712B"/>
    <w:rsid w:val="00657394"/>
    <w:rsid w:val="00657398"/>
    <w:rsid w:val="0065742B"/>
    <w:rsid w:val="006576D4"/>
    <w:rsid w:val="006578C9"/>
    <w:rsid w:val="00657AD5"/>
    <w:rsid w:val="00657B40"/>
    <w:rsid w:val="0066015F"/>
    <w:rsid w:val="00660249"/>
    <w:rsid w:val="006608E9"/>
    <w:rsid w:val="00660C0D"/>
    <w:rsid w:val="00660E3D"/>
    <w:rsid w:val="00660EF3"/>
    <w:rsid w:val="006614C2"/>
    <w:rsid w:val="00661526"/>
    <w:rsid w:val="006616AE"/>
    <w:rsid w:val="00661DB2"/>
    <w:rsid w:val="00661EE9"/>
    <w:rsid w:val="006623C0"/>
    <w:rsid w:val="00662809"/>
    <w:rsid w:val="006628A0"/>
    <w:rsid w:val="00662CAF"/>
    <w:rsid w:val="00662E8F"/>
    <w:rsid w:val="006635F1"/>
    <w:rsid w:val="00663969"/>
    <w:rsid w:val="00663B73"/>
    <w:rsid w:val="00663ECF"/>
    <w:rsid w:val="0066476E"/>
    <w:rsid w:val="00664ABF"/>
    <w:rsid w:val="00664F5E"/>
    <w:rsid w:val="0066509E"/>
    <w:rsid w:val="00665222"/>
    <w:rsid w:val="00665364"/>
    <w:rsid w:val="0066557D"/>
    <w:rsid w:val="00665948"/>
    <w:rsid w:val="00665B37"/>
    <w:rsid w:val="00665C02"/>
    <w:rsid w:val="00665EC0"/>
    <w:rsid w:val="0066633E"/>
    <w:rsid w:val="006664B5"/>
    <w:rsid w:val="00666526"/>
    <w:rsid w:val="00666AEA"/>
    <w:rsid w:val="00666C8E"/>
    <w:rsid w:val="00666D92"/>
    <w:rsid w:val="00666DD3"/>
    <w:rsid w:val="00666F7B"/>
    <w:rsid w:val="00667360"/>
    <w:rsid w:val="0066782F"/>
    <w:rsid w:val="006700BA"/>
    <w:rsid w:val="006707D7"/>
    <w:rsid w:val="00670A71"/>
    <w:rsid w:val="00671178"/>
    <w:rsid w:val="006714D0"/>
    <w:rsid w:val="006714FC"/>
    <w:rsid w:val="0067153D"/>
    <w:rsid w:val="0067164D"/>
    <w:rsid w:val="0067192B"/>
    <w:rsid w:val="00671B29"/>
    <w:rsid w:val="00671CB8"/>
    <w:rsid w:val="00671D77"/>
    <w:rsid w:val="00672055"/>
    <w:rsid w:val="00672264"/>
    <w:rsid w:val="0067269B"/>
    <w:rsid w:val="00672D50"/>
    <w:rsid w:val="00672D82"/>
    <w:rsid w:val="00672E06"/>
    <w:rsid w:val="0067307E"/>
    <w:rsid w:val="00673316"/>
    <w:rsid w:val="0067332E"/>
    <w:rsid w:val="006733A8"/>
    <w:rsid w:val="00673744"/>
    <w:rsid w:val="00673D59"/>
    <w:rsid w:val="00674397"/>
    <w:rsid w:val="00674624"/>
    <w:rsid w:val="00674786"/>
    <w:rsid w:val="006748D3"/>
    <w:rsid w:val="00674B11"/>
    <w:rsid w:val="0067513B"/>
    <w:rsid w:val="006753B0"/>
    <w:rsid w:val="006756FD"/>
    <w:rsid w:val="00675C3B"/>
    <w:rsid w:val="00675D7F"/>
    <w:rsid w:val="006761F7"/>
    <w:rsid w:val="0067629D"/>
    <w:rsid w:val="006763B6"/>
    <w:rsid w:val="00676B1A"/>
    <w:rsid w:val="00676D3E"/>
    <w:rsid w:val="00677EC0"/>
    <w:rsid w:val="006801BB"/>
    <w:rsid w:val="00680446"/>
    <w:rsid w:val="006806F6"/>
    <w:rsid w:val="0068073F"/>
    <w:rsid w:val="0068084A"/>
    <w:rsid w:val="0068084F"/>
    <w:rsid w:val="00680C04"/>
    <w:rsid w:val="00680C55"/>
    <w:rsid w:val="00681245"/>
    <w:rsid w:val="0068147D"/>
    <w:rsid w:val="0068177A"/>
    <w:rsid w:val="0068185D"/>
    <w:rsid w:val="00681B00"/>
    <w:rsid w:val="00681C83"/>
    <w:rsid w:val="00681CF4"/>
    <w:rsid w:val="00681F81"/>
    <w:rsid w:val="00682539"/>
    <w:rsid w:val="00682F1D"/>
    <w:rsid w:val="0068310B"/>
    <w:rsid w:val="00683604"/>
    <w:rsid w:val="00684010"/>
    <w:rsid w:val="00684393"/>
    <w:rsid w:val="00684FE4"/>
    <w:rsid w:val="0068532F"/>
    <w:rsid w:val="00685877"/>
    <w:rsid w:val="00686021"/>
    <w:rsid w:val="00686084"/>
    <w:rsid w:val="0068622D"/>
    <w:rsid w:val="0068653B"/>
    <w:rsid w:val="00686A25"/>
    <w:rsid w:val="00687080"/>
    <w:rsid w:val="006871BD"/>
    <w:rsid w:val="00687363"/>
    <w:rsid w:val="0068755C"/>
    <w:rsid w:val="00687996"/>
    <w:rsid w:val="00687BA3"/>
    <w:rsid w:val="00687E30"/>
    <w:rsid w:val="006905BF"/>
    <w:rsid w:val="00691446"/>
    <w:rsid w:val="0069144D"/>
    <w:rsid w:val="00691F14"/>
    <w:rsid w:val="006921CB"/>
    <w:rsid w:val="006925B5"/>
    <w:rsid w:val="00692708"/>
    <w:rsid w:val="00692A79"/>
    <w:rsid w:val="006930EC"/>
    <w:rsid w:val="00693337"/>
    <w:rsid w:val="00693397"/>
    <w:rsid w:val="00693688"/>
    <w:rsid w:val="0069380F"/>
    <w:rsid w:val="00693E1C"/>
    <w:rsid w:val="006941C5"/>
    <w:rsid w:val="00694A55"/>
    <w:rsid w:val="00694A6D"/>
    <w:rsid w:val="00694D07"/>
    <w:rsid w:val="00694F2F"/>
    <w:rsid w:val="006952FD"/>
    <w:rsid w:val="00695658"/>
    <w:rsid w:val="00696067"/>
    <w:rsid w:val="0069658B"/>
    <w:rsid w:val="0069668A"/>
    <w:rsid w:val="00696747"/>
    <w:rsid w:val="00696B18"/>
    <w:rsid w:val="00696B39"/>
    <w:rsid w:val="00696E04"/>
    <w:rsid w:val="00696FD4"/>
    <w:rsid w:val="00697209"/>
    <w:rsid w:val="006976EE"/>
    <w:rsid w:val="00697749"/>
    <w:rsid w:val="006977E5"/>
    <w:rsid w:val="006A021B"/>
    <w:rsid w:val="006A0805"/>
    <w:rsid w:val="006A0A61"/>
    <w:rsid w:val="006A0E99"/>
    <w:rsid w:val="006A1544"/>
    <w:rsid w:val="006A171B"/>
    <w:rsid w:val="006A1B7D"/>
    <w:rsid w:val="006A200D"/>
    <w:rsid w:val="006A2078"/>
    <w:rsid w:val="006A2503"/>
    <w:rsid w:val="006A26BB"/>
    <w:rsid w:val="006A26DC"/>
    <w:rsid w:val="006A33FB"/>
    <w:rsid w:val="006A34D0"/>
    <w:rsid w:val="006A3E9C"/>
    <w:rsid w:val="006A410D"/>
    <w:rsid w:val="006A443A"/>
    <w:rsid w:val="006A44C2"/>
    <w:rsid w:val="006A4AF3"/>
    <w:rsid w:val="006A4B6D"/>
    <w:rsid w:val="006A5606"/>
    <w:rsid w:val="006A5842"/>
    <w:rsid w:val="006A62F3"/>
    <w:rsid w:val="006A63CA"/>
    <w:rsid w:val="006A6433"/>
    <w:rsid w:val="006A68A9"/>
    <w:rsid w:val="006A6E08"/>
    <w:rsid w:val="006A7095"/>
    <w:rsid w:val="006A7179"/>
    <w:rsid w:val="006A71D9"/>
    <w:rsid w:val="006A727E"/>
    <w:rsid w:val="006A7491"/>
    <w:rsid w:val="006A7601"/>
    <w:rsid w:val="006A78D6"/>
    <w:rsid w:val="006A7C99"/>
    <w:rsid w:val="006A7EC5"/>
    <w:rsid w:val="006B0559"/>
    <w:rsid w:val="006B0779"/>
    <w:rsid w:val="006B084D"/>
    <w:rsid w:val="006B1B3B"/>
    <w:rsid w:val="006B1E6E"/>
    <w:rsid w:val="006B2365"/>
    <w:rsid w:val="006B2982"/>
    <w:rsid w:val="006B343D"/>
    <w:rsid w:val="006B3C09"/>
    <w:rsid w:val="006B3CAC"/>
    <w:rsid w:val="006B41C1"/>
    <w:rsid w:val="006B430C"/>
    <w:rsid w:val="006B4326"/>
    <w:rsid w:val="006B4684"/>
    <w:rsid w:val="006B4CCF"/>
    <w:rsid w:val="006B50D8"/>
    <w:rsid w:val="006B53BE"/>
    <w:rsid w:val="006B5C17"/>
    <w:rsid w:val="006B6A79"/>
    <w:rsid w:val="006B6DDB"/>
    <w:rsid w:val="006B7371"/>
    <w:rsid w:val="006B792E"/>
    <w:rsid w:val="006C023B"/>
    <w:rsid w:val="006C02D6"/>
    <w:rsid w:val="006C054E"/>
    <w:rsid w:val="006C0717"/>
    <w:rsid w:val="006C0920"/>
    <w:rsid w:val="006C0D98"/>
    <w:rsid w:val="006C12EA"/>
    <w:rsid w:val="006C1361"/>
    <w:rsid w:val="006C1363"/>
    <w:rsid w:val="006C1510"/>
    <w:rsid w:val="006C18D3"/>
    <w:rsid w:val="006C18DA"/>
    <w:rsid w:val="006C1C84"/>
    <w:rsid w:val="006C20F9"/>
    <w:rsid w:val="006C2162"/>
    <w:rsid w:val="006C294F"/>
    <w:rsid w:val="006C2DB8"/>
    <w:rsid w:val="006C2DE3"/>
    <w:rsid w:val="006C2EC5"/>
    <w:rsid w:val="006C2F42"/>
    <w:rsid w:val="006C311E"/>
    <w:rsid w:val="006C3148"/>
    <w:rsid w:val="006C3243"/>
    <w:rsid w:val="006C35B7"/>
    <w:rsid w:val="006C37CD"/>
    <w:rsid w:val="006C39C8"/>
    <w:rsid w:val="006C3C09"/>
    <w:rsid w:val="006C3C90"/>
    <w:rsid w:val="006C424E"/>
    <w:rsid w:val="006C4377"/>
    <w:rsid w:val="006C459D"/>
    <w:rsid w:val="006C5041"/>
    <w:rsid w:val="006C5110"/>
    <w:rsid w:val="006C51DB"/>
    <w:rsid w:val="006C52C7"/>
    <w:rsid w:val="006C52EF"/>
    <w:rsid w:val="006C531F"/>
    <w:rsid w:val="006C5661"/>
    <w:rsid w:val="006C56C8"/>
    <w:rsid w:val="006C58BF"/>
    <w:rsid w:val="006C5A7F"/>
    <w:rsid w:val="006C5B34"/>
    <w:rsid w:val="006C6C56"/>
    <w:rsid w:val="006C7342"/>
    <w:rsid w:val="006C73B7"/>
    <w:rsid w:val="006C7D0D"/>
    <w:rsid w:val="006D0144"/>
    <w:rsid w:val="006D0285"/>
    <w:rsid w:val="006D047E"/>
    <w:rsid w:val="006D0756"/>
    <w:rsid w:val="006D102B"/>
    <w:rsid w:val="006D1050"/>
    <w:rsid w:val="006D1B97"/>
    <w:rsid w:val="006D2158"/>
    <w:rsid w:val="006D2186"/>
    <w:rsid w:val="006D244C"/>
    <w:rsid w:val="006D24CA"/>
    <w:rsid w:val="006D29CE"/>
    <w:rsid w:val="006D2DA7"/>
    <w:rsid w:val="006D2DDB"/>
    <w:rsid w:val="006D2F46"/>
    <w:rsid w:val="006D331C"/>
    <w:rsid w:val="006D3608"/>
    <w:rsid w:val="006D3953"/>
    <w:rsid w:val="006D3A59"/>
    <w:rsid w:val="006D3EF4"/>
    <w:rsid w:val="006D4355"/>
    <w:rsid w:val="006D4362"/>
    <w:rsid w:val="006D442C"/>
    <w:rsid w:val="006D4431"/>
    <w:rsid w:val="006D467A"/>
    <w:rsid w:val="006D4D6D"/>
    <w:rsid w:val="006D4E91"/>
    <w:rsid w:val="006D5099"/>
    <w:rsid w:val="006D5183"/>
    <w:rsid w:val="006D544C"/>
    <w:rsid w:val="006D588D"/>
    <w:rsid w:val="006D5F61"/>
    <w:rsid w:val="006D6502"/>
    <w:rsid w:val="006D6683"/>
    <w:rsid w:val="006D67E4"/>
    <w:rsid w:val="006D6E93"/>
    <w:rsid w:val="006D781D"/>
    <w:rsid w:val="006D7B8D"/>
    <w:rsid w:val="006D7EE7"/>
    <w:rsid w:val="006E007C"/>
    <w:rsid w:val="006E00A1"/>
    <w:rsid w:val="006E0319"/>
    <w:rsid w:val="006E03B7"/>
    <w:rsid w:val="006E0653"/>
    <w:rsid w:val="006E06C7"/>
    <w:rsid w:val="006E0999"/>
    <w:rsid w:val="006E0E16"/>
    <w:rsid w:val="006E0E74"/>
    <w:rsid w:val="006E0EF9"/>
    <w:rsid w:val="006E0F45"/>
    <w:rsid w:val="006E13BA"/>
    <w:rsid w:val="006E2072"/>
    <w:rsid w:val="006E2550"/>
    <w:rsid w:val="006E26CD"/>
    <w:rsid w:val="006E33B7"/>
    <w:rsid w:val="006E3604"/>
    <w:rsid w:val="006E3E29"/>
    <w:rsid w:val="006E3E97"/>
    <w:rsid w:val="006E3FBB"/>
    <w:rsid w:val="006E45AD"/>
    <w:rsid w:val="006E46D1"/>
    <w:rsid w:val="006E4A5A"/>
    <w:rsid w:val="006E548A"/>
    <w:rsid w:val="006E5773"/>
    <w:rsid w:val="006E5B04"/>
    <w:rsid w:val="006E5C7F"/>
    <w:rsid w:val="006E5D42"/>
    <w:rsid w:val="006E68E2"/>
    <w:rsid w:val="006E694C"/>
    <w:rsid w:val="006E70C4"/>
    <w:rsid w:val="006E73FA"/>
    <w:rsid w:val="006E7455"/>
    <w:rsid w:val="006E7893"/>
    <w:rsid w:val="006E7B56"/>
    <w:rsid w:val="006F03EF"/>
    <w:rsid w:val="006F0571"/>
    <w:rsid w:val="006F0896"/>
    <w:rsid w:val="006F0FCA"/>
    <w:rsid w:val="006F1C0B"/>
    <w:rsid w:val="006F1CF9"/>
    <w:rsid w:val="006F2822"/>
    <w:rsid w:val="006F2ECD"/>
    <w:rsid w:val="006F3317"/>
    <w:rsid w:val="006F3401"/>
    <w:rsid w:val="006F3526"/>
    <w:rsid w:val="006F3563"/>
    <w:rsid w:val="006F3B94"/>
    <w:rsid w:val="006F4189"/>
    <w:rsid w:val="006F4678"/>
    <w:rsid w:val="006F4A01"/>
    <w:rsid w:val="006F4FC4"/>
    <w:rsid w:val="006F5376"/>
    <w:rsid w:val="006F5641"/>
    <w:rsid w:val="006F594B"/>
    <w:rsid w:val="006F599A"/>
    <w:rsid w:val="006F59B7"/>
    <w:rsid w:val="006F603D"/>
    <w:rsid w:val="006F62A0"/>
    <w:rsid w:val="006F63FA"/>
    <w:rsid w:val="006F6868"/>
    <w:rsid w:val="006F69A2"/>
    <w:rsid w:val="006F7382"/>
    <w:rsid w:val="006F75BD"/>
    <w:rsid w:val="006F7777"/>
    <w:rsid w:val="006F777F"/>
    <w:rsid w:val="006F7ABD"/>
    <w:rsid w:val="006F7C66"/>
    <w:rsid w:val="007000B1"/>
    <w:rsid w:val="007001FB"/>
    <w:rsid w:val="007002BA"/>
    <w:rsid w:val="007002C6"/>
    <w:rsid w:val="00700373"/>
    <w:rsid w:val="00701123"/>
    <w:rsid w:val="0070191C"/>
    <w:rsid w:val="00701CDB"/>
    <w:rsid w:val="00701F50"/>
    <w:rsid w:val="0070200C"/>
    <w:rsid w:val="00702017"/>
    <w:rsid w:val="0070268F"/>
    <w:rsid w:val="00702BB6"/>
    <w:rsid w:val="00702D26"/>
    <w:rsid w:val="007034DB"/>
    <w:rsid w:val="00703707"/>
    <w:rsid w:val="00703BA7"/>
    <w:rsid w:val="00703BD6"/>
    <w:rsid w:val="00703F38"/>
    <w:rsid w:val="007040C7"/>
    <w:rsid w:val="0070460E"/>
    <w:rsid w:val="0070478E"/>
    <w:rsid w:val="00704F97"/>
    <w:rsid w:val="007052EF"/>
    <w:rsid w:val="007053F2"/>
    <w:rsid w:val="0070590D"/>
    <w:rsid w:val="0070618C"/>
    <w:rsid w:val="007065AE"/>
    <w:rsid w:val="00706883"/>
    <w:rsid w:val="007069F4"/>
    <w:rsid w:val="007072A3"/>
    <w:rsid w:val="00707343"/>
    <w:rsid w:val="007074BD"/>
    <w:rsid w:val="0070751F"/>
    <w:rsid w:val="0070755F"/>
    <w:rsid w:val="00707FCD"/>
    <w:rsid w:val="00710002"/>
    <w:rsid w:val="00710414"/>
    <w:rsid w:val="00710627"/>
    <w:rsid w:val="00710632"/>
    <w:rsid w:val="00710D83"/>
    <w:rsid w:val="007112CF"/>
    <w:rsid w:val="00711C99"/>
    <w:rsid w:val="00711CD5"/>
    <w:rsid w:val="00711FED"/>
    <w:rsid w:val="00712331"/>
    <w:rsid w:val="007125A7"/>
    <w:rsid w:val="0071268B"/>
    <w:rsid w:val="00712783"/>
    <w:rsid w:val="00712C68"/>
    <w:rsid w:val="00713293"/>
    <w:rsid w:val="0071341A"/>
    <w:rsid w:val="00713594"/>
    <w:rsid w:val="0071378D"/>
    <w:rsid w:val="00713885"/>
    <w:rsid w:val="007142F0"/>
    <w:rsid w:val="00714C70"/>
    <w:rsid w:val="00714DEB"/>
    <w:rsid w:val="00714F55"/>
    <w:rsid w:val="0071553C"/>
    <w:rsid w:val="00715919"/>
    <w:rsid w:val="00715A83"/>
    <w:rsid w:val="00715D82"/>
    <w:rsid w:val="007166D6"/>
    <w:rsid w:val="00716A0B"/>
    <w:rsid w:val="00716C7E"/>
    <w:rsid w:val="00716D12"/>
    <w:rsid w:val="007171D8"/>
    <w:rsid w:val="00717672"/>
    <w:rsid w:val="00717906"/>
    <w:rsid w:val="00717CB4"/>
    <w:rsid w:val="00717CCB"/>
    <w:rsid w:val="00717E76"/>
    <w:rsid w:val="00720338"/>
    <w:rsid w:val="007207AA"/>
    <w:rsid w:val="00720B26"/>
    <w:rsid w:val="00721C6C"/>
    <w:rsid w:val="00722019"/>
    <w:rsid w:val="007220BE"/>
    <w:rsid w:val="0072243F"/>
    <w:rsid w:val="00722CBD"/>
    <w:rsid w:val="0072300B"/>
    <w:rsid w:val="007231D9"/>
    <w:rsid w:val="0072335F"/>
    <w:rsid w:val="0072457B"/>
    <w:rsid w:val="00724760"/>
    <w:rsid w:val="00724A57"/>
    <w:rsid w:val="00724ABE"/>
    <w:rsid w:val="00724BD6"/>
    <w:rsid w:val="00724CB9"/>
    <w:rsid w:val="007251B8"/>
    <w:rsid w:val="00725329"/>
    <w:rsid w:val="007257BD"/>
    <w:rsid w:val="00725A53"/>
    <w:rsid w:val="00726817"/>
    <w:rsid w:val="0072685A"/>
    <w:rsid w:val="0072699D"/>
    <w:rsid w:val="0072718E"/>
    <w:rsid w:val="007273CA"/>
    <w:rsid w:val="00727C8B"/>
    <w:rsid w:val="00727C95"/>
    <w:rsid w:val="00727F06"/>
    <w:rsid w:val="007301D1"/>
    <w:rsid w:val="007305B1"/>
    <w:rsid w:val="00730657"/>
    <w:rsid w:val="0073077C"/>
    <w:rsid w:val="00730875"/>
    <w:rsid w:val="00730A3A"/>
    <w:rsid w:val="00730CF0"/>
    <w:rsid w:val="00730FE5"/>
    <w:rsid w:val="007313A4"/>
    <w:rsid w:val="00731BDA"/>
    <w:rsid w:val="00731C6F"/>
    <w:rsid w:val="0073290A"/>
    <w:rsid w:val="00732D59"/>
    <w:rsid w:val="00732DFC"/>
    <w:rsid w:val="00732E44"/>
    <w:rsid w:val="00732FBD"/>
    <w:rsid w:val="00733A56"/>
    <w:rsid w:val="00734DA7"/>
    <w:rsid w:val="00735447"/>
    <w:rsid w:val="00735456"/>
    <w:rsid w:val="0073552A"/>
    <w:rsid w:val="00735AFD"/>
    <w:rsid w:val="00735D3A"/>
    <w:rsid w:val="00735DAF"/>
    <w:rsid w:val="00735DF4"/>
    <w:rsid w:val="00735E7F"/>
    <w:rsid w:val="00735EA7"/>
    <w:rsid w:val="00735FDD"/>
    <w:rsid w:val="0073611C"/>
    <w:rsid w:val="00736141"/>
    <w:rsid w:val="00736793"/>
    <w:rsid w:val="007369D2"/>
    <w:rsid w:val="00736AE6"/>
    <w:rsid w:val="0074031C"/>
    <w:rsid w:val="007403B2"/>
    <w:rsid w:val="007405F0"/>
    <w:rsid w:val="00740700"/>
    <w:rsid w:val="00740B1D"/>
    <w:rsid w:val="00740DCF"/>
    <w:rsid w:val="0074178C"/>
    <w:rsid w:val="00741B12"/>
    <w:rsid w:val="007420DF"/>
    <w:rsid w:val="007426FD"/>
    <w:rsid w:val="0074294E"/>
    <w:rsid w:val="00742CAF"/>
    <w:rsid w:val="00742E10"/>
    <w:rsid w:val="00742F94"/>
    <w:rsid w:val="007430A2"/>
    <w:rsid w:val="007431AF"/>
    <w:rsid w:val="00743513"/>
    <w:rsid w:val="00743D24"/>
    <w:rsid w:val="007445C2"/>
    <w:rsid w:val="007449AD"/>
    <w:rsid w:val="00744DC1"/>
    <w:rsid w:val="00745190"/>
    <w:rsid w:val="007451D9"/>
    <w:rsid w:val="0074520A"/>
    <w:rsid w:val="00745711"/>
    <w:rsid w:val="0074578D"/>
    <w:rsid w:val="00745FAE"/>
    <w:rsid w:val="007460BD"/>
    <w:rsid w:val="007464AF"/>
    <w:rsid w:val="00746898"/>
    <w:rsid w:val="00746976"/>
    <w:rsid w:val="00746C0B"/>
    <w:rsid w:val="00747176"/>
    <w:rsid w:val="007471B7"/>
    <w:rsid w:val="0074799B"/>
    <w:rsid w:val="00747B24"/>
    <w:rsid w:val="007507A1"/>
    <w:rsid w:val="007507C0"/>
    <w:rsid w:val="00750BA4"/>
    <w:rsid w:val="007510EB"/>
    <w:rsid w:val="0075142E"/>
    <w:rsid w:val="00751E41"/>
    <w:rsid w:val="00752388"/>
    <w:rsid w:val="00753B51"/>
    <w:rsid w:val="00753C90"/>
    <w:rsid w:val="007540FC"/>
    <w:rsid w:val="0075455F"/>
    <w:rsid w:val="0075475E"/>
    <w:rsid w:val="00754D2D"/>
    <w:rsid w:val="0075567B"/>
    <w:rsid w:val="0075572A"/>
    <w:rsid w:val="0075581E"/>
    <w:rsid w:val="00755E7B"/>
    <w:rsid w:val="007562E2"/>
    <w:rsid w:val="00756466"/>
    <w:rsid w:val="0075666E"/>
    <w:rsid w:val="0075673C"/>
    <w:rsid w:val="00756B0D"/>
    <w:rsid w:val="007574E1"/>
    <w:rsid w:val="0075787E"/>
    <w:rsid w:val="00760767"/>
    <w:rsid w:val="007609E0"/>
    <w:rsid w:val="00760A4A"/>
    <w:rsid w:val="00760C43"/>
    <w:rsid w:val="00760EB1"/>
    <w:rsid w:val="0076108C"/>
    <w:rsid w:val="00761121"/>
    <w:rsid w:val="00761376"/>
    <w:rsid w:val="007613DE"/>
    <w:rsid w:val="007614D5"/>
    <w:rsid w:val="007617F6"/>
    <w:rsid w:val="00761B39"/>
    <w:rsid w:val="00761C4D"/>
    <w:rsid w:val="007622A3"/>
    <w:rsid w:val="00762CC2"/>
    <w:rsid w:val="00763357"/>
    <w:rsid w:val="00763746"/>
    <w:rsid w:val="007638B9"/>
    <w:rsid w:val="00763A1B"/>
    <w:rsid w:val="00763E67"/>
    <w:rsid w:val="00763E8E"/>
    <w:rsid w:val="00764D87"/>
    <w:rsid w:val="00764EAF"/>
    <w:rsid w:val="00765087"/>
    <w:rsid w:val="007650BF"/>
    <w:rsid w:val="00765590"/>
    <w:rsid w:val="00765680"/>
    <w:rsid w:val="00765852"/>
    <w:rsid w:val="00765BC3"/>
    <w:rsid w:val="00766012"/>
    <w:rsid w:val="00766C5A"/>
    <w:rsid w:val="007677F4"/>
    <w:rsid w:val="00770858"/>
    <w:rsid w:val="00770870"/>
    <w:rsid w:val="00770AD5"/>
    <w:rsid w:val="00771043"/>
    <w:rsid w:val="00771478"/>
    <w:rsid w:val="007719D2"/>
    <w:rsid w:val="00771A2E"/>
    <w:rsid w:val="00772107"/>
    <w:rsid w:val="007722C5"/>
    <w:rsid w:val="00772539"/>
    <w:rsid w:val="00772C02"/>
    <w:rsid w:val="00773A18"/>
    <w:rsid w:val="00773ADF"/>
    <w:rsid w:val="00773C73"/>
    <w:rsid w:val="007744FF"/>
    <w:rsid w:val="00774864"/>
    <w:rsid w:val="00774D9A"/>
    <w:rsid w:val="00774FC9"/>
    <w:rsid w:val="0077536F"/>
    <w:rsid w:val="00775464"/>
    <w:rsid w:val="00775EE9"/>
    <w:rsid w:val="00776037"/>
    <w:rsid w:val="007766DE"/>
    <w:rsid w:val="00776A14"/>
    <w:rsid w:val="007771E8"/>
    <w:rsid w:val="00777249"/>
    <w:rsid w:val="007773AB"/>
    <w:rsid w:val="007778E3"/>
    <w:rsid w:val="0077795F"/>
    <w:rsid w:val="00777EC1"/>
    <w:rsid w:val="007800F1"/>
    <w:rsid w:val="00780451"/>
    <w:rsid w:val="007806A9"/>
    <w:rsid w:val="00780CBE"/>
    <w:rsid w:val="00781717"/>
    <w:rsid w:val="0078174C"/>
    <w:rsid w:val="0078174D"/>
    <w:rsid w:val="00781958"/>
    <w:rsid w:val="00781AA7"/>
    <w:rsid w:val="00781B28"/>
    <w:rsid w:val="00781CD8"/>
    <w:rsid w:val="00781D50"/>
    <w:rsid w:val="0078295C"/>
    <w:rsid w:val="00782A68"/>
    <w:rsid w:val="00782C14"/>
    <w:rsid w:val="00782DBA"/>
    <w:rsid w:val="00782FDC"/>
    <w:rsid w:val="0078300C"/>
    <w:rsid w:val="00783561"/>
    <w:rsid w:val="00784476"/>
    <w:rsid w:val="00784573"/>
    <w:rsid w:val="00784574"/>
    <w:rsid w:val="007846A6"/>
    <w:rsid w:val="007846D5"/>
    <w:rsid w:val="00784DD1"/>
    <w:rsid w:val="007855B3"/>
    <w:rsid w:val="007856F5"/>
    <w:rsid w:val="0078575A"/>
    <w:rsid w:val="007858BB"/>
    <w:rsid w:val="00785B8D"/>
    <w:rsid w:val="007861D7"/>
    <w:rsid w:val="007862B1"/>
    <w:rsid w:val="00786346"/>
    <w:rsid w:val="007863A7"/>
    <w:rsid w:val="007867F7"/>
    <w:rsid w:val="0078683E"/>
    <w:rsid w:val="00786A7F"/>
    <w:rsid w:val="00786B38"/>
    <w:rsid w:val="00786BA7"/>
    <w:rsid w:val="007874C9"/>
    <w:rsid w:val="0079091B"/>
    <w:rsid w:val="00790F81"/>
    <w:rsid w:val="00791183"/>
    <w:rsid w:val="0079124B"/>
    <w:rsid w:val="00791485"/>
    <w:rsid w:val="00791CAE"/>
    <w:rsid w:val="007923D7"/>
    <w:rsid w:val="0079283D"/>
    <w:rsid w:val="00792880"/>
    <w:rsid w:val="00792DAA"/>
    <w:rsid w:val="00792F06"/>
    <w:rsid w:val="007930B6"/>
    <w:rsid w:val="00793405"/>
    <w:rsid w:val="0079343F"/>
    <w:rsid w:val="00793619"/>
    <w:rsid w:val="007936A3"/>
    <w:rsid w:val="007938B6"/>
    <w:rsid w:val="00793933"/>
    <w:rsid w:val="00793C4E"/>
    <w:rsid w:val="007940B6"/>
    <w:rsid w:val="00794AE1"/>
    <w:rsid w:val="00794D5D"/>
    <w:rsid w:val="00794DAD"/>
    <w:rsid w:val="00795AEE"/>
    <w:rsid w:val="00795E69"/>
    <w:rsid w:val="00796509"/>
    <w:rsid w:val="00796A31"/>
    <w:rsid w:val="00796A71"/>
    <w:rsid w:val="00796CF4"/>
    <w:rsid w:val="00796D7A"/>
    <w:rsid w:val="00797094"/>
    <w:rsid w:val="00797136"/>
    <w:rsid w:val="00797736"/>
    <w:rsid w:val="007977CC"/>
    <w:rsid w:val="00797A1D"/>
    <w:rsid w:val="00797B61"/>
    <w:rsid w:val="00797DE5"/>
    <w:rsid w:val="00797F79"/>
    <w:rsid w:val="00797FFD"/>
    <w:rsid w:val="007A035C"/>
    <w:rsid w:val="007A0451"/>
    <w:rsid w:val="007A0738"/>
    <w:rsid w:val="007A0990"/>
    <w:rsid w:val="007A0D43"/>
    <w:rsid w:val="007A1061"/>
    <w:rsid w:val="007A15C5"/>
    <w:rsid w:val="007A2297"/>
    <w:rsid w:val="007A308A"/>
    <w:rsid w:val="007A32B6"/>
    <w:rsid w:val="007A344C"/>
    <w:rsid w:val="007A3857"/>
    <w:rsid w:val="007A3A35"/>
    <w:rsid w:val="007A3BA9"/>
    <w:rsid w:val="007A3BFC"/>
    <w:rsid w:val="007A3F59"/>
    <w:rsid w:val="007A417A"/>
    <w:rsid w:val="007A419C"/>
    <w:rsid w:val="007A4481"/>
    <w:rsid w:val="007A4527"/>
    <w:rsid w:val="007A4A7A"/>
    <w:rsid w:val="007A4CD0"/>
    <w:rsid w:val="007A4F1A"/>
    <w:rsid w:val="007A58DD"/>
    <w:rsid w:val="007A5914"/>
    <w:rsid w:val="007A5CA2"/>
    <w:rsid w:val="007A5D6A"/>
    <w:rsid w:val="007A5EDD"/>
    <w:rsid w:val="007A5F96"/>
    <w:rsid w:val="007A62AA"/>
    <w:rsid w:val="007A65D8"/>
    <w:rsid w:val="007A69C2"/>
    <w:rsid w:val="007A6F81"/>
    <w:rsid w:val="007A7126"/>
    <w:rsid w:val="007A7343"/>
    <w:rsid w:val="007A75AF"/>
    <w:rsid w:val="007A7C2F"/>
    <w:rsid w:val="007A7DEC"/>
    <w:rsid w:val="007B0148"/>
    <w:rsid w:val="007B02EE"/>
    <w:rsid w:val="007B0A48"/>
    <w:rsid w:val="007B0C75"/>
    <w:rsid w:val="007B0CD6"/>
    <w:rsid w:val="007B0D4F"/>
    <w:rsid w:val="007B0E5B"/>
    <w:rsid w:val="007B0F85"/>
    <w:rsid w:val="007B11C0"/>
    <w:rsid w:val="007B1246"/>
    <w:rsid w:val="007B1514"/>
    <w:rsid w:val="007B156E"/>
    <w:rsid w:val="007B1670"/>
    <w:rsid w:val="007B215C"/>
    <w:rsid w:val="007B2322"/>
    <w:rsid w:val="007B279E"/>
    <w:rsid w:val="007B281A"/>
    <w:rsid w:val="007B28BE"/>
    <w:rsid w:val="007B32A3"/>
    <w:rsid w:val="007B33BB"/>
    <w:rsid w:val="007B356F"/>
    <w:rsid w:val="007B3872"/>
    <w:rsid w:val="007B3889"/>
    <w:rsid w:val="007B3C23"/>
    <w:rsid w:val="007B3C7C"/>
    <w:rsid w:val="007B41C5"/>
    <w:rsid w:val="007B45B7"/>
    <w:rsid w:val="007B46A0"/>
    <w:rsid w:val="007B48DE"/>
    <w:rsid w:val="007B49D2"/>
    <w:rsid w:val="007B4BBE"/>
    <w:rsid w:val="007B4C87"/>
    <w:rsid w:val="007B55A2"/>
    <w:rsid w:val="007B5655"/>
    <w:rsid w:val="007B5746"/>
    <w:rsid w:val="007B5AFE"/>
    <w:rsid w:val="007B5C2E"/>
    <w:rsid w:val="007B5DB1"/>
    <w:rsid w:val="007B5F0A"/>
    <w:rsid w:val="007B618F"/>
    <w:rsid w:val="007B65AC"/>
    <w:rsid w:val="007B6A37"/>
    <w:rsid w:val="007B6AEF"/>
    <w:rsid w:val="007B7128"/>
    <w:rsid w:val="007B726D"/>
    <w:rsid w:val="007B733A"/>
    <w:rsid w:val="007B73CC"/>
    <w:rsid w:val="007B767D"/>
    <w:rsid w:val="007B7853"/>
    <w:rsid w:val="007B7CCE"/>
    <w:rsid w:val="007B7E68"/>
    <w:rsid w:val="007C0277"/>
    <w:rsid w:val="007C08C8"/>
    <w:rsid w:val="007C09CE"/>
    <w:rsid w:val="007C0C89"/>
    <w:rsid w:val="007C21FB"/>
    <w:rsid w:val="007C27B7"/>
    <w:rsid w:val="007C2ECC"/>
    <w:rsid w:val="007C3CB3"/>
    <w:rsid w:val="007C3D22"/>
    <w:rsid w:val="007C42CC"/>
    <w:rsid w:val="007C4389"/>
    <w:rsid w:val="007C4498"/>
    <w:rsid w:val="007C4C55"/>
    <w:rsid w:val="007C523E"/>
    <w:rsid w:val="007C58DE"/>
    <w:rsid w:val="007C5CC0"/>
    <w:rsid w:val="007C5F3A"/>
    <w:rsid w:val="007C66D8"/>
    <w:rsid w:val="007C6893"/>
    <w:rsid w:val="007C69CA"/>
    <w:rsid w:val="007C71BE"/>
    <w:rsid w:val="007C7930"/>
    <w:rsid w:val="007C7F87"/>
    <w:rsid w:val="007D01AE"/>
    <w:rsid w:val="007D044C"/>
    <w:rsid w:val="007D0956"/>
    <w:rsid w:val="007D12E8"/>
    <w:rsid w:val="007D183B"/>
    <w:rsid w:val="007D1A57"/>
    <w:rsid w:val="007D21C1"/>
    <w:rsid w:val="007D23B9"/>
    <w:rsid w:val="007D241D"/>
    <w:rsid w:val="007D2943"/>
    <w:rsid w:val="007D2A2D"/>
    <w:rsid w:val="007D2A54"/>
    <w:rsid w:val="007D33E3"/>
    <w:rsid w:val="007D3835"/>
    <w:rsid w:val="007D4E15"/>
    <w:rsid w:val="007D54C3"/>
    <w:rsid w:val="007D568C"/>
    <w:rsid w:val="007D578A"/>
    <w:rsid w:val="007D582D"/>
    <w:rsid w:val="007D5E0B"/>
    <w:rsid w:val="007D621A"/>
    <w:rsid w:val="007D624E"/>
    <w:rsid w:val="007D625B"/>
    <w:rsid w:val="007D626E"/>
    <w:rsid w:val="007D629E"/>
    <w:rsid w:val="007D69D9"/>
    <w:rsid w:val="007D6F73"/>
    <w:rsid w:val="007D7244"/>
    <w:rsid w:val="007D799B"/>
    <w:rsid w:val="007D7B95"/>
    <w:rsid w:val="007D7E3D"/>
    <w:rsid w:val="007E014D"/>
    <w:rsid w:val="007E03E4"/>
    <w:rsid w:val="007E07FA"/>
    <w:rsid w:val="007E0B5B"/>
    <w:rsid w:val="007E0F5F"/>
    <w:rsid w:val="007E1152"/>
    <w:rsid w:val="007E11A9"/>
    <w:rsid w:val="007E160A"/>
    <w:rsid w:val="007E1BB0"/>
    <w:rsid w:val="007E1BC8"/>
    <w:rsid w:val="007E1C1E"/>
    <w:rsid w:val="007E1FC3"/>
    <w:rsid w:val="007E2DD2"/>
    <w:rsid w:val="007E340B"/>
    <w:rsid w:val="007E3E41"/>
    <w:rsid w:val="007E4120"/>
    <w:rsid w:val="007E48D0"/>
    <w:rsid w:val="007E4FD5"/>
    <w:rsid w:val="007E609F"/>
    <w:rsid w:val="007E66C0"/>
    <w:rsid w:val="007E6826"/>
    <w:rsid w:val="007E6924"/>
    <w:rsid w:val="007E6D68"/>
    <w:rsid w:val="007E7403"/>
    <w:rsid w:val="007E7479"/>
    <w:rsid w:val="007E7744"/>
    <w:rsid w:val="007E7DD8"/>
    <w:rsid w:val="007F031B"/>
    <w:rsid w:val="007F0495"/>
    <w:rsid w:val="007F0E6A"/>
    <w:rsid w:val="007F0E9E"/>
    <w:rsid w:val="007F1732"/>
    <w:rsid w:val="007F1FD5"/>
    <w:rsid w:val="007F2176"/>
    <w:rsid w:val="007F2F8A"/>
    <w:rsid w:val="007F303E"/>
    <w:rsid w:val="007F30DE"/>
    <w:rsid w:val="007F3120"/>
    <w:rsid w:val="007F391F"/>
    <w:rsid w:val="007F4103"/>
    <w:rsid w:val="007F41DB"/>
    <w:rsid w:val="007F46AA"/>
    <w:rsid w:val="007F512C"/>
    <w:rsid w:val="007F5598"/>
    <w:rsid w:val="007F5BDA"/>
    <w:rsid w:val="007F5CC0"/>
    <w:rsid w:val="007F6440"/>
    <w:rsid w:val="007F6974"/>
    <w:rsid w:val="007F6E28"/>
    <w:rsid w:val="007F6E67"/>
    <w:rsid w:val="007F712B"/>
    <w:rsid w:val="007F744F"/>
    <w:rsid w:val="007F7509"/>
    <w:rsid w:val="007F7B17"/>
    <w:rsid w:val="007F7C60"/>
    <w:rsid w:val="007F7F04"/>
    <w:rsid w:val="008000A4"/>
    <w:rsid w:val="00801247"/>
    <w:rsid w:val="008015C9"/>
    <w:rsid w:val="00801651"/>
    <w:rsid w:val="008016BE"/>
    <w:rsid w:val="00801BB0"/>
    <w:rsid w:val="00801D46"/>
    <w:rsid w:val="00802111"/>
    <w:rsid w:val="0080267A"/>
    <w:rsid w:val="00802BE2"/>
    <w:rsid w:val="00802C55"/>
    <w:rsid w:val="008030DD"/>
    <w:rsid w:val="0080353B"/>
    <w:rsid w:val="00803BEB"/>
    <w:rsid w:val="00803C13"/>
    <w:rsid w:val="00804151"/>
    <w:rsid w:val="00804214"/>
    <w:rsid w:val="00804342"/>
    <w:rsid w:val="0080438C"/>
    <w:rsid w:val="0080481D"/>
    <w:rsid w:val="0080499F"/>
    <w:rsid w:val="00805272"/>
    <w:rsid w:val="0080551C"/>
    <w:rsid w:val="00806580"/>
    <w:rsid w:val="008066AF"/>
    <w:rsid w:val="00806806"/>
    <w:rsid w:val="00806C6A"/>
    <w:rsid w:val="00806E10"/>
    <w:rsid w:val="00806FBA"/>
    <w:rsid w:val="0080728E"/>
    <w:rsid w:val="008078BA"/>
    <w:rsid w:val="00807AE6"/>
    <w:rsid w:val="008100EA"/>
    <w:rsid w:val="00810220"/>
    <w:rsid w:val="00810DAB"/>
    <w:rsid w:val="00811095"/>
    <w:rsid w:val="008110DD"/>
    <w:rsid w:val="008110E2"/>
    <w:rsid w:val="0081135B"/>
    <w:rsid w:val="00811659"/>
    <w:rsid w:val="008116BF"/>
    <w:rsid w:val="00811B4F"/>
    <w:rsid w:val="00811F36"/>
    <w:rsid w:val="0081204D"/>
    <w:rsid w:val="00812238"/>
    <w:rsid w:val="008122EC"/>
    <w:rsid w:val="00812675"/>
    <w:rsid w:val="00812984"/>
    <w:rsid w:val="00812A68"/>
    <w:rsid w:val="00812AE4"/>
    <w:rsid w:val="00812CC5"/>
    <w:rsid w:val="00812EA2"/>
    <w:rsid w:val="00812F8F"/>
    <w:rsid w:val="0081368B"/>
    <w:rsid w:val="00813694"/>
    <w:rsid w:val="008139F2"/>
    <w:rsid w:val="00814BE5"/>
    <w:rsid w:val="008153FC"/>
    <w:rsid w:val="00815F1A"/>
    <w:rsid w:val="008168A8"/>
    <w:rsid w:val="00816DA6"/>
    <w:rsid w:val="00817099"/>
    <w:rsid w:val="00817157"/>
    <w:rsid w:val="00817509"/>
    <w:rsid w:val="008179D7"/>
    <w:rsid w:val="008200E7"/>
    <w:rsid w:val="0082040E"/>
    <w:rsid w:val="00820449"/>
    <w:rsid w:val="0082045B"/>
    <w:rsid w:val="0082057E"/>
    <w:rsid w:val="008207A0"/>
    <w:rsid w:val="00820A8D"/>
    <w:rsid w:val="00820AE6"/>
    <w:rsid w:val="00820C69"/>
    <w:rsid w:val="00820D3E"/>
    <w:rsid w:val="00820EFD"/>
    <w:rsid w:val="00821169"/>
    <w:rsid w:val="008214B2"/>
    <w:rsid w:val="00821ED0"/>
    <w:rsid w:val="008223BC"/>
    <w:rsid w:val="008223D9"/>
    <w:rsid w:val="0082241A"/>
    <w:rsid w:val="00822963"/>
    <w:rsid w:val="00822F58"/>
    <w:rsid w:val="0082319A"/>
    <w:rsid w:val="008239CB"/>
    <w:rsid w:val="00823C08"/>
    <w:rsid w:val="00823D1C"/>
    <w:rsid w:val="00823F38"/>
    <w:rsid w:val="008245AC"/>
    <w:rsid w:val="008245C2"/>
    <w:rsid w:val="00824A4F"/>
    <w:rsid w:val="0082541B"/>
    <w:rsid w:val="0082610D"/>
    <w:rsid w:val="008268C6"/>
    <w:rsid w:val="008278DD"/>
    <w:rsid w:val="00827CBF"/>
    <w:rsid w:val="00827CC7"/>
    <w:rsid w:val="00830026"/>
    <w:rsid w:val="00830069"/>
    <w:rsid w:val="00830394"/>
    <w:rsid w:val="008303EB"/>
    <w:rsid w:val="00830549"/>
    <w:rsid w:val="0083085B"/>
    <w:rsid w:val="00830FB9"/>
    <w:rsid w:val="0083126D"/>
    <w:rsid w:val="00831285"/>
    <w:rsid w:val="00831375"/>
    <w:rsid w:val="0083168F"/>
    <w:rsid w:val="00831776"/>
    <w:rsid w:val="00831A51"/>
    <w:rsid w:val="00831D1A"/>
    <w:rsid w:val="00832177"/>
    <w:rsid w:val="008321B6"/>
    <w:rsid w:val="00832215"/>
    <w:rsid w:val="008323C8"/>
    <w:rsid w:val="0083272B"/>
    <w:rsid w:val="0083289E"/>
    <w:rsid w:val="00832AD1"/>
    <w:rsid w:val="00832B42"/>
    <w:rsid w:val="00832D42"/>
    <w:rsid w:val="0083300A"/>
    <w:rsid w:val="00833035"/>
    <w:rsid w:val="0083313E"/>
    <w:rsid w:val="00833389"/>
    <w:rsid w:val="0083340D"/>
    <w:rsid w:val="008336C6"/>
    <w:rsid w:val="00834410"/>
    <w:rsid w:val="00834A1E"/>
    <w:rsid w:val="00834BF2"/>
    <w:rsid w:val="00834C40"/>
    <w:rsid w:val="00834D56"/>
    <w:rsid w:val="00834EFA"/>
    <w:rsid w:val="008355C9"/>
    <w:rsid w:val="00835EC0"/>
    <w:rsid w:val="008361C1"/>
    <w:rsid w:val="00836215"/>
    <w:rsid w:val="0083648D"/>
    <w:rsid w:val="00836C5A"/>
    <w:rsid w:val="00836CE8"/>
    <w:rsid w:val="00836D93"/>
    <w:rsid w:val="008371ED"/>
    <w:rsid w:val="00837B93"/>
    <w:rsid w:val="008401CD"/>
    <w:rsid w:val="0084043F"/>
    <w:rsid w:val="008409DC"/>
    <w:rsid w:val="00840F46"/>
    <w:rsid w:val="00841108"/>
    <w:rsid w:val="00841136"/>
    <w:rsid w:val="0084143E"/>
    <w:rsid w:val="00841B59"/>
    <w:rsid w:val="00841B82"/>
    <w:rsid w:val="00842A52"/>
    <w:rsid w:val="008430F0"/>
    <w:rsid w:val="008431F6"/>
    <w:rsid w:val="0084372F"/>
    <w:rsid w:val="00843743"/>
    <w:rsid w:val="008439C2"/>
    <w:rsid w:val="00843C8B"/>
    <w:rsid w:val="0084400B"/>
    <w:rsid w:val="008440F0"/>
    <w:rsid w:val="00844B26"/>
    <w:rsid w:val="00844BEA"/>
    <w:rsid w:val="00844FE3"/>
    <w:rsid w:val="00845256"/>
    <w:rsid w:val="008452DC"/>
    <w:rsid w:val="00845A56"/>
    <w:rsid w:val="00846147"/>
    <w:rsid w:val="00846B73"/>
    <w:rsid w:val="00846E2A"/>
    <w:rsid w:val="008470AB"/>
    <w:rsid w:val="008471F9"/>
    <w:rsid w:val="00847225"/>
    <w:rsid w:val="0084739C"/>
    <w:rsid w:val="00847770"/>
    <w:rsid w:val="00847803"/>
    <w:rsid w:val="00847B95"/>
    <w:rsid w:val="0085049E"/>
    <w:rsid w:val="00850A1A"/>
    <w:rsid w:val="00851474"/>
    <w:rsid w:val="00851820"/>
    <w:rsid w:val="0085187B"/>
    <w:rsid w:val="00851BC8"/>
    <w:rsid w:val="00851F00"/>
    <w:rsid w:val="008520FD"/>
    <w:rsid w:val="008523C3"/>
    <w:rsid w:val="0085261D"/>
    <w:rsid w:val="00852DBC"/>
    <w:rsid w:val="00853A5B"/>
    <w:rsid w:val="00853E9A"/>
    <w:rsid w:val="00853F8E"/>
    <w:rsid w:val="00854307"/>
    <w:rsid w:val="00855297"/>
    <w:rsid w:val="008552E8"/>
    <w:rsid w:val="00855B11"/>
    <w:rsid w:val="00855FD3"/>
    <w:rsid w:val="0085651F"/>
    <w:rsid w:val="00856795"/>
    <w:rsid w:val="00856966"/>
    <w:rsid w:val="00856B8E"/>
    <w:rsid w:val="00856D2D"/>
    <w:rsid w:val="00856FC6"/>
    <w:rsid w:val="00857218"/>
    <w:rsid w:val="00857791"/>
    <w:rsid w:val="00857823"/>
    <w:rsid w:val="00857CA4"/>
    <w:rsid w:val="00857FD3"/>
    <w:rsid w:val="008602FC"/>
    <w:rsid w:val="008608C2"/>
    <w:rsid w:val="00860DDE"/>
    <w:rsid w:val="0086123B"/>
    <w:rsid w:val="0086186F"/>
    <w:rsid w:val="00861CDA"/>
    <w:rsid w:val="00861E75"/>
    <w:rsid w:val="008621D2"/>
    <w:rsid w:val="00862336"/>
    <w:rsid w:val="008624FA"/>
    <w:rsid w:val="00862AB6"/>
    <w:rsid w:val="00862E6C"/>
    <w:rsid w:val="0086344F"/>
    <w:rsid w:val="0086367A"/>
    <w:rsid w:val="008647C8"/>
    <w:rsid w:val="0086536A"/>
    <w:rsid w:val="008658E0"/>
    <w:rsid w:val="008660D8"/>
    <w:rsid w:val="0086646C"/>
    <w:rsid w:val="00866690"/>
    <w:rsid w:val="00866E17"/>
    <w:rsid w:val="00867370"/>
    <w:rsid w:val="008678FF"/>
    <w:rsid w:val="00867BB8"/>
    <w:rsid w:val="0087015C"/>
    <w:rsid w:val="00870810"/>
    <w:rsid w:val="00870EF6"/>
    <w:rsid w:val="00870F41"/>
    <w:rsid w:val="00870FDA"/>
    <w:rsid w:val="008714F9"/>
    <w:rsid w:val="008715F3"/>
    <w:rsid w:val="0087192B"/>
    <w:rsid w:val="00871C78"/>
    <w:rsid w:val="00871E25"/>
    <w:rsid w:val="008720B3"/>
    <w:rsid w:val="00872102"/>
    <w:rsid w:val="00872291"/>
    <w:rsid w:val="008723D3"/>
    <w:rsid w:val="00872428"/>
    <w:rsid w:val="008731BA"/>
    <w:rsid w:val="00873464"/>
    <w:rsid w:val="0087357E"/>
    <w:rsid w:val="0087361B"/>
    <w:rsid w:val="008738A9"/>
    <w:rsid w:val="008738B7"/>
    <w:rsid w:val="0087393C"/>
    <w:rsid w:val="00873A1A"/>
    <w:rsid w:val="00873A21"/>
    <w:rsid w:val="00873BB6"/>
    <w:rsid w:val="0087416E"/>
    <w:rsid w:val="00874218"/>
    <w:rsid w:val="008743A1"/>
    <w:rsid w:val="00874690"/>
    <w:rsid w:val="00875283"/>
    <w:rsid w:val="008752A4"/>
    <w:rsid w:val="00875BE7"/>
    <w:rsid w:val="00875EE9"/>
    <w:rsid w:val="00876215"/>
    <w:rsid w:val="0087677B"/>
    <w:rsid w:val="0087677D"/>
    <w:rsid w:val="00876963"/>
    <w:rsid w:val="00877120"/>
    <w:rsid w:val="00877192"/>
    <w:rsid w:val="008776CF"/>
    <w:rsid w:val="00877E19"/>
    <w:rsid w:val="00877F77"/>
    <w:rsid w:val="008803EE"/>
    <w:rsid w:val="00880806"/>
    <w:rsid w:val="00880E6B"/>
    <w:rsid w:val="00881420"/>
    <w:rsid w:val="008814CD"/>
    <w:rsid w:val="008822C6"/>
    <w:rsid w:val="008828A9"/>
    <w:rsid w:val="0088294A"/>
    <w:rsid w:val="00883064"/>
    <w:rsid w:val="00883187"/>
    <w:rsid w:val="008834CD"/>
    <w:rsid w:val="0088376B"/>
    <w:rsid w:val="00883823"/>
    <w:rsid w:val="00883BB3"/>
    <w:rsid w:val="00884D12"/>
    <w:rsid w:val="00884DAD"/>
    <w:rsid w:val="00884DF6"/>
    <w:rsid w:val="00884F88"/>
    <w:rsid w:val="00885479"/>
    <w:rsid w:val="008858FB"/>
    <w:rsid w:val="00886155"/>
    <w:rsid w:val="00886516"/>
    <w:rsid w:val="00886CFC"/>
    <w:rsid w:val="00886D45"/>
    <w:rsid w:val="00887044"/>
    <w:rsid w:val="00887261"/>
    <w:rsid w:val="0088731C"/>
    <w:rsid w:val="00887DA0"/>
    <w:rsid w:val="00887DE8"/>
    <w:rsid w:val="00887E66"/>
    <w:rsid w:val="008904D2"/>
    <w:rsid w:val="00890632"/>
    <w:rsid w:val="0089064F"/>
    <w:rsid w:val="008907D5"/>
    <w:rsid w:val="0089093A"/>
    <w:rsid w:val="00890D0E"/>
    <w:rsid w:val="00890E28"/>
    <w:rsid w:val="00890F5E"/>
    <w:rsid w:val="0089141E"/>
    <w:rsid w:val="00891B39"/>
    <w:rsid w:val="00891C95"/>
    <w:rsid w:val="00891DCE"/>
    <w:rsid w:val="00891FE7"/>
    <w:rsid w:val="008925F3"/>
    <w:rsid w:val="00892666"/>
    <w:rsid w:val="00893228"/>
    <w:rsid w:val="00893449"/>
    <w:rsid w:val="00893989"/>
    <w:rsid w:val="008944EE"/>
    <w:rsid w:val="008948E9"/>
    <w:rsid w:val="0089552B"/>
    <w:rsid w:val="008956DB"/>
    <w:rsid w:val="00895B3B"/>
    <w:rsid w:val="00895E24"/>
    <w:rsid w:val="00896073"/>
    <w:rsid w:val="00896424"/>
    <w:rsid w:val="0089648B"/>
    <w:rsid w:val="008965F3"/>
    <w:rsid w:val="008966F1"/>
    <w:rsid w:val="0089678A"/>
    <w:rsid w:val="008967C0"/>
    <w:rsid w:val="00896F8B"/>
    <w:rsid w:val="008977F4"/>
    <w:rsid w:val="00897807"/>
    <w:rsid w:val="00897B99"/>
    <w:rsid w:val="00897C3B"/>
    <w:rsid w:val="00897F70"/>
    <w:rsid w:val="008A05D1"/>
    <w:rsid w:val="008A0C8E"/>
    <w:rsid w:val="008A0C96"/>
    <w:rsid w:val="008A0E76"/>
    <w:rsid w:val="008A166C"/>
    <w:rsid w:val="008A1800"/>
    <w:rsid w:val="008A2125"/>
    <w:rsid w:val="008A2172"/>
    <w:rsid w:val="008A2374"/>
    <w:rsid w:val="008A2409"/>
    <w:rsid w:val="008A2439"/>
    <w:rsid w:val="008A24A0"/>
    <w:rsid w:val="008A2B28"/>
    <w:rsid w:val="008A2BAB"/>
    <w:rsid w:val="008A30B1"/>
    <w:rsid w:val="008A3239"/>
    <w:rsid w:val="008A347D"/>
    <w:rsid w:val="008A3C26"/>
    <w:rsid w:val="008A3C34"/>
    <w:rsid w:val="008A402E"/>
    <w:rsid w:val="008A4142"/>
    <w:rsid w:val="008A43D9"/>
    <w:rsid w:val="008A45AA"/>
    <w:rsid w:val="008A4E69"/>
    <w:rsid w:val="008A4FA5"/>
    <w:rsid w:val="008A518E"/>
    <w:rsid w:val="008A53F0"/>
    <w:rsid w:val="008A565E"/>
    <w:rsid w:val="008A58B5"/>
    <w:rsid w:val="008A58B8"/>
    <w:rsid w:val="008A5AFF"/>
    <w:rsid w:val="008A61CF"/>
    <w:rsid w:val="008A6C37"/>
    <w:rsid w:val="008A6D0F"/>
    <w:rsid w:val="008A72D9"/>
    <w:rsid w:val="008A74ED"/>
    <w:rsid w:val="008A77AB"/>
    <w:rsid w:val="008B0017"/>
    <w:rsid w:val="008B07F7"/>
    <w:rsid w:val="008B0889"/>
    <w:rsid w:val="008B0CF1"/>
    <w:rsid w:val="008B1661"/>
    <w:rsid w:val="008B18A3"/>
    <w:rsid w:val="008B1E30"/>
    <w:rsid w:val="008B1E59"/>
    <w:rsid w:val="008B21C4"/>
    <w:rsid w:val="008B2247"/>
    <w:rsid w:val="008B2326"/>
    <w:rsid w:val="008B2A6D"/>
    <w:rsid w:val="008B30B0"/>
    <w:rsid w:val="008B31F2"/>
    <w:rsid w:val="008B332C"/>
    <w:rsid w:val="008B3557"/>
    <w:rsid w:val="008B39CB"/>
    <w:rsid w:val="008B3C94"/>
    <w:rsid w:val="008B3FE1"/>
    <w:rsid w:val="008B40D0"/>
    <w:rsid w:val="008B4495"/>
    <w:rsid w:val="008B475C"/>
    <w:rsid w:val="008B4926"/>
    <w:rsid w:val="008B4979"/>
    <w:rsid w:val="008B52B8"/>
    <w:rsid w:val="008B5439"/>
    <w:rsid w:val="008B5520"/>
    <w:rsid w:val="008B5786"/>
    <w:rsid w:val="008B5789"/>
    <w:rsid w:val="008B5D22"/>
    <w:rsid w:val="008B5E64"/>
    <w:rsid w:val="008B632F"/>
    <w:rsid w:val="008B67AF"/>
    <w:rsid w:val="008B68D9"/>
    <w:rsid w:val="008B7879"/>
    <w:rsid w:val="008B787B"/>
    <w:rsid w:val="008B79D9"/>
    <w:rsid w:val="008B7CC0"/>
    <w:rsid w:val="008C0C33"/>
    <w:rsid w:val="008C0C73"/>
    <w:rsid w:val="008C1422"/>
    <w:rsid w:val="008C168B"/>
    <w:rsid w:val="008C16E2"/>
    <w:rsid w:val="008C18AC"/>
    <w:rsid w:val="008C1FBF"/>
    <w:rsid w:val="008C219B"/>
    <w:rsid w:val="008C2652"/>
    <w:rsid w:val="008C2ADF"/>
    <w:rsid w:val="008C2C6B"/>
    <w:rsid w:val="008C3755"/>
    <w:rsid w:val="008C39A3"/>
    <w:rsid w:val="008C3F24"/>
    <w:rsid w:val="008C44D9"/>
    <w:rsid w:val="008C4600"/>
    <w:rsid w:val="008C4B12"/>
    <w:rsid w:val="008C4B46"/>
    <w:rsid w:val="008C4BB9"/>
    <w:rsid w:val="008C4BBA"/>
    <w:rsid w:val="008C4BD0"/>
    <w:rsid w:val="008C54B2"/>
    <w:rsid w:val="008C5501"/>
    <w:rsid w:val="008C575E"/>
    <w:rsid w:val="008C580C"/>
    <w:rsid w:val="008C5890"/>
    <w:rsid w:val="008C5D4A"/>
    <w:rsid w:val="008C5D77"/>
    <w:rsid w:val="008C5E2F"/>
    <w:rsid w:val="008C5E91"/>
    <w:rsid w:val="008C6199"/>
    <w:rsid w:val="008C6408"/>
    <w:rsid w:val="008C644D"/>
    <w:rsid w:val="008C6617"/>
    <w:rsid w:val="008C6678"/>
    <w:rsid w:val="008C6C78"/>
    <w:rsid w:val="008C6D58"/>
    <w:rsid w:val="008C727C"/>
    <w:rsid w:val="008C76B9"/>
    <w:rsid w:val="008C783E"/>
    <w:rsid w:val="008C7C56"/>
    <w:rsid w:val="008C7D97"/>
    <w:rsid w:val="008C7DAC"/>
    <w:rsid w:val="008C7F09"/>
    <w:rsid w:val="008D0290"/>
    <w:rsid w:val="008D0470"/>
    <w:rsid w:val="008D0564"/>
    <w:rsid w:val="008D07C0"/>
    <w:rsid w:val="008D0849"/>
    <w:rsid w:val="008D09EB"/>
    <w:rsid w:val="008D0A40"/>
    <w:rsid w:val="008D0C9D"/>
    <w:rsid w:val="008D0D10"/>
    <w:rsid w:val="008D0DC7"/>
    <w:rsid w:val="008D0DEB"/>
    <w:rsid w:val="008D0EDE"/>
    <w:rsid w:val="008D0F28"/>
    <w:rsid w:val="008D1187"/>
    <w:rsid w:val="008D1557"/>
    <w:rsid w:val="008D187E"/>
    <w:rsid w:val="008D1DE7"/>
    <w:rsid w:val="008D1E75"/>
    <w:rsid w:val="008D1E77"/>
    <w:rsid w:val="008D26FA"/>
    <w:rsid w:val="008D2842"/>
    <w:rsid w:val="008D2C69"/>
    <w:rsid w:val="008D2C8F"/>
    <w:rsid w:val="008D4157"/>
    <w:rsid w:val="008D45E2"/>
    <w:rsid w:val="008D46ED"/>
    <w:rsid w:val="008D4D76"/>
    <w:rsid w:val="008D4F61"/>
    <w:rsid w:val="008D5934"/>
    <w:rsid w:val="008D5E05"/>
    <w:rsid w:val="008D5EC3"/>
    <w:rsid w:val="008D5FF3"/>
    <w:rsid w:val="008D6356"/>
    <w:rsid w:val="008D6915"/>
    <w:rsid w:val="008D6C48"/>
    <w:rsid w:val="008D6CF4"/>
    <w:rsid w:val="008D7307"/>
    <w:rsid w:val="008D7460"/>
    <w:rsid w:val="008D7A47"/>
    <w:rsid w:val="008E061C"/>
    <w:rsid w:val="008E0918"/>
    <w:rsid w:val="008E11F9"/>
    <w:rsid w:val="008E1373"/>
    <w:rsid w:val="008E1379"/>
    <w:rsid w:val="008E13E3"/>
    <w:rsid w:val="008E1534"/>
    <w:rsid w:val="008E175F"/>
    <w:rsid w:val="008E1B9D"/>
    <w:rsid w:val="008E212B"/>
    <w:rsid w:val="008E2316"/>
    <w:rsid w:val="008E2AD6"/>
    <w:rsid w:val="008E2B59"/>
    <w:rsid w:val="008E2CE8"/>
    <w:rsid w:val="008E2E4B"/>
    <w:rsid w:val="008E33E2"/>
    <w:rsid w:val="008E3BF8"/>
    <w:rsid w:val="008E3EA5"/>
    <w:rsid w:val="008E4152"/>
    <w:rsid w:val="008E45E5"/>
    <w:rsid w:val="008E479B"/>
    <w:rsid w:val="008E4D94"/>
    <w:rsid w:val="008E4E41"/>
    <w:rsid w:val="008E5080"/>
    <w:rsid w:val="008E52FA"/>
    <w:rsid w:val="008E56FC"/>
    <w:rsid w:val="008E5991"/>
    <w:rsid w:val="008E5C85"/>
    <w:rsid w:val="008E5ED0"/>
    <w:rsid w:val="008E6261"/>
    <w:rsid w:val="008E6532"/>
    <w:rsid w:val="008E684F"/>
    <w:rsid w:val="008E6DB7"/>
    <w:rsid w:val="008E720E"/>
    <w:rsid w:val="008E75B3"/>
    <w:rsid w:val="008E7686"/>
    <w:rsid w:val="008E771D"/>
    <w:rsid w:val="008E7A09"/>
    <w:rsid w:val="008E7DD8"/>
    <w:rsid w:val="008F008F"/>
    <w:rsid w:val="008F0351"/>
    <w:rsid w:val="008F04B7"/>
    <w:rsid w:val="008F0608"/>
    <w:rsid w:val="008F0845"/>
    <w:rsid w:val="008F0AB8"/>
    <w:rsid w:val="008F1309"/>
    <w:rsid w:val="008F197A"/>
    <w:rsid w:val="008F1C52"/>
    <w:rsid w:val="008F1EAF"/>
    <w:rsid w:val="008F1FAD"/>
    <w:rsid w:val="008F255C"/>
    <w:rsid w:val="008F2779"/>
    <w:rsid w:val="008F2D04"/>
    <w:rsid w:val="008F313F"/>
    <w:rsid w:val="008F32A9"/>
    <w:rsid w:val="008F3353"/>
    <w:rsid w:val="008F33BF"/>
    <w:rsid w:val="008F3F0F"/>
    <w:rsid w:val="008F5173"/>
    <w:rsid w:val="008F577A"/>
    <w:rsid w:val="008F58DB"/>
    <w:rsid w:val="008F591F"/>
    <w:rsid w:val="008F5A54"/>
    <w:rsid w:val="008F6A08"/>
    <w:rsid w:val="008F6B96"/>
    <w:rsid w:val="008F7176"/>
    <w:rsid w:val="008F738C"/>
    <w:rsid w:val="008F7D48"/>
    <w:rsid w:val="0090097E"/>
    <w:rsid w:val="009009AD"/>
    <w:rsid w:val="00900DC7"/>
    <w:rsid w:val="00901267"/>
    <w:rsid w:val="009017AD"/>
    <w:rsid w:val="00901E9E"/>
    <w:rsid w:val="00901F68"/>
    <w:rsid w:val="00902014"/>
    <w:rsid w:val="00902512"/>
    <w:rsid w:val="009026B1"/>
    <w:rsid w:val="00902CCC"/>
    <w:rsid w:val="00902E46"/>
    <w:rsid w:val="009034A7"/>
    <w:rsid w:val="0090370C"/>
    <w:rsid w:val="00903914"/>
    <w:rsid w:val="00903EEA"/>
    <w:rsid w:val="00903F9F"/>
    <w:rsid w:val="0090445A"/>
    <w:rsid w:val="009049E0"/>
    <w:rsid w:val="00904D9F"/>
    <w:rsid w:val="00904FE4"/>
    <w:rsid w:val="009051AC"/>
    <w:rsid w:val="00905439"/>
    <w:rsid w:val="00905B62"/>
    <w:rsid w:val="00905B7C"/>
    <w:rsid w:val="00905DEC"/>
    <w:rsid w:val="00905FA7"/>
    <w:rsid w:val="009066D8"/>
    <w:rsid w:val="00906AC5"/>
    <w:rsid w:val="00906B0B"/>
    <w:rsid w:val="00906C69"/>
    <w:rsid w:val="00906CA2"/>
    <w:rsid w:val="00906DDF"/>
    <w:rsid w:val="00906DF3"/>
    <w:rsid w:val="00906DFA"/>
    <w:rsid w:val="009075DD"/>
    <w:rsid w:val="0090782C"/>
    <w:rsid w:val="00907B23"/>
    <w:rsid w:val="00907E95"/>
    <w:rsid w:val="00910599"/>
    <w:rsid w:val="00910732"/>
    <w:rsid w:val="00910C40"/>
    <w:rsid w:val="00910E24"/>
    <w:rsid w:val="0091118A"/>
    <w:rsid w:val="009111DF"/>
    <w:rsid w:val="0091127E"/>
    <w:rsid w:val="00911450"/>
    <w:rsid w:val="0091147A"/>
    <w:rsid w:val="00911747"/>
    <w:rsid w:val="0091175D"/>
    <w:rsid w:val="00911CF3"/>
    <w:rsid w:val="00911E1E"/>
    <w:rsid w:val="00911EC7"/>
    <w:rsid w:val="00912640"/>
    <w:rsid w:val="009129A2"/>
    <w:rsid w:val="00913133"/>
    <w:rsid w:val="00913334"/>
    <w:rsid w:val="00913DF3"/>
    <w:rsid w:val="00914315"/>
    <w:rsid w:val="009144D7"/>
    <w:rsid w:val="00914585"/>
    <w:rsid w:val="009145EB"/>
    <w:rsid w:val="009149EB"/>
    <w:rsid w:val="00915189"/>
    <w:rsid w:val="0091544F"/>
    <w:rsid w:val="00915681"/>
    <w:rsid w:val="009158BB"/>
    <w:rsid w:val="00915D60"/>
    <w:rsid w:val="00915E5E"/>
    <w:rsid w:val="00915F71"/>
    <w:rsid w:val="0091604C"/>
    <w:rsid w:val="009160AB"/>
    <w:rsid w:val="0091615B"/>
    <w:rsid w:val="00916AB0"/>
    <w:rsid w:val="009170E5"/>
    <w:rsid w:val="00917238"/>
    <w:rsid w:val="00917726"/>
    <w:rsid w:val="00917D58"/>
    <w:rsid w:val="00920000"/>
    <w:rsid w:val="0092005E"/>
    <w:rsid w:val="0092009F"/>
    <w:rsid w:val="0092013D"/>
    <w:rsid w:val="0092040A"/>
    <w:rsid w:val="0092059D"/>
    <w:rsid w:val="0092095F"/>
    <w:rsid w:val="00920B99"/>
    <w:rsid w:val="00920C2D"/>
    <w:rsid w:val="00920C88"/>
    <w:rsid w:val="00920F0C"/>
    <w:rsid w:val="0092175A"/>
    <w:rsid w:val="00921854"/>
    <w:rsid w:val="00921DCD"/>
    <w:rsid w:val="0092232E"/>
    <w:rsid w:val="00922336"/>
    <w:rsid w:val="00922A3B"/>
    <w:rsid w:val="00922A6F"/>
    <w:rsid w:val="00922B85"/>
    <w:rsid w:val="00922BBC"/>
    <w:rsid w:val="00922CF0"/>
    <w:rsid w:val="009233FF"/>
    <w:rsid w:val="009241BB"/>
    <w:rsid w:val="009243D5"/>
    <w:rsid w:val="00924418"/>
    <w:rsid w:val="00924B34"/>
    <w:rsid w:val="00925208"/>
    <w:rsid w:val="00925232"/>
    <w:rsid w:val="00925755"/>
    <w:rsid w:val="00925905"/>
    <w:rsid w:val="00926212"/>
    <w:rsid w:val="00926604"/>
    <w:rsid w:val="009267E5"/>
    <w:rsid w:val="00926EB1"/>
    <w:rsid w:val="0092770C"/>
    <w:rsid w:val="0092773F"/>
    <w:rsid w:val="00927781"/>
    <w:rsid w:val="009278AC"/>
    <w:rsid w:val="00927C0B"/>
    <w:rsid w:val="00930024"/>
    <w:rsid w:val="009301AA"/>
    <w:rsid w:val="00930225"/>
    <w:rsid w:val="00930BAC"/>
    <w:rsid w:val="00930E0B"/>
    <w:rsid w:val="00931BE8"/>
    <w:rsid w:val="00931E0F"/>
    <w:rsid w:val="00932036"/>
    <w:rsid w:val="0093213F"/>
    <w:rsid w:val="00932616"/>
    <w:rsid w:val="009326D0"/>
    <w:rsid w:val="009340CD"/>
    <w:rsid w:val="009340D6"/>
    <w:rsid w:val="009347B3"/>
    <w:rsid w:val="00934844"/>
    <w:rsid w:val="00934AF6"/>
    <w:rsid w:val="00934DA1"/>
    <w:rsid w:val="00935320"/>
    <w:rsid w:val="0093534A"/>
    <w:rsid w:val="00935487"/>
    <w:rsid w:val="009357CF"/>
    <w:rsid w:val="00935AA8"/>
    <w:rsid w:val="00935C00"/>
    <w:rsid w:val="00936033"/>
    <w:rsid w:val="0093614C"/>
    <w:rsid w:val="009363F5"/>
    <w:rsid w:val="00936AAB"/>
    <w:rsid w:val="00936D1D"/>
    <w:rsid w:val="00937449"/>
    <w:rsid w:val="0093756C"/>
    <w:rsid w:val="009379C3"/>
    <w:rsid w:val="00937A0E"/>
    <w:rsid w:val="009404B7"/>
    <w:rsid w:val="00940608"/>
    <w:rsid w:val="00940621"/>
    <w:rsid w:val="0094075C"/>
    <w:rsid w:val="009409B1"/>
    <w:rsid w:val="00941049"/>
    <w:rsid w:val="0094129E"/>
    <w:rsid w:val="009413F0"/>
    <w:rsid w:val="009415E0"/>
    <w:rsid w:val="00941789"/>
    <w:rsid w:val="009420C8"/>
    <w:rsid w:val="00942439"/>
    <w:rsid w:val="00942B25"/>
    <w:rsid w:val="00942EDA"/>
    <w:rsid w:val="0094344D"/>
    <w:rsid w:val="0094349E"/>
    <w:rsid w:val="00943A2E"/>
    <w:rsid w:val="00944316"/>
    <w:rsid w:val="009445DA"/>
    <w:rsid w:val="00944A89"/>
    <w:rsid w:val="0094520B"/>
    <w:rsid w:val="00945707"/>
    <w:rsid w:val="00945834"/>
    <w:rsid w:val="00945B16"/>
    <w:rsid w:val="00945E81"/>
    <w:rsid w:val="00945F4B"/>
    <w:rsid w:val="00945FFD"/>
    <w:rsid w:val="009460E1"/>
    <w:rsid w:val="009467B5"/>
    <w:rsid w:val="00946B0F"/>
    <w:rsid w:val="0094788B"/>
    <w:rsid w:val="009479A0"/>
    <w:rsid w:val="00947ACC"/>
    <w:rsid w:val="00950190"/>
    <w:rsid w:val="00950406"/>
    <w:rsid w:val="00950927"/>
    <w:rsid w:val="00951A02"/>
    <w:rsid w:val="00951F31"/>
    <w:rsid w:val="00952235"/>
    <w:rsid w:val="0095227B"/>
    <w:rsid w:val="0095252C"/>
    <w:rsid w:val="009530D7"/>
    <w:rsid w:val="0095353B"/>
    <w:rsid w:val="00953A38"/>
    <w:rsid w:val="00953C29"/>
    <w:rsid w:val="00953CCF"/>
    <w:rsid w:val="00953E7D"/>
    <w:rsid w:val="00953FEE"/>
    <w:rsid w:val="00954304"/>
    <w:rsid w:val="00954930"/>
    <w:rsid w:val="00954B86"/>
    <w:rsid w:val="00955B8B"/>
    <w:rsid w:val="00955D61"/>
    <w:rsid w:val="00955DF4"/>
    <w:rsid w:val="0095648D"/>
    <w:rsid w:val="0095693D"/>
    <w:rsid w:val="00956C48"/>
    <w:rsid w:val="00956D95"/>
    <w:rsid w:val="00956E41"/>
    <w:rsid w:val="00956F24"/>
    <w:rsid w:val="009572B9"/>
    <w:rsid w:val="009572ED"/>
    <w:rsid w:val="00957698"/>
    <w:rsid w:val="00957889"/>
    <w:rsid w:val="00960216"/>
    <w:rsid w:val="00960391"/>
    <w:rsid w:val="00960DAF"/>
    <w:rsid w:val="00961026"/>
    <w:rsid w:val="0096147A"/>
    <w:rsid w:val="0096150E"/>
    <w:rsid w:val="0096153E"/>
    <w:rsid w:val="00961A8C"/>
    <w:rsid w:val="00961B75"/>
    <w:rsid w:val="00961FDB"/>
    <w:rsid w:val="009624DC"/>
    <w:rsid w:val="00962C9E"/>
    <w:rsid w:val="00962FB2"/>
    <w:rsid w:val="0096348F"/>
    <w:rsid w:val="00963A36"/>
    <w:rsid w:val="00964471"/>
    <w:rsid w:val="00964537"/>
    <w:rsid w:val="00964E19"/>
    <w:rsid w:val="00964EA9"/>
    <w:rsid w:val="009652E6"/>
    <w:rsid w:val="00965426"/>
    <w:rsid w:val="00965778"/>
    <w:rsid w:val="00965B02"/>
    <w:rsid w:val="0096601D"/>
    <w:rsid w:val="00966057"/>
    <w:rsid w:val="009661A1"/>
    <w:rsid w:val="009666C7"/>
    <w:rsid w:val="00967BF5"/>
    <w:rsid w:val="00967F87"/>
    <w:rsid w:val="0097000E"/>
    <w:rsid w:val="00970634"/>
    <w:rsid w:val="00970698"/>
    <w:rsid w:val="00970D68"/>
    <w:rsid w:val="009716AB"/>
    <w:rsid w:val="00971E58"/>
    <w:rsid w:val="009720A3"/>
    <w:rsid w:val="00972686"/>
    <w:rsid w:val="009726BE"/>
    <w:rsid w:val="00972A8F"/>
    <w:rsid w:val="00972B91"/>
    <w:rsid w:val="00973628"/>
    <w:rsid w:val="00973675"/>
    <w:rsid w:val="00973E91"/>
    <w:rsid w:val="00973F85"/>
    <w:rsid w:val="00974097"/>
    <w:rsid w:val="009743DC"/>
    <w:rsid w:val="00974482"/>
    <w:rsid w:val="009749E0"/>
    <w:rsid w:val="00974C3D"/>
    <w:rsid w:val="00974DAA"/>
    <w:rsid w:val="00974E1F"/>
    <w:rsid w:val="00974F26"/>
    <w:rsid w:val="00975EC0"/>
    <w:rsid w:val="009766A4"/>
    <w:rsid w:val="0097681E"/>
    <w:rsid w:val="0097732E"/>
    <w:rsid w:val="0097738F"/>
    <w:rsid w:val="009778D1"/>
    <w:rsid w:val="009812BD"/>
    <w:rsid w:val="009813DB"/>
    <w:rsid w:val="00981466"/>
    <w:rsid w:val="00982254"/>
    <w:rsid w:val="00982BC5"/>
    <w:rsid w:val="009832FC"/>
    <w:rsid w:val="00983B52"/>
    <w:rsid w:val="00983C03"/>
    <w:rsid w:val="00984FC5"/>
    <w:rsid w:val="00985087"/>
    <w:rsid w:val="00985279"/>
    <w:rsid w:val="00985590"/>
    <w:rsid w:val="00985919"/>
    <w:rsid w:val="00985BD8"/>
    <w:rsid w:val="00985F69"/>
    <w:rsid w:val="00985F70"/>
    <w:rsid w:val="00986392"/>
    <w:rsid w:val="00986A4F"/>
    <w:rsid w:val="00986B9E"/>
    <w:rsid w:val="00986FDA"/>
    <w:rsid w:val="00987007"/>
    <w:rsid w:val="00987086"/>
    <w:rsid w:val="00987CF6"/>
    <w:rsid w:val="00987E2F"/>
    <w:rsid w:val="0099019B"/>
    <w:rsid w:val="00990969"/>
    <w:rsid w:val="00990C75"/>
    <w:rsid w:val="009910B0"/>
    <w:rsid w:val="009919E7"/>
    <w:rsid w:val="009922DD"/>
    <w:rsid w:val="009931F1"/>
    <w:rsid w:val="0099397B"/>
    <w:rsid w:val="00993C8D"/>
    <w:rsid w:val="009942D3"/>
    <w:rsid w:val="00994714"/>
    <w:rsid w:val="009947D4"/>
    <w:rsid w:val="00994B75"/>
    <w:rsid w:val="0099560B"/>
    <w:rsid w:val="009960D1"/>
    <w:rsid w:val="009961A3"/>
    <w:rsid w:val="00996376"/>
    <w:rsid w:val="0099684E"/>
    <w:rsid w:val="00996C93"/>
    <w:rsid w:val="00996CC9"/>
    <w:rsid w:val="0099792E"/>
    <w:rsid w:val="009979DB"/>
    <w:rsid w:val="00997B44"/>
    <w:rsid w:val="009A02ED"/>
    <w:rsid w:val="009A0488"/>
    <w:rsid w:val="009A0501"/>
    <w:rsid w:val="009A0893"/>
    <w:rsid w:val="009A0A01"/>
    <w:rsid w:val="009A0E54"/>
    <w:rsid w:val="009A143E"/>
    <w:rsid w:val="009A200F"/>
    <w:rsid w:val="009A243D"/>
    <w:rsid w:val="009A26E5"/>
    <w:rsid w:val="009A29AE"/>
    <w:rsid w:val="009A2DF2"/>
    <w:rsid w:val="009A306A"/>
    <w:rsid w:val="009A3324"/>
    <w:rsid w:val="009A334C"/>
    <w:rsid w:val="009A36AF"/>
    <w:rsid w:val="009A3905"/>
    <w:rsid w:val="009A3998"/>
    <w:rsid w:val="009A3A0F"/>
    <w:rsid w:val="009A3DED"/>
    <w:rsid w:val="009A3EBE"/>
    <w:rsid w:val="009A4228"/>
    <w:rsid w:val="009A4460"/>
    <w:rsid w:val="009A4B90"/>
    <w:rsid w:val="009A4C4C"/>
    <w:rsid w:val="009A4DBA"/>
    <w:rsid w:val="009A516B"/>
    <w:rsid w:val="009A5273"/>
    <w:rsid w:val="009A53D4"/>
    <w:rsid w:val="009A5542"/>
    <w:rsid w:val="009A5BED"/>
    <w:rsid w:val="009A6390"/>
    <w:rsid w:val="009A65D2"/>
    <w:rsid w:val="009A6C7D"/>
    <w:rsid w:val="009A6F1A"/>
    <w:rsid w:val="009A7193"/>
    <w:rsid w:val="009A7454"/>
    <w:rsid w:val="009A7F5E"/>
    <w:rsid w:val="009B000A"/>
    <w:rsid w:val="009B00F9"/>
    <w:rsid w:val="009B06F4"/>
    <w:rsid w:val="009B0EB7"/>
    <w:rsid w:val="009B0F94"/>
    <w:rsid w:val="009B172F"/>
    <w:rsid w:val="009B17CA"/>
    <w:rsid w:val="009B1BD7"/>
    <w:rsid w:val="009B1BF5"/>
    <w:rsid w:val="009B1D6F"/>
    <w:rsid w:val="009B2200"/>
    <w:rsid w:val="009B2324"/>
    <w:rsid w:val="009B2494"/>
    <w:rsid w:val="009B2699"/>
    <w:rsid w:val="009B2814"/>
    <w:rsid w:val="009B2B1B"/>
    <w:rsid w:val="009B2B53"/>
    <w:rsid w:val="009B2F3A"/>
    <w:rsid w:val="009B365D"/>
    <w:rsid w:val="009B38A8"/>
    <w:rsid w:val="009B3E1A"/>
    <w:rsid w:val="009B527C"/>
    <w:rsid w:val="009B587D"/>
    <w:rsid w:val="009B5AC2"/>
    <w:rsid w:val="009B6688"/>
    <w:rsid w:val="009B68C0"/>
    <w:rsid w:val="009B78EB"/>
    <w:rsid w:val="009B7A58"/>
    <w:rsid w:val="009B7AC3"/>
    <w:rsid w:val="009C00A8"/>
    <w:rsid w:val="009C0801"/>
    <w:rsid w:val="009C0817"/>
    <w:rsid w:val="009C0890"/>
    <w:rsid w:val="009C0A53"/>
    <w:rsid w:val="009C0D83"/>
    <w:rsid w:val="009C1014"/>
    <w:rsid w:val="009C1047"/>
    <w:rsid w:val="009C18C2"/>
    <w:rsid w:val="009C299A"/>
    <w:rsid w:val="009C2AA6"/>
    <w:rsid w:val="009C2D74"/>
    <w:rsid w:val="009C2DC1"/>
    <w:rsid w:val="009C3453"/>
    <w:rsid w:val="009C354D"/>
    <w:rsid w:val="009C3FC4"/>
    <w:rsid w:val="009C42A3"/>
    <w:rsid w:val="009C4302"/>
    <w:rsid w:val="009C4742"/>
    <w:rsid w:val="009C4954"/>
    <w:rsid w:val="009C4CF9"/>
    <w:rsid w:val="009C4D8D"/>
    <w:rsid w:val="009C5078"/>
    <w:rsid w:val="009C50BE"/>
    <w:rsid w:val="009C52FC"/>
    <w:rsid w:val="009C5684"/>
    <w:rsid w:val="009C5B60"/>
    <w:rsid w:val="009C62AF"/>
    <w:rsid w:val="009C6532"/>
    <w:rsid w:val="009C68AC"/>
    <w:rsid w:val="009C6F68"/>
    <w:rsid w:val="009C704C"/>
    <w:rsid w:val="009C71CE"/>
    <w:rsid w:val="009C7B30"/>
    <w:rsid w:val="009C7E97"/>
    <w:rsid w:val="009D0230"/>
    <w:rsid w:val="009D0422"/>
    <w:rsid w:val="009D0892"/>
    <w:rsid w:val="009D08E4"/>
    <w:rsid w:val="009D09FA"/>
    <w:rsid w:val="009D0B8E"/>
    <w:rsid w:val="009D0BC2"/>
    <w:rsid w:val="009D0F95"/>
    <w:rsid w:val="009D11C0"/>
    <w:rsid w:val="009D1203"/>
    <w:rsid w:val="009D195E"/>
    <w:rsid w:val="009D1A86"/>
    <w:rsid w:val="009D214E"/>
    <w:rsid w:val="009D2270"/>
    <w:rsid w:val="009D23DB"/>
    <w:rsid w:val="009D2406"/>
    <w:rsid w:val="009D254B"/>
    <w:rsid w:val="009D29A8"/>
    <w:rsid w:val="009D2CA7"/>
    <w:rsid w:val="009D2D76"/>
    <w:rsid w:val="009D3410"/>
    <w:rsid w:val="009D376D"/>
    <w:rsid w:val="009D3D50"/>
    <w:rsid w:val="009D3E8E"/>
    <w:rsid w:val="009D4095"/>
    <w:rsid w:val="009D40B4"/>
    <w:rsid w:val="009D417A"/>
    <w:rsid w:val="009D4833"/>
    <w:rsid w:val="009D4B2B"/>
    <w:rsid w:val="009D4BE7"/>
    <w:rsid w:val="009D566B"/>
    <w:rsid w:val="009D5851"/>
    <w:rsid w:val="009D5A28"/>
    <w:rsid w:val="009D5C81"/>
    <w:rsid w:val="009D5E3D"/>
    <w:rsid w:val="009D6576"/>
    <w:rsid w:val="009D6734"/>
    <w:rsid w:val="009D7350"/>
    <w:rsid w:val="009D7523"/>
    <w:rsid w:val="009D7833"/>
    <w:rsid w:val="009D7C2A"/>
    <w:rsid w:val="009D7C42"/>
    <w:rsid w:val="009D7F4F"/>
    <w:rsid w:val="009E01C1"/>
    <w:rsid w:val="009E03FF"/>
    <w:rsid w:val="009E0882"/>
    <w:rsid w:val="009E09CA"/>
    <w:rsid w:val="009E1714"/>
    <w:rsid w:val="009E1C4A"/>
    <w:rsid w:val="009E1DD1"/>
    <w:rsid w:val="009E1FD1"/>
    <w:rsid w:val="009E2073"/>
    <w:rsid w:val="009E2C3F"/>
    <w:rsid w:val="009E2E5A"/>
    <w:rsid w:val="009E2F4D"/>
    <w:rsid w:val="009E2FB1"/>
    <w:rsid w:val="009E3B81"/>
    <w:rsid w:val="009E3D0F"/>
    <w:rsid w:val="009E3E5E"/>
    <w:rsid w:val="009E4094"/>
    <w:rsid w:val="009E446D"/>
    <w:rsid w:val="009E4871"/>
    <w:rsid w:val="009E495F"/>
    <w:rsid w:val="009E5492"/>
    <w:rsid w:val="009E598C"/>
    <w:rsid w:val="009E5AE4"/>
    <w:rsid w:val="009E5FE9"/>
    <w:rsid w:val="009E60B2"/>
    <w:rsid w:val="009E6197"/>
    <w:rsid w:val="009E644F"/>
    <w:rsid w:val="009E6734"/>
    <w:rsid w:val="009E68A8"/>
    <w:rsid w:val="009E68C9"/>
    <w:rsid w:val="009E6C25"/>
    <w:rsid w:val="009E6E9C"/>
    <w:rsid w:val="009E717D"/>
    <w:rsid w:val="009E75A3"/>
    <w:rsid w:val="009E7791"/>
    <w:rsid w:val="009E783A"/>
    <w:rsid w:val="009F07B7"/>
    <w:rsid w:val="009F0BF0"/>
    <w:rsid w:val="009F0C4A"/>
    <w:rsid w:val="009F16F0"/>
    <w:rsid w:val="009F17CB"/>
    <w:rsid w:val="009F1828"/>
    <w:rsid w:val="009F216D"/>
    <w:rsid w:val="009F22D8"/>
    <w:rsid w:val="009F24AF"/>
    <w:rsid w:val="009F27A4"/>
    <w:rsid w:val="009F2BFD"/>
    <w:rsid w:val="009F2C6B"/>
    <w:rsid w:val="009F2F8E"/>
    <w:rsid w:val="009F3E58"/>
    <w:rsid w:val="009F4002"/>
    <w:rsid w:val="009F4684"/>
    <w:rsid w:val="009F48F0"/>
    <w:rsid w:val="009F4B49"/>
    <w:rsid w:val="009F4D10"/>
    <w:rsid w:val="009F4D9D"/>
    <w:rsid w:val="009F52FF"/>
    <w:rsid w:val="009F5613"/>
    <w:rsid w:val="009F5923"/>
    <w:rsid w:val="009F5D08"/>
    <w:rsid w:val="009F5D23"/>
    <w:rsid w:val="009F6151"/>
    <w:rsid w:val="009F6181"/>
    <w:rsid w:val="009F635E"/>
    <w:rsid w:val="009F660B"/>
    <w:rsid w:val="009F6DA7"/>
    <w:rsid w:val="009F6E09"/>
    <w:rsid w:val="009F750D"/>
    <w:rsid w:val="009F794C"/>
    <w:rsid w:val="009F7D39"/>
    <w:rsid w:val="009F7FA3"/>
    <w:rsid w:val="00A00505"/>
    <w:rsid w:val="00A013F6"/>
    <w:rsid w:val="00A01915"/>
    <w:rsid w:val="00A01AAB"/>
    <w:rsid w:val="00A01B5E"/>
    <w:rsid w:val="00A01C7A"/>
    <w:rsid w:val="00A021D3"/>
    <w:rsid w:val="00A0269B"/>
    <w:rsid w:val="00A03528"/>
    <w:rsid w:val="00A037B4"/>
    <w:rsid w:val="00A03C88"/>
    <w:rsid w:val="00A041AD"/>
    <w:rsid w:val="00A044F6"/>
    <w:rsid w:val="00A04797"/>
    <w:rsid w:val="00A04EA8"/>
    <w:rsid w:val="00A05721"/>
    <w:rsid w:val="00A058D9"/>
    <w:rsid w:val="00A059B8"/>
    <w:rsid w:val="00A05A5A"/>
    <w:rsid w:val="00A063DA"/>
    <w:rsid w:val="00A06463"/>
    <w:rsid w:val="00A064CB"/>
    <w:rsid w:val="00A06512"/>
    <w:rsid w:val="00A06708"/>
    <w:rsid w:val="00A069FA"/>
    <w:rsid w:val="00A06A7F"/>
    <w:rsid w:val="00A06B3C"/>
    <w:rsid w:val="00A071C3"/>
    <w:rsid w:val="00A073FF"/>
    <w:rsid w:val="00A078E5"/>
    <w:rsid w:val="00A0798A"/>
    <w:rsid w:val="00A07D72"/>
    <w:rsid w:val="00A10060"/>
    <w:rsid w:val="00A10127"/>
    <w:rsid w:val="00A101DE"/>
    <w:rsid w:val="00A10471"/>
    <w:rsid w:val="00A10502"/>
    <w:rsid w:val="00A10521"/>
    <w:rsid w:val="00A10C5A"/>
    <w:rsid w:val="00A11A6D"/>
    <w:rsid w:val="00A11F42"/>
    <w:rsid w:val="00A11F52"/>
    <w:rsid w:val="00A12356"/>
    <w:rsid w:val="00A1235F"/>
    <w:rsid w:val="00A12643"/>
    <w:rsid w:val="00A12A98"/>
    <w:rsid w:val="00A12D57"/>
    <w:rsid w:val="00A12DB7"/>
    <w:rsid w:val="00A12EE3"/>
    <w:rsid w:val="00A131C9"/>
    <w:rsid w:val="00A13BA4"/>
    <w:rsid w:val="00A13D18"/>
    <w:rsid w:val="00A13D20"/>
    <w:rsid w:val="00A13F92"/>
    <w:rsid w:val="00A14149"/>
    <w:rsid w:val="00A14369"/>
    <w:rsid w:val="00A1454C"/>
    <w:rsid w:val="00A14661"/>
    <w:rsid w:val="00A152C0"/>
    <w:rsid w:val="00A15E41"/>
    <w:rsid w:val="00A1617A"/>
    <w:rsid w:val="00A161EA"/>
    <w:rsid w:val="00A16648"/>
    <w:rsid w:val="00A166BC"/>
    <w:rsid w:val="00A168C9"/>
    <w:rsid w:val="00A175B4"/>
    <w:rsid w:val="00A176CA"/>
    <w:rsid w:val="00A178D4"/>
    <w:rsid w:val="00A17B67"/>
    <w:rsid w:val="00A17F13"/>
    <w:rsid w:val="00A17FB1"/>
    <w:rsid w:val="00A2041D"/>
    <w:rsid w:val="00A20623"/>
    <w:rsid w:val="00A2098A"/>
    <w:rsid w:val="00A20ADC"/>
    <w:rsid w:val="00A20C0D"/>
    <w:rsid w:val="00A20C33"/>
    <w:rsid w:val="00A20DE6"/>
    <w:rsid w:val="00A21116"/>
    <w:rsid w:val="00A21126"/>
    <w:rsid w:val="00A21149"/>
    <w:rsid w:val="00A21250"/>
    <w:rsid w:val="00A21313"/>
    <w:rsid w:val="00A214B7"/>
    <w:rsid w:val="00A214BE"/>
    <w:rsid w:val="00A216C4"/>
    <w:rsid w:val="00A21ABB"/>
    <w:rsid w:val="00A224BC"/>
    <w:rsid w:val="00A22560"/>
    <w:rsid w:val="00A228C5"/>
    <w:rsid w:val="00A22901"/>
    <w:rsid w:val="00A22DB6"/>
    <w:rsid w:val="00A22DEA"/>
    <w:rsid w:val="00A22FD6"/>
    <w:rsid w:val="00A230A6"/>
    <w:rsid w:val="00A2354F"/>
    <w:rsid w:val="00A23ED5"/>
    <w:rsid w:val="00A24D16"/>
    <w:rsid w:val="00A24E73"/>
    <w:rsid w:val="00A259E6"/>
    <w:rsid w:val="00A25D85"/>
    <w:rsid w:val="00A25DDD"/>
    <w:rsid w:val="00A26382"/>
    <w:rsid w:val="00A26958"/>
    <w:rsid w:val="00A26B38"/>
    <w:rsid w:val="00A26B3E"/>
    <w:rsid w:val="00A26C21"/>
    <w:rsid w:val="00A26D72"/>
    <w:rsid w:val="00A270AF"/>
    <w:rsid w:val="00A27C50"/>
    <w:rsid w:val="00A27C55"/>
    <w:rsid w:val="00A3035E"/>
    <w:rsid w:val="00A303C8"/>
    <w:rsid w:val="00A305E9"/>
    <w:rsid w:val="00A30B44"/>
    <w:rsid w:val="00A31566"/>
    <w:rsid w:val="00A31E5A"/>
    <w:rsid w:val="00A32584"/>
    <w:rsid w:val="00A32BB5"/>
    <w:rsid w:val="00A33001"/>
    <w:rsid w:val="00A33274"/>
    <w:rsid w:val="00A33679"/>
    <w:rsid w:val="00A33726"/>
    <w:rsid w:val="00A337A9"/>
    <w:rsid w:val="00A33E29"/>
    <w:rsid w:val="00A3416A"/>
    <w:rsid w:val="00A344EA"/>
    <w:rsid w:val="00A345F3"/>
    <w:rsid w:val="00A34CB6"/>
    <w:rsid w:val="00A351B1"/>
    <w:rsid w:val="00A35441"/>
    <w:rsid w:val="00A35817"/>
    <w:rsid w:val="00A35861"/>
    <w:rsid w:val="00A35D9F"/>
    <w:rsid w:val="00A36159"/>
    <w:rsid w:val="00A3695E"/>
    <w:rsid w:val="00A3696E"/>
    <w:rsid w:val="00A36A66"/>
    <w:rsid w:val="00A36FD8"/>
    <w:rsid w:val="00A371AA"/>
    <w:rsid w:val="00A376EA"/>
    <w:rsid w:val="00A37A00"/>
    <w:rsid w:val="00A40A41"/>
    <w:rsid w:val="00A4104F"/>
    <w:rsid w:val="00A4165C"/>
    <w:rsid w:val="00A41907"/>
    <w:rsid w:val="00A41B02"/>
    <w:rsid w:val="00A42441"/>
    <w:rsid w:val="00A4272F"/>
    <w:rsid w:val="00A429B2"/>
    <w:rsid w:val="00A42CC1"/>
    <w:rsid w:val="00A43861"/>
    <w:rsid w:val="00A43A8F"/>
    <w:rsid w:val="00A43D6B"/>
    <w:rsid w:val="00A4554E"/>
    <w:rsid w:val="00A45CF9"/>
    <w:rsid w:val="00A4602A"/>
    <w:rsid w:val="00A4676C"/>
    <w:rsid w:val="00A46F1A"/>
    <w:rsid w:val="00A473D1"/>
    <w:rsid w:val="00A47D38"/>
    <w:rsid w:val="00A50CEE"/>
    <w:rsid w:val="00A512F1"/>
    <w:rsid w:val="00A514FE"/>
    <w:rsid w:val="00A51634"/>
    <w:rsid w:val="00A51C5F"/>
    <w:rsid w:val="00A5259B"/>
    <w:rsid w:val="00A525E6"/>
    <w:rsid w:val="00A527F3"/>
    <w:rsid w:val="00A5294A"/>
    <w:rsid w:val="00A52D1A"/>
    <w:rsid w:val="00A53133"/>
    <w:rsid w:val="00A539E5"/>
    <w:rsid w:val="00A53CE4"/>
    <w:rsid w:val="00A5457D"/>
    <w:rsid w:val="00A545D7"/>
    <w:rsid w:val="00A546E6"/>
    <w:rsid w:val="00A55092"/>
    <w:rsid w:val="00A550C7"/>
    <w:rsid w:val="00A55529"/>
    <w:rsid w:val="00A55AA7"/>
    <w:rsid w:val="00A55B5C"/>
    <w:rsid w:val="00A55C6E"/>
    <w:rsid w:val="00A55D33"/>
    <w:rsid w:val="00A55D71"/>
    <w:rsid w:val="00A55E75"/>
    <w:rsid w:val="00A55EEE"/>
    <w:rsid w:val="00A564A9"/>
    <w:rsid w:val="00A56985"/>
    <w:rsid w:val="00A56E81"/>
    <w:rsid w:val="00A575B0"/>
    <w:rsid w:val="00A57704"/>
    <w:rsid w:val="00A57821"/>
    <w:rsid w:val="00A60307"/>
    <w:rsid w:val="00A614A7"/>
    <w:rsid w:val="00A61813"/>
    <w:rsid w:val="00A623A7"/>
    <w:rsid w:val="00A624AA"/>
    <w:rsid w:val="00A6282E"/>
    <w:rsid w:val="00A62926"/>
    <w:rsid w:val="00A63132"/>
    <w:rsid w:val="00A63907"/>
    <w:rsid w:val="00A639D5"/>
    <w:rsid w:val="00A63E04"/>
    <w:rsid w:val="00A644DD"/>
    <w:rsid w:val="00A647FF"/>
    <w:rsid w:val="00A6508B"/>
    <w:rsid w:val="00A650A7"/>
    <w:rsid w:val="00A65226"/>
    <w:rsid w:val="00A655BE"/>
    <w:rsid w:val="00A655F2"/>
    <w:rsid w:val="00A65D39"/>
    <w:rsid w:val="00A65F99"/>
    <w:rsid w:val="00A663AF"/>
    <w:rsid w:val="00A66502"/>
    <w:rsid w:val="00A6659D"/>
    <w:rsid w:val="00A66799"/>
    <w:rsid w:val="00A66F75"/>
    <w:rsid w:val="00A671B7"/>
    <w:rsid w:val="00A67ED3"/>
    <w:rsid w:val="00A67F17"/>
    <w:rsid w:val="00A706AB"/>
    <w:rsid w:val="00A707F2"/>
    <w:rsid w:val="00A7082F"/>
    <w:rsid w:val="00A708E6"/>
    <w:rsid w:val="00A70BA2"/>
    <w:rsid w:val="00A712A9"/>
    <w:rsid w:val="00A719A4"/>
    <w:rsid w:val="00A720F5"/>
    <w:rsid w:val="00A7233A"/>
    <w:rsid w:val="00A723BC"/>
    <w:rsid w:val="00A72717"/>
    <w:rsid w:val="00A72894"/>
    <w:rsid w:val="00A72914"/>
    <w:rsid w:val="00A72ACC"/>
    <w:rsid w:val="00A72F58"/>
    <w:rsid w:val="00A73285"/>
    <w:rsid w:val="00A73472"/>
    <w:rsid w:val="00A7370A"/>
    <w:rsid w:val="00A73D99"/>
    <w:rsid w:val="00A7457F"/>
    <w:rsid w:val="00A74E40"/>
    <w:rsid w:val="00A75C4D"/>
    <w:rsid w:val="00A76072"/>
    <w:rsid w:val="00A768D1"/>
    <w:rsid w:val="00A76DFB"/>
    <w:rsid w:val="00A77692"/>
    <w:rsid w:val="00A77742"/>
    <w:rsid w:val="00A77D98"/>
    <w:rsid w:val="00A80238"/>
    <w:rsid w:val="00A8174E"/>
    <w:rsid w:val="00A82DB1"/>
    <w:rsid w:val="00A83213"/>
    <w:rsid w:val="00A83838"/>
    <w:rsid w:val="00A83989"/>
    <w:rsid w:val="00A84036"/>
    <w:rsid w:val="00A841D8"/>
    <w:rsid w:val="00A842E1"/>
    <w:rsid w:val="00A849C5"/>
    <w:rsid w:val="00A84AEE"/>
    <w:rsid w:val="00A84B4F"/>
    <w:rsid w:val="00A84DB0"/>
    <w:rsid w:val="00A850D8"/>
    <w:rsid w:val="00A8547C"/>
    <w:rsid w:val="00A85500"/>
    <w:rsid w:val="00A85A0B"/>
    <w:rsid w:val="00A85E3F"/>
    <w:rsid w:val="00A85E56"/>
    <w:rsid w:val="00A860C8"/>
    <w:rsid w:val="00A866C6"/>
    <w:rsid w:val="00A8692C"/>
    <w:rsid w:val="00A86A14"/>
    <w:rsid w:val="00A86BA9"/>
    <w:rsid w:val="00A86C84"/>
    <w:rsid w:val="00A87180"/>
    <w:rsid w:val="00A87206"/>
    <w:rsid w:val="00A8722F"/>
    <w:rsid w:val="00A87825"/>
    <w:rsid w:val="00A87AE0"/>
    <w:rsid w:val="00A87B6E"/>
    <w:rsid w:val="00A900DE"/>
    <w:rsid w:val="00A901B8"/>
    <w:rsid w:val="00A9038F"/>
    <w:rsid w:val="00A90647"/>
    <w:rsid w:val="00A906C2"/>
    <w:rsid w:val="00A909B7"/>
    <w:rsid w:val="00A90BDB"/>
    <w:rsid w:val="00A90BEA"/>
    <w:rsid w:val="00A90EED"/>
    <w:rsid w:val="00A91DC5"/>
    <w:rsid w:val="00A9238B"/>
    <w:rsid w:val="00A9266D"/>
    <w:rsid w:val="00A926BC"/>
    <w:rsid w:val="00A92770"/>
    <w:rsid w:val="00A92B0F"/>
    <w:rsid w:val="00A92EA7"/>
    <w:rsid w:val="00A939D6"/>
    <w:rsid w:val="00A93DD4"/>
    <w:rsid w:val="00A93DF1"/>
    <w:rsid w:val="00A93E04"/>
    <w:rsid w:val="00A93EF1"/>
    <w:rsid w:val="00A93F20"/>
    <w:rsid w:val="00A94078"/>
    <w:rsid w:val="00A94487"/>
    <w:rsid w:val="00A9448D"/>
    <w:rsid w:val="00A94A6B"/>
    <w:rsid w:val="00A94AA5"/>
    <w:rsid w:val="00A94BE6"/>
    <w:rsid w:val="00A950A4"/>
    <w:rsid w:val="00A95496"/>
    <w:rsid w:val="00A956A2"/>
    <w:rsid w:val="00A95AA2"/>
    <w:rsid w:val="00A95D1C"/>
    <w:rsid w:val="00A95E15"/>
    <w:rsid w:val="00A963D3"/>
    <w:rsid w:val="00A96532"/>
    <w:rsid w:val="00A96D12"/>
    <w:rsid w:val="00A96E55"/>
    <w:rsid w:val="00A96E60"/>
    <w:rsid w:val="00A9714B"/>
    <w:rsid w:val="00A972A1"/>
    <w:rsid w:val="00A973AF"/>
    <w:rsid w:val="00A97AF4"/>
    <w:rsid w:val="00A97DF6"/>
    <w:rsid w:val="00AA01FE"/>
    <w:rsid w:val="00AA028D"/>
    <w:rsid w:val="00AA073D"/>
    <w:rsid w:val="00AA1B7F"/>
    <w:rsid w:val="00AA1DEE"/>
    <w:rsid w:val="00AA2510"/>
    <w:rsid w:val="00AA2F0B"/>
    <w:rsid w:val="00AA3193"/>
    <w:rsid w:val="00AA3233"/>
    <w:rsid w:val="00AA3345"/>
    <w:rsid w:val="00AA3375"/>
    <w:rsid w:val="00AA33BB"/>
    <w:rsid w:val="00AA35B2"/>
    <w:rsid w:val="00AA3750"/>
    <w:rsid w:val="00AA3BEE"/>
    <w:rsid w:val="00AA471E"/>
    <w:rsid w:val="00AA4F53"/>
    <w:rsid w:val="00AA5478"/>
    <w:rsid w:val="00AA5903"/>
    <w:rsid w:val="00AA5AD7"/>
    <w:rsid w:val="00AA5D73"/>
    <w:rsid w:val="00AA614A"/>
    <w:rsid w:val="00AA6284"/>
    <w:rsid w:val="00AA630B"/>
    <w:rsid w:val="00AA678E"/>
    <w:rsid w:val="00AA6CA7"/>
    <w:rsid w:val="00AA6D5F"/>
    <w:rsid w:val="00AA7233"/>
    <w:rsid w:val="00AA732D"/>
    <w:rsid w:val="00AA7A55"/>
    <w:rsid w:val="00AA7FC0"/>
    <w:rsid w:val="00AB0280"/>
    <w:rsid w:val="00AB0653"/>
    <w:rsid w:val="00AB0DAE"/>
    <w:rsid w:val="00AB0ED6"/>
    <w:rsid w:val="00AB129C"/>
    <w:rsid w:val="00AB178E"/>
    <w:rsid w:val="00AB18D2"/>
    <w:rsid w:val="00AB1E8B"/>
    <w:rsid w:val="00AB1F2E"/>
    <w:rsid w:val="00AB2440"/>
    <w:rsid w:val="00AB260E"/>
    <w:rsid w:val="00AB2B69"/>
    <w:rsid w:val="00AB2C09"/>
    <w:rsid w:val="00AB2C73"/>
    <w:rsid w:val="00AB2F89"/>
    <w:rsid w:val="00AB3840"/>
    <w:rsid w:val="00AB388F"/>
    <w:rsid w:val="00AB3F8F"/>
    <w:rsid w:val="00AB4496"/>
    <w:rsid w:val="00AB44F2"/>
    <w:rsid w:val="00AB463E"/>
    <w:rsid w:val="00AB4679"/>
    <w:rsid w:val="00AB4781"/>
    <w:rsid w:val="00AB4C07"/>
    <w:rsid w:val="00AB4DEE"/>
    <w:rsid w:val="00AB5380"/>
    <w:rsid w:val="00AB5390"/>
    <w:rsid w:val="00AB54F7"/>
    <w:rsid w:val="00AB5596"/>
    <w:rsid w:val="00AB5992"/>
    <w:rsid w:val="00AB5BDA"/>
    <w:rsid w:val="00AB5D80"/>
    <w:rsid w:val="00AB60CA"/>
    <w:rsid w:val="00AB6452"/>
    <w:rsid w:val="00AB6481"/>
    <w:rsid w:val="00AB6716"/>
    <w:rsid w:val="00AB6A05"/>
    <w:rsid w:val="00AB6E38"/>
    <w:rsid w:val="00AB71F6"/>
    <w:rsid w:val="00AB76AE"/>
    <w:rsid w:val="00AB7DC8"/>
    <w:rsid w:val="00AC00E8"/>
    <w:rsid w:val="00AC0152"/>
    <w:rsid w:val="00AC0211"/>
    <w:rsid w:val="00AC04AD"/>
    <w:rsid w:val="00AC0C27"/>
    <w:rsid w:val="00AC0E46"/>
    <w:rsid w:val="00AC1168"/>
    <w:rsid w:val="00AC13B2"/>
    <w:rsid w:val="00AC1F87"/>
    <w:rsid w:val="00AC2113"/>
    <w:rsid w:val="00AC2471"/>
    <w:rsid w:val="00AC3176"/>
    <w:rsid w:val="00AC36D5"/>
    <w:rsid w:val="00AC3C02"/>
    <w:rsid w:val="00AC4000"/>
    <w:rsid w:val="00AC4827"/>
    <w:rsid w:val="00AC49F9"/>
    <w:rsid w:val="00AC4D34"/>
    <w:rsid w:val="00AC5B81"/>
    <w:rsid w:val="00AC602F"/>
    <w:rsid w:val="00AC60A4"/>
    <w:rsid w:val="00AC6180"/>
    <w:rsid w:val="00AC66D9"/>
    <w:rsid w:val="00AC688B"/>
    <w:rsid w:val="00AC75A1"/>
    <w:rsid w:val="00AC75C3"/>
    <w:rsid w:val="00AC7687"/>
    <w:rsid w:val="00AC7737"/>
    <w:rsid w:val="00AC7C6C"/>
    <w:rsid w:val="00AC7FB0"/>
    <w:rsid w:val="00AC7FB1"/>
    <w:rsid w:val="00AD018A"/>
    <w:rsid w:val="00AD0516"/>
    <w:rsid w:val="00AD05D1"/>
    <w:rsid w:val="00AD075B"/>
    <w:rsid w:val="00AD0D0E"/>
    <w:rsid w:val="00AD10B2"/>
    <w:rsid w:val="00AD1127"/>
    <w:rsid w:val="00AD1A24"/>
    <w:rsid w:val="00AD1DBC"/>
    <w:rsid w:val="00AD1F05"/>
    <w:rsid w:val="00AD1F96"/>
    <w:rsid w:val="00AD219F"/>
    <w:rsid w:val="00AD234F"/>
    <w:rsid w:val="00AD2498"/>
    <w:rsid w:val="00AD2B3D"/>
    <w:rsid w:val="00AD2DE8"/>
    <w:rsid w:val="00AD34F5"/>
    <w:rsid w:val="00AD3870"/>
    <w:rsid w:val="00AD38E9"/>
    <w:rsid w:val="00AD392E"/>
    <w:rsid w:val="00AD3ABC"/>
    <w:rsid w:val="00AD3B9E"/>
    <w:rsid w:val="00AD3CF3"/>
    <w:rsid w:val="00AD3F53"/>
    <w:rsid w:val="00AD45AE"/>
    <w:rsid w:val="00AD4A42"/>
    <w:rsid w:val="00AD4E47"/>
    <w:rsid w:val="00AD51ED"/>
    <w:rsid w:val="00AD531A"/>
    <w:rsid w:val="00AD57E6"/>
    <w:rsid w:val="00AD585E"/>
    <w:rsid w:val="00AD5A17"/>
    <w:rsid w:val="00AD5F05"/>
    <w:rsid w:val="00AD6610"/>
    <w:rsid w:val="00AD693D"/>
    <w:rsid w:val="00AD6ADB"/>
    <w:rsid w:val="00AD76A8"/>
    <w:rsid w:val="00AD78E3"/>
    <w:rsid w:val="00AD7FAE"/>
    <w:rsid w:val="00AE00AB"/>
    <w:rsid w:val="00AE02DE"/>
    <w:rsid w:val="00AE074E"/>
    <w:rsid w:val="00AE0791"/>
    <w:rsid w:val="00AE0C95"/>
    <w:rsid w:val="00AE0DA8"/>
    <w:rsid w:val="00AE1FCA"/>
    <w:rsid w:val="00AE20FC"/>
    <w:rsid w:val="00AE23BD"/>
    <w:rsid w:val="00AE2662"/>
    <w:rsid w:val="00AE2A78"/>
    <w:rsid w:val="00AE30CC"/>
    <w:rsid w:val="00AE3393"/>
    <w:rsid w:val="00AE3D9F"/>
    <w:rsid w:val="00AE4818"/>
    <w:rsid w:val="00AE4947"/>
    <w:rsid w:val="00AE4E41"/>
    <w:rsid w:val="00AE505F"/>
    <w:rsid w:val="00AE50F6"/>
    <w:rsid w:val="00AE51FA"/>
    <w:rsid w:val="00AE5207"/>
    <w:rsid w:val="00AE530E"/>
    <w:rsid w:val="00AE59D7"/>
    <w:rsid w:val="00AE5BC9"/>
    <w:rsid w:val="00AE6080"/>
    <w:rsid w:val="00AE62CB"/>
    <w:rsid w:val="00AE6470"/>
    <w:rsid w:val="00AE65AB"/>
    <w:rsid w:val="00AE6880"/>
    <w:rsid w:val="00AE6ABB"/>
    <w:rsid w:val="00AE6E7F"/>
    <w:rsid w:val="00AE6F99"/>
    <w:rsid w:val="00AE7159"/>
    <w:rsid w:val="00AE7228"/>
    <w:rsid w:val="00AE728F"/>
    <w:rsid w:val="00AE7399"/>
    <w:rsid w:val="00AF0249"/>
    <w:rsid w:val="00AF06AD"/>
    <w:rsid w:val="00AF0AC4"/>
    <w:rsid w:val="00AF0C8C"/>
    <w:rsid w:val="00AF1EA0"/>
    <w:rsid w:val="00AF23FE"/>
    <w:rsid w:val="00AF2418"/>
    <w:rsid w:val="00AF268B"/>
    <w:rsid w:val="00AF2966"/>
    <w:rsid w:val="00AF2D94"/>
    <w:rsid w:val="00AF2F4B"/>
    <w:rsid w:val="00AF3281"/>
    <w:rsid w:val="00AF35C4"/>
    <w:rsid w:val="00AF37B2"/>
    <w:rsid w:val="00AF3B2B"/>
    <w:rsid w:val="00AF40B6"/>
    <w:rsid w:val="00AF4296"/>
    <w:rsid w:val="00AF42AD"/>
    <w:rsid w:val="00AF42F2"/>
    <w:rsid w:val="00AF4478"/>
    <w:rsid w:val="00AF505B"/>
    <w:rsid w:val="00AF583F"/>
    <w:rsid w:val="00AF5DB2"/>
    <w:rsid w:val="00AF5DE0"/>
    <w:rsid w:val="00AF6016"/>
    <w:rsid w:val="00AF63B9"/>
    <w:rsid w:val="00AF6678"/>
    <w:rsid w:val="00AF682B"/>
    <w:rsid w:val="00AF6977"/>
    <w:rsid w:val="00AF70C8"/>
    <w:rsid w:val="00AF7A28"/>
    <w:rsid w:val="00B0044A"/>
    <w:rsid w:val="00B0054A"/>
    <w:rsid w:val="00B00574"/>
    <w:rsid w:val="00B00D7A"/>
    <w:rsid w:val="00B0117B"/>
    <w:rsid w:val="00B0124C"/>
    <w:rsid w:val="00B015EC"/>
    <w:rsid w:val="00B0166D"/>
    <w:rsid w:val="00B018F0"/>
    <w:rsid w:val="00B01AAE"/>
    <w:rsid w:val="00B01F58"/>
    <w:rsid w:val="00B0253F"/>
    <w:rsid w:val="00B0257F"/>
    <w:rsid w:val="00B0268C"/>
    <w:rsid w:val="00B028BE"/>
    <w:rsid w:val="00B0296E"/>
    <w:rsid w:val="00B02A4D"/>
    <w:rsid w:val="00B02CDA"/>
    <w:rsid w:val="00B02D19"/>
    <w:rsid w:val="00B02F81"/>
    <w:rsid w:val="00B030DA"/>
    <w:rsid w:val="00B0331D"/>
    <w:rsid w:val="00B033CB"/>
    <w:rsid w:val="00B034F4"/>
    <w:rsid w:val="00B03526"/>
    <w:rsid w:val="00B0358B"/>
    <w:rsid w:val="00B0375F"/>
    <w:rsid w:val="00B03984"/>
    <w:rsid w:val="00B0411B"/>
    <w:rsid w:val="00B04748"/>
    <w:rsid w:val="00B04BD6"/>
    <w:rsid w:val="00B04CDE"/>
    <w:rsid w:val="00B04EC6"/>
    <w:rsid w:val="00B0517B"/>
    <w:rsid w:val="00B05CE8"/>
    <w:rsid w:val="00B05E70"/>
    <w:rsid w:val="00B05ED7"/>
    <w:rsid w:val="00B05F23"/>
    <w:rsid w:val="00B06B9A"/>
    <w:rsid w:val="00B06ECD"/>
    <w:rsid w:val="00B0797A"/>
    <w:rsid w:val="00B07CBB"/>
    <w:rsid w:val="00B10325"/>
    <w:rsid w:val="00B10A58"/>
    <w:rsid w:val="00B110BC"/>
    <w:rsid w:val="00B11273"/>
    <w:rsid w:val="00B115AF"/>
    <w:rsid w:val="00B1164B"/>
    <w:rsid w:val="00B11ACE"/>
    <w:rsid w:val="00B11F7F"/>
    <w:rsid w:val="00B12159"/>
    <w:rsid w:val="00B12362"/>
    <w:rsid w:val="00B1247C"/>
    <w:rsid w:val="00B1258E"/>
    <w:rsid w:val="00B12A88"/>
    <w:rsid w:val="00B12B43"/>
    <w:rsid w:val="00B12E69"/>
    <w:rsid w:val="00B13035"/>
    <w:rsid w:val="00B130B2"/>
    <w:rsid w:val="00B13110"/>
    <w:rsid w:val="00B13B87"/>
    <w:rsid w:val="00B13C04"/>
    <w:rsid w:val="00B13C1A"/>
    <w:rsid w:val="00B13E6E"/>
    <w:rsid w:val="00B13E78"/>
    <w:rsid w:val="00B149B9"/>
    <w:rsid w:val="00B14C46"/>
    <w:rsid w:val="00B14C59"/>
    <w:rsid w:val="00B14FAC"/>
    <w:rsid w:val="00B15535"/>
    <w:rsid w:val="00B1575B"/>
    <w:rsid w:val="00B1583D"/>
    <w:rsid w:val="00B1589A"/>
    <w:rsid w:val="00B15D94"/>
    <w:rsid w:val="00B15E32"/>
    <w:rsid w:val="00B15FFE"/>
    <w:rsid w:val="00B16414"/>
    <w:rsid w:val="00B168B0"/>
    <w:rsid w:val="00B16D11"/>
    <w:rsid w:val="00B17121"/>
    <w:rsid w:val="00B1739D"/>
    <w:rsid w:val="00B178BF"/>
    <w:rsid w:val="00B17916"/>
    <w:rsid w:val="00B20285"/>
    <w:rsid w:val="00B20B5F"/>
    <w:rsid w:val="00B20F18"/>
    <w:rsid w:val="00B21686"/>
    <w:rsid w:val="00B21C1F"/>
    <w:rsid w:val="00B21CB9"/>
    <w:rsid w:val="00B21E7E"/>
    <w:rsid w:val="00B2208A"/>
    <w:rsid w:val="00B22259"/>
    <w:rsid w:val="00B22557"/>
    <w:rsid w:val="00B22647"/>
    <w:rsid w:val="00B22745"/>
    <w:rsid w:val="00B22820"/>
    <w:rsid w:val="00B22D27"/>
    <w:rsid w:val="00B230F8"/>
    <w:rsid w:val="00B2321E"/>
    <w:rsid w:val="00B23467"/>
    <w:rsid w:val="00B23990"/>
    <w:rsid w:val="00B23A80"/>
    <w:rsid w:val="00B23D04"/>
    <w:rsid w:val="00B23D0A"/>
    <w:rsid w:val="00B23E33"/>
    <w:rsid w:val="00B23E4C"/>
    <w:rsid w:val="00B23FBC"/>
    <w:rsid w:val="00B24287"/>
    <w:rsid w:val="00B245EE"/>
    <w:rsid w:val="00B248F7"/>
    <w:rsid w:val="00B25016"/>
    <w:rsid w:val="00B25170"/>
    <w:rsid w:val="00B255AA"/>
    <w:rsid w:val="00B25729"/>
    <w:rsid w:val="00B25B1E"/>
    <w:rsid w:val="00B25B92"/>
    <w:rsid w:val="00B261F3"/>
    <w:rsid w:val="00B26624"/>
    <w:rsid w:val="00B26879"/>
    <w:rsid w:val="00B26CCD"/>
    <w:rsid w:val="00B26D62"/>
    <w:rsid w:val="00B26F09"/>
    <w:rsid w:val="00B272A6"/>
    <w:rsid w:val="00B2736C"/>
    <w:rsid w:val="00B273E8"/>
    <w:rsid w:val="00B276F9"/>
    <w:rsid w:val="00B27D8C"/>
    <w:rsid w:val="00B27F17"/>
    <w:rsid w:val="00B30AE3"/>
    <w:rsid w:val="00B30BDC"/>
    <w:rsid w:val="00B30EAA"/>
    <w:rsid w:val="00B30EF0"/>
    <w:rsid w:val="00B31826"/>
    <w:rsid w:val="00B31A9C"/>
    <w:rsid w:val="00B321FC"/>
    <w:rsid w:val="00B32443"/>
    <w:rsid w:val="00B334BC"/>
    <w:rsid w:val="00B334D0"/>
    <w:rsid w:val="00B33510"/>
    <w:rsid w:val="00B33521"/>
    <w:rsid w:val="00B33568"/>
    <w:rsid w:val="00B33ECB"/>
    <w:rsid w:val="00B34BD6"/>
    <w:rsid w:val="00B34D12"/>
    <w:rsid w:val="00B35182"/>
    <w:rsid w:val="00B352A7"/>
    <w:rsid w:val="00B3554D"/>
    <w:rsid w:val="00B356F7"/>
    <w:rsid w:val="00B3668B"/>
    <w:rsid w:val="00B367B2"/>
    <w:rsid w:val="00B36BA9"/>
    <w:rsid w:val="00B36BCF"/>
    <w:rsid w:val="00B36CB5"/>
    <w:rsid w:val="00B36D99"/>
    <w:rsid w:val="00B36EBE"/>
    <w:rsid w:val="00B370A0"/>
    <w:rsid w:val="00B3731F"/>
    <w:rsid w:val="00B373E4"/>
    <w:rsid w:val="00B37A42"/>
    <w:rsid w:val="00B37E60"/>
    <w:rsid w:val="00B37ED1"/>
    <w:rsid w:val="00B37F9D"/>
    <w:rsid w:val="00B400D9"/>
    <w:rsid w:val="00B4014E"/>
    <w:rsid w:val="00B40718"/>
    <w:rsid w:val="00B40B96"/>
    <w:rsid w:val="00B4144A"/>
    <w:rsid w:val="00B414DD"/>
    <w:rsid w:val="00B416FE"/>
    <w:rsid w:val="00B418C7"/>
    <w:rsid w:val="00B41990"/>
    <w:rsid w:val="00B41BE9"/>
    <w:rsid w:val="00B41FA3"/>
    <w:rsid w:val="00B422AC"/>
    <w:rsid w:val="00B42619"/>
    <w:rsid w:val="00B429CC"/>
    <w:rsid w:val="00B42CF9"/>
    <w:rsid w:val="00B42DCE"/>
    <w:rsid w:val="00B43063"/>
    <w:rsid w:val="00B43D2A"/>
    <w:rsid w:val="00B43F18"/>
    <w:rsid w:val="00B44F99"/>
    <w:rsid w:val="00B45521"/>
    <w:rsid w:val="00B45AC7"/>
    <w:rsid w:val="00B46645"/>
    <w:rsid w:val="00B46C01"/>
    <w:rsid w:val="00B46EBE"/>
    <w:rsid w:val="00B46F7B"/>
    <w:rsid w:val="00B472D9"/>
    <w:rsid w:val="00B47D87"/>
    <w:rsid w:val="00B47E87"/>
    <w:rsid w:val="00B5000D"/>
    <w:rsid w:val="00B500BA"/>
    <w:rsid w:val="00B501E4"/>
    <w:rsid w:val="00B50A31"/>
    <w:rsid w:val="00B50AFD"/>
    <w:rsid w:val="00B51B6D"/>
    <w:rsid w:val="00B51F33"/>
    <w:rsid w:val="00B5217D"/>
    <w:rsid w:val="00B52B21"/>
    <w:rsid w:val="00B52B89"/>
    <w:rsid w:val="00B52CE7"/>
    <w:rsid w:val="00B52F39"/>
    <w:rsid w:val="00B53469"/>
    <w:rsid w:val="00B535CE"/>
    <w:rsid w:val="00B538F7"/>
    <w:rsid w:val="00B53D71"/>
    <w:rsid w:val="00B53D73"/>
    <w:rsid w:val="00B53EAA"/>
    <w:rsid w:val="00B53F72"/>
    <w:rsid w:val="00B54200"/>
    <w:rsid w:val="00B5493F"/>
    <w:rsid w:val="00B54F62"/>
    <w:rsid w:val="00B551F7"/>
    <w:rsid w:val="00B554B7"/>
    <w:rsid w:val="00B55CA4"/>
    <w:rsid w:val="00B565F0"/>
    <w:rsid w:val="00B56735"/>
    <w:rsid w:val="00B569B0"/>
    <w:rsid w:val="00B56C3C"/>
    <w:rsid w:val="00B56D4B"/>
    <w:rsid w:val="00B56DDF"/>
    <w:rsid w:val="00B56F12"/>
    <w:rsid w:val="00B572E8"/>
    <w:rsid w:val="00B60032"/>
    <w:rsid w:val="00B606D9"/>
    <w:rsid w:val="00B60BC2"/>
    <w:rsid w:val="00B6152D"/>
    <w:rsid w:val="00B616F1"/>
    <w:rsid w:val="00B616FD"/>
    <w:rsid w:val="00B618D1"/>
    <w:rsid w:val="00B61A6C"/>
    <w:rsid w:val="00B61C46"/>
    <w:rsid w:val="00B61D25"/>
    <w:rsid w:val="00B61EC9"/>
    <w:rsid w:val="00B62374"/>
    <w:rsid w:val="00B62397"/>
    <w:rsid w:val="00B625F7"/>
    <w:rsid w:val="00B62643"/>
    <w:rsid w:val="00B6291C"/>
    <w:rsid w:val="00B62C37"/>
    <w:rsid w:val="00B62CAC"/>
    <w:rsid w:val="00B63417"/>
    <w:rsid w:val="00B634E1"/>
    <w:rsid w:val="00B63583"/>
    <w:rsid w:val="00B63A32"/>
    <w:rsid w:val="00B63E75"/>
    <w:rsid w:val="00B643B9"/>
    <w:rsid w:val="00B64915"/>
    <w:rsid w:val="00B64EB5"/>
    <w:rsid w:val="00B65BAB"/>
    <w:rsid w:val="00B65E6A"/>
    <w:rsid w:val="00B66F8B"/>
    <w:rsid w:val="00B6732F"/>
    <w:rsid w:val="00B67C4C"/>
    <w:rsid w:val="00B67CBE"/>
    <w:rsid w:val="00B67DEF"/>
    <w:rsid w:val="00B70044"/>
    <w:rsid w:val="00B707F3"/>
    <w:rsid w:val="00B71064"/>
    <w:rsid w:val="00B71599"/>
    <w:rsid w:val="00B716BA"/>
    <w:rsid w:val="00B717E5"/>
    <w:rsid w:val="00B71917"/>
    <w:rsid w:val="00B71B48"/>
    <w:rsid w:val="00B71BD7"/>
    <w:rsid w:val="00B71BDC"/>
    <w:rsid w:val="00B7220E"/>
    <w:rsid w:val="00B72322"/>
    <w:rsid w:val="00B72D1A"/>
    <w:rsid w:val="00B737CB"/>
    <w:rsid w:val="00B73E2A"/>
    <w:rsid w:val="00B741BD"/>
    <w:rsid w:val="00B74318"/>
    <w:rsid w:val="00B746D4"/>
    <w:rsid w:val="00B747B5"/>
    <w:rsid w:val="00B74855"/>
    <w:rsid w:val="00B74A68"/>
    <w:rsid w:val="00B74D70"/>
    <w:rsid w:val="00B74E5F"/>
    <w:rsid w:val="00B75140"/>
    <w:rsid w:val="00B75A83"/>
    <w:rsid w:val="00B75C87"/>
    <w:rsid w:val="00B75C8B"/>
    <w:rsid w:val="00B76084"/>
    <w:rsid w:val="00B76348"/>
    <w:rsid w:val="00B76C3A"/>
    <w:rsid w:val="00B77261"/>
    <w:rsid w:val="00B77428"/>
    <w:rsid w:val="00B7771D"/>
    <w:rsid w:val="00B77817"/>
    <w:rsid w:val="00B77F3E"/>
    <w:rsid w:val="00B77F4F"/>
    <w:rsid w:val="00B77F9B"/>
    <w:rsid w:val="00B8005A"/>
    <w:rsid w:val="00B8008F"/>
    <w:rsid w:val="00B8030E"/>
    <w:rsid w:val="00B80A16"/>
    <w:rsid w:val="00B80BCC"/>
    <w:rsid w:val="00B81537"/>
    <w:rsid w:val="00B8172D"/>
    <w:rsid w:val="00B81936"/>
    <w:rsid w:val="00B82370"/>
    <w:rsid w:val="00B824DE"/>
    <w:rsid w:val="00B82797"/>
    <w:rsid w:val="00B8294D"/>
    <w:rsid w:val="00B82BDD"/>
    <w:rsid w:val="00B82E41"/>
    <w:rsid w:val="00B82FC6"/>
    <w:rsid w:val="00B82FF7"/>
    <w:rsid w:val="00B83097"/>
    <w:rsid w:val="00B83143"/>
    <w:rsid w:val="00B835FE"/>
    <w:rsid w:val="00B83681"/>
    <w:rsid w:val="00B839C5"/>
    <w:rsid w:val="00B83C0D"/>
    <w:rsid w:val="00B83C73"/>
    <w:rsid w:val="00B841C5"/>
    <w:rsid w:val="00B845EA"/>
    <w:rsid w:val="00B84E2F"/>
    <w:rsid w:val="00B85835"/>
    <w:rsid w:val="00B85A78"/>
    <w:rsid w:val="00B85C2A"/>
    <w:rsid w:val="00B85C8D"/>
    <w:rsid w:val="00B86145"/>
    <w:rsid w:val="00B861A2"/>
    <w:rsid w:val="00B86341"/>
    <w:rsid w:val="00B86735"/>
    <w:rsid w:val="00B8685E"/>
    <w:rsid w:val="00B8695C"/>
    <w:rsid w:val="00B8698F"/>
    <w:rsid w:val="00B869A7"/>
    <w:rsid w:val="00B86A07"/>
    <w:rsid w:val="00B86BA5"/>
    <w:rsid w:val="00B86D27"/>
    <w:rsid w:val="00B870EA"/>
    <w:rsid w:val="00B871C5"/>
    <w:rsid w:val="00B871F8"/>
    <w:rsid w:val="00B872AD"/>
    <w:rsid w:val="00B87736"/>
    <w:rsid w:val="00B8791F"/>
    <w:rsid w:val="00B87FF3"/>
    <w:rsid w:val="00B90021"/>
    <w:rsid w:val="00B90276"/>
    <w:rsid w:val="00B90731"/>
    <w:rsid w:val="00B907C5"/>
    <w:rsid w:val="00B90AE7"/>
    <w:rsid w:val="00B90C8E"/>
    <w:rsid w:val="00B90F6F"/>
    <w:rsid w:val="00B9100E"/>
    <w:rsid w:val="00B910F4"/>
    <w:rsid w:val="00B91322"/>
    <w:rsid w:val="00B91685"/>
    <w:rsid w:val="00B91B30"/>
    <w:rsid w:val="00B91D39"/>
    <w:rsid w:val="00B920D6"/>
    <w:rsid w:val="00B921F6"/>
    <w:rsid w:val="00B92420"/>
    <w:rsid w:val="00B92976"/>
    <w:rsid w:val="00B92AAB"/>
    <w:rsid w:val="00B93149"/>
    <w:rsid w:val="00B936B8"/>
    <w:rsid w:val="00B938FF"/>
    <w:rsid w:val="00B93943"/>
    <w:rsid w:val="00B93C1D"/>
    <w:rsid w:val="00B940B6"/>
    <w:rsid w:val="00B946D9"/>
    <w:rsid w:val="00B95234"/>
    <w:rsid w:val="00B95C05"/>
    <w:rsid w:val="00B95E0C"/>
    <w:rsid w:val="00B96B60"/>
    <w:rsid w:val="00B96CEE"/>
    <w:rsid w:val="00B96D3B"/>
    <w:rsid w:val="00B9711D"/>
    <w:rsid w:val="00B97A2B"/>
    <w:rsid w:val="00BA0969"/>
    <w:rsid w:val="00BA0A8A"/>
    <w:rsid w:val="00BA0A9C"/>
    <w:rsid w:val="00BA0BC8"/>
    <w:rsid w:val="00BA102C"/>
    <w:rsid w:val="00BA13F0"/>
    <w:rsid w:val="00BA141E"/>
    <w:rsid w:val="00BA148F"/>
    <w:rsid w:val="00BA1A4B"/>
    <w:rsid w:val="00BA1D10"/>
    <w:rsid w:val="00BA21E7"/>
    <w:rsid w:val="00BA226D"/>
    <w:rsid w:val="00BA227C"/>
    <w:rsid w:val="00BA30F0"/>
    <w:rsid w:val="00BA3584"/>
    <w:rsid w:val="00BA3680"/>
    <w:rsid w:val="00BA3786"/>
    <w:rsid w:val="00BA3CB3"/>
    <w:rsid w:val="00BA4268"/>
    <w:rsid w:val="00BA4380"/>
    <w:rsid w:val="00BA4B7B"/>
    <w:rsid w:val="00BA4E4C"/>
    <w:rsid w:val="00BA5A4B"/>
    <w:rsid w:val="00BA5C4C"/>
    <w:rsid w:val="00BA5E65"/>
    <w:rsid w:val="00BA6394"/>
    <w:rsid w:val="00BA649E"/>
    <w:rsid w:val="00BA6A61"/>
    <w:rsid w:val="00BA6DE3"/>
    <w:rsid w:val="00BA71C2"/>
    <w:rsid w:val="00BA79C2"/>
    <w:rsid w:val="00BA7BB7"/>
    <w:rsid w:val="00BB03F0"/>
    <w:rsid w:val="00BB04DC"/>
    <w:rsid w:val="00BB0ADE"/>
    <w:rsid w:val="00BB1172"/>
    <w:rsid w:val="00BB15D3"/>
    <w:rsid w:val="00BB18E2"/>
    <w:rsid w:val="00BB1B16"/>
    <w:rsid w:val="00BB2249"/>
    <w:rsid w:val="00BB2363"/>
    <w:rsid w:val="00BB2721"/>
    <w:rsid w:val="00BB27D9"/>
    <w:rsid w:val="00BB2D86"/>
    <w:rsid w:val="00BB30FC"/>
    <w:rsid w:val="00BB3248"/>
    <w:rsid w:val="00BB37A3"/>
    <w:rsid w:val="00BB3811"/>
    <w:rsid w:val="00BB3CB6"/>
    <w:rsid w:val="00BB3F47"/>
    <w:rsid w:val="00BB50AF"/>
    <w:rsid w:val="00BB51DD"/>
    <w:rsid w:val="00BB550F"/>
    <w:rsid w:val="00BB5A53"/>
    <w:rsid w:val="00BB5AA1"/>
    <w:rsid w:val="00BB647D"/>
    <w:rsid w:val="00BB6A1B"/>
    <w:rsid w:val="00BB722E"/>
    <w:rsid w:val="00BB729B"/>
    <w:rsid w:val="00BB72A9"/>
    <w:rsid w:val="00BB7AF0"/>
    <w:rsid w:val="00BB7B38"/>
    <w:rsid w:val="00BB7D45"/>
    <w:rsid w:val="00BB7EF2"/>
    <w:rsid w:val="00BB7F4C"/>
    <w:rsid w:val="00BC02A6"/>
    <w:rsid w:val="00BC0CC5"/>
    <w:rsid w:val="00BC11D2"/>
    <w:rsid w:val="00BC14BC"/>
    <w:rsid w:val="00BC1630"/>
    <w:rsid w:val="00BC1BA0"/>
    <w:rsid w:val="00BC1C06"/>
    <w:rsid w:val="00BC1E75"/>
    <w:rsid w:val="00BC1F5A"/>
    <w:rsid w:val="00BC1FA2"/>
    <w:rsid w:val="00BC2033"/>
    <w:rsid w:val="00BC2034"/>
    <w:rsid w:val="00BC22AE"/>
    <w:rsid w:val="00BC24AD"/>
    <w:rsid w:val="00BC2511"/>
    <w:rsid w:val="00BC25C9"/>
    <w:rsid w:val="00BC287C"/>
    <w:rsid w:val="00BC29E1"/>
    <w:rsid w:val="00BC29E8"/>
    <w:rsid w:val="00BC2A04"/>
    <w:rsid w:val="00BC2EEE"/>
    <w:rsid w:val="00BC302D"/>
    <w:rsid w:val="00BC317C"/>
    <w:rsid w:val="00BC325D"/>
    <w:rsid w:val="00BC3407"/>
    <w:rsid w:val="00BC37C5"/>
    <w:rsid w:val="00BC3834"/>
    <w:rsid w:val="00BC3848"/>
    <w:rsid w:val="00BC3864"/>
    <w:rsid w:val="00BC3E90"/>
    <w:rsid w:val="00BC3F73"/>
    <w:rsid w:val="00BC4AD9"/>
    <w:rsid w:val="00BC4F6F"/>
    <w:rsid w:val="00BC5C3E"/>
    <w:rsid w:val="00BC6617"/>
    <w:rsid w:val="00BC6D5B"/>
    <w:rsid w:val="00BC72AD"/>
    <w:rsid w:val="00BC7416"/>
    <w:rsid w:val="00BD03C3"/>
    <w:rsid w:val="00BD0553"/>
    <w:rsid w:val="00BD066E"/>
    <w:rsid w:val="00BD09DE"/>
    <w:rsid w:val="00BD1E54"/>
    <w:rsid w:val="00BD1F88"/>
    <w:rsid w:val="00BD2031"/>
    <w:rsid w:val="00BD2383"/>
    <w:rsid w:val="00BD24AB"/>
    <w:rsid w:val="00BD271F"/>
    <w:rsid w:val="00BD28A6"/>
    <w:rsid w:val="00BD2A9B"/>
    <w:rsid w:val="00BD2CF7"/>
    <w:rsid w:val="00BD36C9"/>
    <w:rsid w:val="00BD3A5B"/>
    <w:rsid w:val="00BD3E73"/>
    <w:rsid w:val="00BD3F46"/>
    <w:rsid w:val="00BD431F"/>
    <w:rsid w:val="00BD47CB"/>
    <w:rsid w:val="00BD4CB4"/>
    <w:rsid w:val="00BD4D9D"/>
    <w:rsid w:val="00BD5062"/>
    <w:rsid w:val="00BD5310"/>
    <w:rsid w:val="00BD5437"/>
    <w:rsid w:val="00BD5543"/>
    <w:rsid w:val="00BD5864"/>
    <w:rsid w:val="00BD5D46"/>
    <w:rsid w:val="00BD7710"/>
    <w:rsid w:val="00BD7995"/>
    <w:rsid w:val="00BD7AF0"/>
    <w:rsid w:val="00BD7C09"/>
    <w:rsid w:val="00BD7CC0"/>
    <w:rsid w:val="00BE000C"/>
    <w:rsid w:val="00BE011E"/>
    <w:rsid w:val="00BE012C"/>
    <w:rsid w:val="00BE017A"/>
    <w:rsid w:val="00BE01C4"/>
    <w:rsid w:val="00BE07BB"/>
    <w:rsid w:val="00BE07E9"/>
    <w:rsid w:val="00BE0A6F"/>
    <w:rsid w:val="00BE0F1A"/>
    <w:rsid w:val="00BE14D4"/>
    <w:rsid w:val="00BE1598"/>
    <w:rsid w:val="00BE215E"/>
    <w:rsid w:val="00BE21BF"/>
    <w:rsid w:val="00BE23A2"/>
    <w:rsid w:val="00BE28C6"/>
    <w:rsid w:val="00BE2AE1"/>
    <w:rsid w:val="00BE2C72"/>
    <w:rsid w:val="00BE2E6D"/>
    <w:rsid w:val="00BE3669"/>
    <w:rsid w:val="00BE37F4"/>
    <w:rsid w:val="00BE38C0"/>
    <w:rsid w:val="00BE394C"/>
    <w:rsid w:val="00BE3A38"/>
    <w:rsid w:val="00BE3CFF"/>
    <w:rsid w:val="00BE3DF2"/>
    <w:rsid w:val="00BE3E7C"/>
    <w:rsid w:val="00BE3E93"/>
    <w:rsid w:val="00BE3F10"/>
    <w:rsid w:val="00BE3F4A"/>
    <w:rsid w:val="00BE4491"/>
    <w:rsid w:val="00BE4D78"/>
    <w:rsid w:val="00BE51BE"/>
    <w:rsid w:val="00BE54FC"/>
    <w:rsid w:val="00BE628E"/>
    <w:rsid w:val="00BE63B3"/>
    <w:rsid w:val="00BE651D"/>
    <w:rsid w:val="00BE66E9"/>
    <w:rsid w:val="00BE6A4F"/>
    <w:rsid w:val="00BE6C26"/>
    <w:rsid w:val="00BE6D20"/>
    <w:rsid w:val="00BE76CE"/>
    <w:rsid w:val="00BE7A62"/>
    <w:rsid w:val="00BE7A79"/>
    <w:rsid w:val="00BE7BEB"/>
    <w:rsid w:val="00BE7C27"/>
    <w:rsid w:val="00BE7C30"/>
    <w:rsid w:val="00BE7C80"/>
    <w:rsid w:val="00BF0153"/>
    <w:rsid w:val="00BF03B7"/>
    <w:rsid w:val="00BF051E"/>
    <w:rsid w:val="00BF1226"/>
    <w:rsid w:val="00BF15DA"/>
    <w:rsid w:val="00BF1633"/>
    <w:rsid w:val="00BF1667"/>
    <w:rsid w:val="00BF18AA"/>
    <w:rsid w:val="00BF1A3C"/>
    <w:rsid w:val="00BF1CA2"/>
    <w:rsid w:val="00BF2254"/>
    <w:rsid w:val="00BF2425"/>
    <w:rsid w:val="00BF28A0"/>
    <w:rsid w:val="00BF28BB"/>
    <w:rsid w:val="00BF2F41"/>
    <w:rsid w:val="00BF3116"/>
    <w:rsid w:val="00BF31C4"/>
    <w:rsid w:val="00BF37CB"/>
    <w:rsid w:val="00BF37F0"/>
    <w:rsid w:val="00BF3DBC"/>
    <w:rsid w:val="00BF3E83"/>
    <w:rsid w:val="00BF3EA7"/>
    <w:rsid w:val="00BF419F"/>
    <w:rsid w:val="00BF498D"/>
    <w:rsid w:val="00BF4C19"/>
    <w:rsid w:val="00BF4D20"/>
    <w:rsid w:val="00BF4E91"/>
    <w:rsid w:val="00BF508D"/>
    <w:rsid w:val="00BF526A"/>
    <w:rsid w:val="00BF52FA"/>
    <w:rsid w:val="00BF5F17"/>
    <w:rsid w:val="00BF62BE"/>
    <w:rsid w:val="00BF6550"/>
    <w:rsid w:val="00BF65AE"/>
    <w:rsid w:val="00BF7271"/>
    <w:rsid w:val="00BF72A3"/>
    <w:rsid w:val="00BF788F"/>
    <w:rsid w:val="00BF7FA3"/>
    <w:rsid w:val="00C007D5"/>
    <w:rsid w:val="00C0087B"/>
    <w:rsid w:val="00C00F05"/>
    <w:rsid w:val="00C012EC"/>
    <w:rsid w:val="00C0140D"/>
    <w:rsid w:val="00C01953"/>
    <w:rsid w:val="00C0196C"/>
    <w:rsid w:val="00C0207E"/>
    <w:rsid w:val="00C023D9"/>
    <w:rsid w:val="00C02547"/>
    <w:rsid w:val="00C02834"/>
    <w:rsid w:val="00C02F6E"/>
    <w:rsid w:val="00C0330A"/>
    <w:rsid w:val="00C034CA"/>
    <w:rsid w:val="00C03DF2"/>
    <w:rsid w:val="00C03E65"/>
    <w:rsid w:val="00C04109"/>
    <w:rsid w:val="00C042C5"/>
    <w:rsid w:val="00C04547"/>
    <w:rsid w:val="00C0454E"/>
    <w:rsid w:val="00C04A0E"/>
    <w:rsid w:val="00C04C82"/>
    <w:rsid w:val="00C04C8B"/>
    <w:rsid w:val="00C04F55"/>
    <w:rsid w:val="00C051E2"/>
    <w:rsid w:val="00C052EE"/>
    <w:rsid w:val="00C05669"/>
    <w:rsid w:val="00C057C6"/>
    <w:rsid w:val="00C062DA"/>
    <w:rsid w:val="00C06876"/>
    <w:rsid w:val="00C069BB"/>
    <w:rsid w:val="00C06B16"/>
    <w:rsid w:val="00C06C76"/>
    <w:rsid w:val="00C07249"/>
    <w:rsid w:val="00C07266"/>
    <w:rsid w:val="00C07E06"/>
    <w:rsid w:val="00C100F4"/>
    <w:rsid w:val="00C10293"/>
    <w:rsid w:val="00C106E1"/>
    <w:rsid w:val="00C10C77"/>
    <w:rsid w:val="00C10D0C"/>
    <w:rsid w:val="00C10E03"/>
    <w:rsid w:val="00C1173E"/>
    <w:rsid w:val="00C11B1E"/>
    <w:rsid w:val="00C12427"/>
    <w:rsid w:val="00C12889"/>
    <w:rsid w:val="00C1289A"/>
    <w:rsid w:val="00C12985"/>
    <w:rsid w:val="00C12B6C"/>
    <w:rsid w:val="00C12D9D"/>
    <w:rsid w:val="00C12FD8"/>
    <w:rsid w:val="00C133E7"/>
    <w:rsid w:val="00C1385C"/>
    <w:rsid w:val="00C13C94"/>
    <w:rsid w:val="00C13DD8"/>
    <w:rsid w:val="00C13DDB"/>
    <w:rsid w:val="00C14238"/>
    <w:rsid w:val="00C14D43"/>
    <w:rsid w:val="00C1520F"/>
    <w:rsid w:val="00C1541F"/>
    <w:rsid w:val="00C1547E"/>
    <w:rsid w:val="00C161B6"/>
    <w:rsid w:val="00C16995"/>
    <w:rsid w:val="00C16AAA"/>
    <w:rsid w:val="00C16D34"/>
    <w:rsid w:val="00C17070"/>
    <w:rsid w:val="00C17975"/>
    <w:rsid w:val="00C17E1F"/>
    <w:rsid w:val="00C17FBC"/>
    <w:rsid w:val="00C20523"/>
    <w:rsid w:val="00C20D88"/>
    <w:rsid w:val="00C20EB0"/>
    <w:rsid w:val="00C21261"/>
    <w:rsid w:val="00C217D1"/>
    <w:rsid w:val="00C21B73"/>
    <w:rsid w:val="00C22085"/>
    <w:rsid w:val="00C2239F"/>
    <w:rsid w:val="00C229D5"/>
    <w:rsid w:val="00C22A11"/>
    <w:rsid w:val="00C22D9A"/>
    <w:rsid w:val="00C2342E"/>
    <w:rsid w:val="00C2385A"/>
    <w:rsid w:val="00C23E2E"/>
    <w:rsid w:val="00C23E67"/>
    <w:rsid w:val="00C24238"/>
    <w:rsid w:val="00C24729"/>
    <w:rsid w:val="00C24A10"/>
    <w:rsid w:val="00C24AC8"/>
    <w:rsid w:val="00C24F96"/>
    <w:rsid w:val="00C250E9"/>
    <w:rsid w:val="00C25157"/>
    <w:rsid w:val="00C25BDB"/>
    <w:rsid w:val="00C25E22"/>
    <w:rsid w:val="00C264EF"/>
    <w:rsid w:val="00C26A60"/>
    <w:rsid w:val="00C26C00"/>
    <w:rsid w:val="00C26C52"/>
    <w:rsid w:val="00C272DB"/>
    <w:rsid w:val="00C2760F"/>
    <w:rsid w:val="00C27C15"/>
    <w:rsid w:val="00C27FB8"/>
    <w:rsid w:val="00C3043E"/>
    <w:rsid w:val="00C30E7F"/>
    <w:rsid w:val="00C30E9A"/>
    <w:rsid w:val="00C3143B"/>
    <w:rsid w:val="00C31833"/>
    <w:rsid w:val="00C318EC"/>
    <w:rsid w:val="00C31DF6"/>
    <w:rsid w:val="00C31F31"/>
    <w:rsid w:val="00C32842"/>
    <w:rsid w:val="00C32A74"/>
    <w:rsid w:val="00C32DFC"/>
    <w:rsid w:val="00C32E7D"/>
    <w:rsid w:val="00C32F30"/>
    <w:rsid w:val="00C330B0"/>
    <w:rsid w:val="00C331BD"/>
    <w:rsid w:val="00C3340E"/>
    <w:rsid w:val="00C33D25"/>
    <w:rsid w:val="00C33EAA"/>
    <w:rsid w:val="00C3434E"/>
    <w:rsid w:val="00C345C6"/>
    <w:rsid w:val="00C3482C"/>
    <w:rsid w:val="00C34A31"/>
    <w:rsid w:val="00C34CB3"/>
    <w:rsid w:val="00C3534E"/>
    <w:rsid w:val="00C357F0"/>
    <w:rsid w:val="00C35B8C"/>
    <w:rsid w:val="00C35D9A"/>
    <w:rsid w:val="00C35FE8"/>
    <w:rsid w:val="00C3631B"/>
    <w:rsid w:val="00C36523"/>
    <w:rsid w:val="00C36836"/>
    <w:rsid w:val="00C36AD7"/>
    <w:rsid w:val="00C36FCB"/>
    <w:rsid w:val="00C371BF"/>
    <w:rsid w:val="00C372A7"/>
    <w:rsid w:val="00C373A6"/>
    <w:rsid w:val="00C373C1"/>
    <w:rsid w:val="00C37979"/>
    <w:rsid w:val="00C37C53"/>
    <w:rsid w:val="00C37D5B"/>
    <w:rsid w:val="00C37E96"/>
    <w:rsid w:val="00C4036D"/>
    <w:rsid w:val="00C4105F"/>
    <w:rsid w:val="00C412D9"/>
    <w:rsid w:val="00C4168A"/>
    <w:rsid w:val="00C416E3"/>
    <w:rsid w:val="00C419B2"/>
    <w:rsid w:val="00C420E4"/>
    <w:rsid w:val="00C4278F"/>
    <w:rsid w:val="00C42AEE"/>
    <w:rsid w:val="00C42C31"/>
    <w:rsid w:val="00C43118"/>
    <w:rsid w:val="00C437D9"/>
    <w:rsid w:val="00C438A8"/>
    <w:rsid w:val="00C43A4A"/>
    <w:rsid w:val="00C44637"/>
    <w:rsid w:val="00C44D32"/>
    <w:rsid w:val="00C44D55"/>
    <w:rsid w:val="00C44DD6"/>
    <w:rsid w:val="00C4527C"/>
    <w:rsid w:val="00C45800"/>
    <w:rsid w:val="00C460D5"/>
    <w:rsid w:val="00C46238"/>
    <w:rsid w:val="00C46339"/>
    <w:rsid w:val="00C465D7"/>
    <w:rsid w:val="00C4660F"/>
    <w:rsid w:val="00C46DCA"/>
    <w:rsid w:val="00C46F78"/>
    <w:rsid w:val="00C4706F"/>
    <w:rsid w:val="00C47413"/>
    <w:rsid w:val="00C5028C"/>
    <w:rsid w:val="00C50495"/>
    <w:rsid w:val="00C5070D"/>
    <w:rsid w:val="00C50991"/>
    <w:rsid w:val="00C5100B"/>
    <w:rsid w:val="00C51111"/>
    <w:rsid w:val="00C51482"/>
    <w:rsid w:val="00C5219A"/>
    <w:rsid w:val="00C52370"/>
    <w:rsid w:val="00C524D5"/>
    <w:rsid w:val="00C532EA"/>
    <w:rsid w:val="00C53D0D"/>
    <w:rsid w:val="00C53DFB"/>
    <w:rsid w:val="00C53FBF"/>
    <w:rsid w:val="00C544C4"/>
    <w:rsid w:val="00C55077"/>
    <w:rsid w:val="00C5520A"/>
    <w:rsid w:val="00C5532D"/>
    <w:rsid w:val="00C554A9"/>
    <w:rsid w:val="00C558D4"/>
    <w:rsid w:val="00C55AED"/>
    <w:rsid w:val="00C5656A"/>
    <w:rsid w:val="00C5783B"/>
    <w:rsid w:val="00C57BBB"/>
    <w:rsid w:val="00C57E79"/>
    <w:rsid w:val="00C57F1B"/>
    <w:rsid w:val="00C60683"/>
    <w:rsid w:val="00C607A7"/>
    <w:rsid w:val="00C60EF2"/>
    <w:rsid w:val="00C61136"/>
    <w:rsid w:val="00C611B2"/>
    <w:rsid w:val="00C61B8D"/>
    <w:rsid w:val="00C61D7F"/>
    <w:rsid w:val="00C61E13"/>
    <w:rsid w:val="00C61FBF"/>
    <w:rsid w:val="00C620B2"/>
    <w:rsid w:val="00C62B78"/>
    <w:rsid w:val="00C634B8"/>
    <w:rsid w:val="00C63565"/>
    <w:rsid w:val="00C638D6"/>
    <w:rsid w:val="00C63AD0"/>
    <w:rsid w:val="00C63AF4"/>
    <w:rsid w:val="00C63CA4"/>
    <w:rsid w:val="00C64532"/>
    <w:rsid w:val="00C64605"/>
    <w:rsid w:val="00C646E7"/>
    <w:rsid w:val="00C6494B"/>
    <w:rsid w:val="00C64BC6"/>
    <w:rsid w:val="00C65CBF"/>
    <w:rsid w:val="00C66267"/>
    <w:rsid w:val="00C6629A"/>
    <w:rsid w:val="00C66698"/>
    <w:rsid w:val="00C667B3"/>
    <w:rsid w:val="00C66AA2"/>
    <w:rsid w:val="00C66C21"/>
    <w:rsid w:val="00C66C37"/>
    <w:rsid w:val="00C66CFA"/>
    <w:rsid w:val="00C67065"/>
    <w:rsid w:val="00C672C5"/>
    <w:rsid w:val="00C67CBC"/>
    <w:rsid w:val="00C702CA"/>
    <w:rsid w:val="00C703D6"/>
    <w:rsid w:val="00C70568"/>
    <w:rsid w:val="00C7078C"/>
    <w:rsid w:val="00C70831"/>
    <w:rsid w:val="00C70B80"/>
    <w:rsid w:val="00C70C1D"/>
    <w:rsid w:val="00C71074"/>
    <w:rsid w:val="00C71FE9"/>
    <w:rsid w:val="00C7213C"/>
    <w:rsid w:val="00C722ED"/>
    <w:rsid w:val="00C7269F"/>
    <w:rsid w:val="00C72A24"/>
    <w:rsid w:val="00C72AC0"/>
    <w:rsid w:val="00C738FA"/>
    <w:rsid w:val="00C73F5B"/>
    <w:rsid w:val="00C7483A"/>
    <w:rsid w:val="00C74BCC"/>
    <w:rsid w:val="00C7514B"/>
    <w:rsid w:val="00C75328"/>
    <w:rsid w:val="00C75A57"/>
    <w:rsid w:val="00C75A70"/>
    <w:rsid w:val="00C75C69"/>
    <w:rsid w:val="00C76603"/>
    <w:rsid w:val="00C766EE"/>
    <w:rsid w:val="00C76763"/>
    <w:rsid w:val="00C76DBD"/>
    <w:rsid w:val="00C771C1"/>
    <w:rsid w:val="00C7790C"/>
    <w:rsid w:val="00C77CFB"/>
    <w:rsid w:val="00C8090A"/>
    <w:rsid w:val="00C80A6C"/>
    <w:rsid w:val="00C80CF7"/>
    <w:rsid w:val="00C810EE"/>
    <w:rsid w:val="00C8142D"/>
    <w:rsid w:val="00C81861"/>
    <w:rsid w:val="00C81954"/>
    <w:rsid w:val="00C81BFD"/>
    <w:rsid w:val="00C82623"/>
    <w:rsid w:val="00C82BA0"/>
    <w:rsid w:val="00C82D93"/>
    <w:rsid w:val="00C833DF"/>
    <w:rsid w:val="00C83A4A"/>
    <w:rsid w:val="00C83AD6"/>
    <w:rsid w:val="00C84055"/>
    <w:rsid w:val="00C841C1"/>
    <w:rsid w:val="00C843B9"/>
    <w:rsid w:val="00C84A6E"/>
    <w:rsid w:val="00C84BA9"/>
    <w:rsid w:val="00C84D94"/>
    <w:rsid w:val="00C85008"/>
    <w:rsid w:val="00C8543C"/>
    <w:rsid w:val="00C85462"/>
    <w:rsid w:val="00C854F9"/>
    <w:rsid w:val="00C85522"/>
    <w:rsid w:val="00C858F5"/>
    <w:rsid w:val="00C85A35"/>
    <w:rsid w:val="00C85C53"/>
    <w:rsid w:val="00C86216"/>
    <w:rsid w:val="00C862D2"/>
    <w:rsid w:val="00C86CC5"/>
    <w:rsid w:val="00C87575"/>
    <w:rsid w:val="00C875DC"/>
    <w:rsid w:val="00C8779B"/>
    <w:rsid w:val="00C877AF"/>
    <w:rsid w:val="00C87E1E"/>
    <w:rsid w:val="00C87FBF"/>
    <w:rsid w:val="00C902D2"/>
    <w:rsid w:val="00C9046F"/>
    <w:rsid w:val="00C908E6"/>
    <w:rsid w:val="00C9090F"/>
    <w:rsid w:val="00C90A10"/>
    <w:rsid w:val="00C90CF3"/>
    <w:rsid w:val="00C90E3A"/>
    <w:rsid w:val="00C90F07"/>
    <w:rsid w:val="00C91086"/>
    <w:rsid w:val="00C9124C"/>
    <w:rsid w:val="00C9126E"/>
    <w:rsid w:val="00C91DA6"/>
    <w:rsid w:val="00C91EA8"/>
    <w:rsid w:val="00C920F8"/>
    <w:rsid w:val="00C92140"/>
    <w:rsid w:val="00C92FD2"/>
    <w:rsid w:val="00C934FB"/>
    <w:rsid w:val="00C939D9"/>
    <w:rsid w:val="00C94451"/>
    <w:rsid w:val="00C945A5"/>
    <w:rsid w:val="00C954E7"/>
    <w:rsid w:val="00C95765"/>
    <w:rsid w:val="00C9589D"/>
    <w:rsid w:val="00C95D8B"/>
    <w:rsid w:val="00C96453"/>
    <w:rsid w:val="00C9647A"/>
    <w:rsid w:val="00C96601"/>
    <w:rsid w:val="00C969B8"/>
    <w:rsid w:val="00C96D2C"/>
    <w:rsid w:val="00C96E20"/>
    <w:rsid w:val="00C972DE"/>
    <w:rsid w:val="00C97733"/>
    <w:rsid w:val="00C97C34"/>
    <w:rsid w:val="00CA0276"/>
    <w:rsid w:val="00CA0958"/>
    <w:rsid w:val="00CA0FDF"/>
    <w:rsid w:val="00CA105C"/>
    <w:rsid w:val="00CA11B2"/>
    <w:rsid w:val="00CA1D11"/>
    <w:rsid w:val="00CA2AFF"/>
    <w:rsid w:val="00CA2CD9"/>
    <w:rsid w:val="00CA39A8"/>
    <w:rsid w:val="00CA3E76"/>
    <w:rsid w:val="00CA405E"/>
    <w:rsid w:val="00CA4224"/>
    <w:rsid w:val="00CA45C2"/>
    <w:rsid w:val="00CA48A7"/>
    <w:rsid w:val="00CA4C95"/>
    <w:rsid w:val="00CA5028"/>
    <w:rsid w:val="00CA53E2"/>
    <w:rsid w:val="00CA548C"/>
    <w:rsid w:val="00CA59AD"/>
    <w:rsid w:val="00CA5A25"/>
    <w:rsid w:val="00CA5B2F"/>
    <w:rsid w:val="00CA5B38"/>
    <w:rsid w:val="00CA5B8D"/>
    <w:rsid w:val="00CA5C38"/>
    <w:rsid w:val="00CA5FEE"/>
    <w:rsid w:val="00CA6015"/>
    <w:rsid w:val="00CA6226"/>
    <w:rsid w:val="00CA6495"/>
    <w:rsid w:val="00CA6C6B"/>
    <w:rsid w:val="00CA6E00"/>
    <w:rsid w:val="00CA6FD7"/>
    <w:rsid w:val="00CA70CE"/>
    <w:rsid w:val="00CA73E8"/>
    <w:rsid w:val="00CA7889"/>
    <w:rsid w:val="00CA7B62"/>
    <w:rsid w:val="00CA7CA4"/>
    <w:rsid w:val="00CA7FCB"/>
    <w:rsid w:val="00CB062F"/>
    <w:rsid w:val="00CB0A9D"/>
    <w:rsid w:val="00CB0C0D"/>
    <w:rsid w:val="00CB1873"/>
    <w:rsid w:val="00CB1881"/>
    <w:rsid w:val="00CB1AB9"/>
    <w:rsid w:val="00CB1B8E"/>
    <w:rsid w:val="00CB1FE2"/>
    <w:rsid w:val="00CB20D6"/>
    <w:rsid w:val="00CB2314"/>
    <w:rsid w:val="00CB2550"/>
    <w:rsid w:val="00CB2600"/>
    <w:rsid w:val="00CB2B59"/>
    <w:rsid w:val="00CB2CCA"/>
    <w:rsid w:val="00CB2D06"/>
    <w:rsid w:val="00CB3084"/>
    <w:rsid w:val="00CB32B0"/>
    <w:rsid w:val="00CB3415"/>
    <w:rsid w:val="00CB367B"/>
    <w:rsid w:val="00CB36FB"/>
    <w:rsid w:val="00CB49FB"/>
    <w:rsid w:val="00CB4A31"/>
    <w:rsid w:val="00CB4AF1"/>
    <w:rsid w:val="00CB4CF4"/>
    <w:rsid w:val="00CB4EDC"/>
    <w:rsid w:val="00CB57AF"/>
    <w:rsid w:val="00CB5B66"/>
    <w:rsid w:val="00CB5BB7"/>
    <w:rsid w:val="00CB5F29"/>
    <w:rsid w:val="00CB62B3"/>
    <w:rsid w:val="00CB6486"/>
    <w:rsid w:val="00CB649E"/>
    <w:rsid w:val="00CB6716"/>
    <w:rsid w:val="00CB7092"/>
    <w:rsid w:val="00CB722C"/>
    <w:rsid w:val="00CB7817"/>
    <w:rsid w:val="00CB7849"/>
    <w:rsid w:val="00CB7CF6"/>
    <w:rsid w:val="00CC0909"/>
    <w:rsid w:val="00CC15A6"/>
    <w:rsid w:val="00CC1719"/>
    <w:rsid w:val="00CC1787"/>
    <w:rsid w:val="00CC1B22"/>
    <w:rsid w:val="00CC2461"/>
    <w:rsid w:val="00CC27D6"/>
    <w:rsid w:val="00CC2D25"/>
    <w:rsid w:val="00CC2DC4"/>
    <w:rsid w:val="00CC2DF5"/>
    <w:rsid w:val="00CC3098"/>
    <w:rsid w:val="00CC30C1"/>
    <w:rsid w:val="00CC33DE"/>
    <w:rsid w:val="00CC343E"/>
    <w:rsid w:val="00CC3759"/>
    <w:rsid w:val="00CC40A6"/>
    <w:rsid w:val="00CC41C6"/>
    <w:rsid w:val="00CC41D5"/>
    <w:rsid w:val="00CC422D"/>
    <w:rsid w:val="00CC43EA"/>
    <w:rsid w:val="00CC4B18"/>
    <w:rsid w:val="00CC529A"/>
    <w:rsid w:val="00CC54CA"/>
    <w:rsid w:val="00CC5B88"/>
    <w:rsid w:val="00CC5D43"/>
    <w:rsid w:val="00CC6208"/>
    <w:rsid w:val="00CC630A"/>
    <w:rsid w:val="00CC65A9"/>
    <w:rsid w:val="00CC6773"/>
    <w:rsid w:val="00CC67FE"/>
    <w:rsid w:val="00CC68F7"/>
    <w:rsid w:val="00CC6A3A"/>
    <w:rsid w:val="00CC6DE7"/>
    <w:rsid w:val="00CC770F"/>
    <w:rsid w:val="00CC7B9C"/>
    <w:rsid w:val="00CC7BAE"/>
    <w:rsid w:val="00CC7D83"/>
    <w:rsid w:val="00CC7E89"/>
    <w:rsid w:val="00CD0287"/>
    <w:rsid w:val="00CD079F"/>
    <w:rsid w:val="00CD0EE0"/>
    <w:rsid w:val="00CD0F1E"/>
    <w:rsid w:val="00CD12C8"/>
    <w:rsid w:val="00CD1509"/>
    <w:rsid w:val="00CD1635"/>
    <w:rsid w:val="00CD1D18"/>
    <w:rsid w:val="00CD1D5A"/>
    <w:rsid w:val="00CD1D76"/>
    <w:rsid w:val="00CD27A0"/>
    <w:rsid w:val="00CD285E"/>
    <w:rsid w:val="00CD2E68"/>
    <w:rsid w:val="00CD347C"/>
    <w:rsid w:val="00CD42F4"/>
    <w:rsid w:val="00CD4A68"/>
    <w:rsid w:val="00CD4D67"/>
    <w:rsid w:val="00CD50EE"/>
    <w:rsid w:val="00CD5304"/>
    <w:rsid w:val="00CD5656"/>
    <w:rsid w:val="00CD570A"/>
    <w:rsid w:val="00CD57B2"/>
    <w:rsid w:val="00CD58AE"/>
    <w:rsid w:val="00CD599D"/>
    <w:rsid w:val="00CD5C12"/>
    <w:rsid w:val="00CD6270"/>
    <w:rsid w:val="00CD6473"/>
    <w:rsid w:val="00CD6B62"/>
    <w:rsid w:val="00CD6E30"/>
    <w:rsid w:val="00CD7588"/>
    <w:rsid w:val="00CD7840"/>
    <w:rsid w:val="00CD7DEC"/>
    <w:rsid w:val="00CD7E9F"/>
    <w:rsid w:val="00CD7F6A"/>
    <w:rsid w:val="00CE0589"/>
    <w:rsid w:val="00CE07B0"/>
    <w:rsid w:val="00CE1AB5"/>
    <w:rsid w:val="00CE1E45"/>
    <w:rsid w:val="00CE25CC"/>
    <w:rsid w:val="00CE2B98"/>
    <w:rsid w:val="00CE3200"/>
    <w:rsid w:val="00CE364D"/>
    <w:rsid w:val="00CE366B"/>
    <w:rsid w:val="00CE3C20"/>
    <w:rsid w:val="00CE3CFA"/>
    <w:rsid w:val="00CE423B"/>
    <w:rsid w:val="00CE47DD"/>
    <w:rsid w:val="00CE4E0D"/>
    <w:rsid w:val="00CE51D9"/>
    <w:rsid w:val="00CE55CF"/>
    <w:rsid w:val="00CE5A09"/>
    <w:rsid w:val="00CE5D69"/>
    <w:rsid w:val="00CE5FE8"/>
    <w:rsid w:val="00CE5FEB"/>
    <w:rsid w:val="00CE6296"/>
    <w:rsid w:val="00CE664E"/>
    <w:rsid w:val="00CE69DD"/>
    <w:rsid w:val="00CE6E10"/>
    <w:rsid w:val="00CE6F08"/>
    <w:rsid w:val="00CE7626"/>
    <w:rsid w:val="00CE7645"/>
    <w:rsid w:val="00CE78E8"/>
    <w:rsid w:val="00CF011C"/>
    <w:rsid w:val="00CF0395"/>
    <w:rsid w:val="00CF0470"/>
    <w:rsid w:val="00CF04F9"/>
    <w:rsid w:val="00CF092F"/>
    <w:rsid w:val="00CF157F"/>
    <w:rsid w:val="00CF169C"/>
    <w:rsid w:val="00CF19DC"/>
    <w:rsid w:val="00CF1B6D"/>
    <w:rsid w:val="00CF257C"/>
    <w:rsid w:val="00CF262F"/>
    <w:rsid w:val="00CF2780"/>
    <w:rsid w:val="00CF289F"/>
    <w:rsid w:val="00CF2B6A"/>
    <w:rsid w:val="00CF2D0A"/>
    <w:rsid w:val="00CF3F8D"/>
    <w:rsid w:val="00CF4298"/>
    <w:rsid w:val="00CF453C"/>
    <w:rsid w:val="00CF46DA"/>
    <w:rsid w:val="00CF4B35"/>
    <w:rsid w:val="00CF4D12"/>
    <w:rsid w:val="00CF4E72"/>
    <w:rsid w:val="00CF5743"/>
    <w:rsid w:val="00CF57F7"/>
    <w:rsid w:val="00CF5C47"/>
    <w:rsid w:val="00CF5D7F"/>
    <w:rsid w:val="00CF5DC5"/>
    <w:rsid w:val="00CF5E6D"/>
    <w:rsid w:val="00CF6238"/>
    <w:rsid w:val="00CF662A"/>
    <w:rsid w:val="00CF669E"/>
    <w:rsid w:val="00CF675B"/>
    <w:rsid w:val="00CF68D8"/>
    <w:rsid w:val="00CF6D77"/>
    <w:rsid w:val="00CF6FCE"/>
    <w:rsid w:val="00CF7232"/>
    <w:rsid w:val="00CF7F3C"/>
    <w:rsid w:val="00D001DC"/>
    <w:rsid w:val="00D00272"/>
    <w:rsid w:val="00D0033B"/>
    <w:rsid w:val="00D009B5"/>
    <w:rsid w:val="00D014A6"/>
    <w:rsid w:val="00D01575"/>
    <w:rsid w:val="00D01A15"/>
    <w:rsid w:val="00D01B9F"/>
    <w:rsid w:val="00D01BB4"/>
    <w:rsid w:val="00D01C58"/>
    <w:rsid w:val="00D02354"/>
    <w:rsid w:val="00D025C6"/>
    <w:rsid w:val="00D026EC"/>
    <w:rsid w:val="00D02736"/>
    <w:rsid w:val="00D028EB"/>
    <w:rsid w:val="00D02F44"/>
    <w:rsid w:val="00D0307A"/>
    <w:rsid w:val="00D03518"/>
    <w:rsid w:val="00D03775"/>
    <w:rsid w:val="00D03817"/>
    <w:rsid w:val="00D038CF"/>
    <w:rsid w:val="00D038D3"/>
    <w:rsid w:val="00D04025"/>
    <w:rsid w:val="00D04147"/>
    <w:rsid w:val="00D04208"/>
    <w:rsid w:val="00D0475B"/>
    <w:rsid w:val="00D0496C"/>
    <w:rsid w:val="00D04AAF"/>
    <w:rsid w:val="00D04B79"/>
    <w:rsid w:val="00D05080"/>
    <w:rsid w:val="00D0522E"/>
    <w:rsid w:val="00D05230"/>
    <w:rsid w:val="00D05654"/>
    <w:rsid w:val="00D05F4E"/>
    <w:rsid w:val="00D060A1"/>
    <w:rsid w:val="00D061F9"/>
    <w:rsid w:val="00D06413"/>
    <w:rsid w:val="00D06524"/>
    <w:rsid w:val="00D06633"/>
    <w:rsid w:val="00D06BE4"/>
    <w:rsid w:val="00D07022"/>
    <w:rsid w:val="00D073CD"/>
    <w:rsid w:val="00D07BDA"/>
    <w:rsid w:val="00D07F6E"/>
    <w:rsid w:val="00D105E9"/>
    <w:rsid w:val="00D107D6"/>
    <w:rsid w:val="00D10B1D"/>
    <w:rsid w:val="00D111AA"/>
    <w:rsid w:val="00D11805"/>
    <w:rsid w:val="00D11922"/>
    <w:rsid w:val="00D12179"/>
    <w:rsid w:val="00D12641"/>
    <w:rsid w:val="00D128DE"/>
    <w:rsid w:val="00D12D58"/>
    <w:rsid w:val="00D12F99"/>
    <w:rsid w:val="00D131E5"/>
    <w:rsid w:val="00D13DF3"/>
    <w:rsid w:val="00D156A5"/>
    <w:rsid w:val="00D156D1"/>
    <w:rsid w:val="00D15928"/>
    <w:rsid w:val="00D1596E"/>
    <w:rsid w:val="00D15A18"/>
    <w:rsid w:val="00D15AB3"/>
    <w:rsid w:val="00D161FC"/>
    <w:rsid w:val="00D163AE"/>
    <w:rsid w:val="00D16C2D"/>
    <w:rsid w:val="00D2002B"/>
    <w:rsid w:val="00D20AF2"/>
    <w:rsid w:val="00D20B8D"/>
    <w:rsid w:val="00D20E6E"/>
    <w:rsid w:val="00D21100"/>
    <w:rsid w:val="00D21253"/>
    <w:rsid w:val="00D2132C"/>
    <w:rsid w:val="00D216C8"/>
    <w:rsid w:val="00D21B4D"/>
    <w:rsid w:val="00D2214E"/>
    <w:rsid w:val="00D22ED4"/>
    <w:rsid w:val="00D234C4"/>
    <w:rsid w:val="00D235EC"/>
    <w:rsid w:val="00D2363D"/>
    <w:rsid w:val="00D236C4"/>
    <w:rsid w:val="00D23B63"/>
    <w:rsid w:val="00D23C12"/>
    <w:rsid w:val="00D23C8F"/>
    <w:rsid w:val="00D241F7"/>
    <w:rsid w:val="00D2428B"/>
    <w:rsid w:val="00D2440D"/>
    <w:rsid w:val="00D245B8"/>
    <w:rsid w:val="00D25029"/>
    <w:rsid w:val="00D2544E"/>
    <w:rsid w:val="00D259A6"/>
    <w:rsid w:val="00D25E1A"/>
    <w:rsid w:val="00D26686"/>
    <w:rsid w:val="00D26B69"/>
    <w:rsid w:val="00D26EB3"/>
    <w:rsid w:val="00D26FE4"/>
    <w:rsid w:val="00D272B6"/>
    <w:rsid w:val="00D274C1"/>
    <w:rsid w:val="00D274EC"/>
    <w:rsid w:val="00D27BBE"/>
    <w:rsid w:val="00D27F13"/>
    <w:rsid w:val="00D30841"/>
    <w:rsid w:val="00D30EBD"/>
    <w:rsid w:val="00D315F7"/>
    <w:rsid w:val="00D31A90"/>
    <w:rsid w:val="00D31A9E"/>
    <w:rsid w:val="00D3239C"/>
    <w:rsid w:val="00D324C7"/>
    <w:rsid w:val="00D32A10"/>
    <w:rsid w:val="00D33162"/>
    <w:rsid w:val="00D3339B"/>
    <w:rsid w:val="00D33CD7"/>
    <w:rsid w:val="00D33DC9"/>
    <w:rsid w:val="00D33F71"/>
    <w:rsid w:val="00D33FD4"/>
    <w:rsid w:val="00D34052"/>
    <w:rsid w:val="00D3465E"/>
    <w:rsid w:val="00D34912"/>
    <w:rsid w:val="00D34A8F"/>
    <w:rsid w:val="00D34A94"/>
    <w:rsid w:val="00D34B71"/>
    <w:rsid w:val="00D3532D"/>
    <w:rsid w:val="00D3550A"/>
    <w:rsid w:val="00D3551B"/>
    <w:rsid w:val="00D359DE"/>
    <w:rsid w:val="00D35E3D"/>
    <w:rsid w:val="00D35FCE"/>
    <w:rsid w:val="00D36223"/>
    <w:rsid w:val="00D3769D"/>
    <w:rsid w:val="00D3774B"/>
    <w:rsid w:val="00D377DC"/>
    <w:rsid w:val="00D37C5C"/>
    <w:rsid w:val="00D37C93"/>
    <w:rsid w:val="00D40138"/>
    <w:rsid w:val="00D404B5"/>
    <w:rsid w:val="00D40CAB"/>
    <w:rsid w:val="00D414D1"/>
    <w:rsid w:val="00D4172F"/>
    <w:rsid w:val="00D41817"/>
    <w:rsid w:val="00D418B4"/>
    <w:rsid w:val="00D4213B"/>
    <w:rsid w:val="00D4215A"/>
    <w:rsid w:val="00D424C8"/>
    <w:rsid w:val="00D425B0"/>
    <w:rsid w:val="00D42DBB"/>
    <w:rsid w:val="00D42F3F"/>
    <w:rsid w:val="00D430BC"/>
    <w:rsid w:val="00D43AEF"/>
    <w:rsid w:val="00D43D2F"/>
    <w:rsid w:val="00D44025"/>
    <w:rsid w:val="00D44262"/>
    <w:rsid w:val="00D442CD"/>
    <w:rsid w:val="00D444FE"/>
    <w:rsid w:val="00D449E6"/>
    <w:rsid w:val="00D452A8"/>
    <w:rsid w:val="00D458DD"/>
    <w:rsid w:val="00D45A57"/>
    <w:rsid w:val="00D45DFB"/>
    <w:rsid w:val="00D4632E"/>
    <w:rsid w:val="00D465AE"/>
    <w:rsid w:val="00D46885"/>
    <w:rsid w:val="00D468D1"/>
    <w:rsid w:val="00D46E18"/>
    <w:rsid w:val="00D4703A"/>
    <w:rsid w:val="00D47057"/>
    <w:rsid w:val="00D473BD"/>
    <w:rsid w:val="00D47460"/>
    <w:rsid w:val="00D47E57"/>
    <w:rsid w:val="00D504DA"/>
    <w:rsid w:val="00D5051E"/>
    <w:rsid w:val="00D50A8C"/>
    <w:rsid w:val="00D50A9A"/>
    <w:rsid w:val="00D5103E"/>
    <w:rsid w:val="00D51084"/>
    <w:rsid w:val="00D515D8"/>
    <w:rsid w:val="00D51DB7"/>
    <w:rsid w:val="00D520D1"/>
    <w:rsid w:val="00D520D9"/>
    <w:rsid w:val="00D523B5"/>
    <w:rsid w:val="00D5258C"/>
    <w:rsid w:val="00D5281A"/>
    <w:rsid w:val="00D52D0C"/>
    <w:rsid w:val="00D533F3"/>
    <w:rsid w:val="00D53584"/>
    <w:rsid w:val="00D535A7"/>
    <w:rsid w:val="00D53A1F"/>
    <w:rsid w:val="00D53DD2"/>
    <w:rsid w:val="00D543CD"/>
    <w:rsid w:val="00D54B8F"/>
    <w:rsid w:val="00D54C89"/>
    <w:rsid w:val="00D551D1"/>
    <w:rsid w:val="00D55483"/>
    <w:rsid w:val="00D55F73"/>
    <w:rsid w:val="00D56183"/>
    <w:rsid w:val="00D56194"/>
    <w:rsid w:val="00D56552"/>
    <w:rsid w:val="00D565C4"/>
    <w:rsid w:val="00D56B35"/>
    <w:rsid w:val="00D56C94"/>
    <w:rsid w:val="00D56F3D"/>
    <w:rsid w:val="00D56FDD"/>
    <w:rsid w:val="00D578BC"/>
    <w:rsid w:val="00D57ECD"/>
    <w:rsid w:val="00D60821"/>
    <w:rsid w:val="00D60954"/>
    <w:rsid w:val="00D60987"/>
    <w:rsid w:val="00D609F5"/>
    <w:rsid w:val="00D60E59"/>
    <w:rsid w:val="00D60FC8"/>
    <w:rsid w:val="00D610D4"/>
    <w:rsid w:val="00D61438"/>
    <w:rsid w:val="00D61622"/>
    <w:rsid w:val="00D61F2A"/>
    <w:rsid w:val="00D6204A"/>
    <w:rsid w:val="00D6219B"/>
    <w:rsid w:val="00D6249D"/>
    <w:rsid w:val="00D6335E"/>
    <w:rsid w:val="00D63B7A"/>
    <w:rsid w:val="00D63F04"/>
    <w:rsid w:val="00D63FFE"/>
    <w:rsid w:val="00D64073"/>
    <w:rsid w:val="00D64227"/>
    <w:rsid w:val="00D6517E"/>
    <w:rsid w:val="00D65236"/>
    <w:rsid w:val="00D652A3"/>
    <w:rsid w:val="00D658ED"/>
    <w:rsid w:val="00D65942"/>
    <w:rsid w:val="00D65D58"/>
    <w:rsid w:val="00D66080"/>
    <w:rsid w:val="00D66B2F"/>
    <w:rsid w:val="00D67049"/>
    <w:rsid w:val="00D671F7"/>
    <w:rsid w:val="00D671FA"/>
    <w:rsid w:val="00D67461"/>
    <w:rsid w:val="00D676C8"/>
    <w:rsid w:val="00D67B1C"/>
    <w:rsid w:val="00D701C1"/>
    <w:rsid w:val="00D70363"/>
    <w:rsid w:val="00D7038B"/>
    <w:rsid w:val="00D70AE8"/>
    <w:rsid w:val="00D70C3C"/>
    <w:rsid w:val="00D70F40"/>
    <w:rsid w:val="00D715EB"/>
    <w:rsid w:val="00D71682"/>
    <w:rsid w:val="00D71795"/>
    <w:rsid w:val="00D717FF"/>
    <w:rsid w:val="00D7207E"/>
    <w:rsid w:val="00D72469"/>
    <w:rsid w:val="00D72608"/>
    <w:rsid w:val="00D72820"/>
    <w:rsid w:val="00D72D3C"/>
    <w:rsid w:val="00D72FED"/>
    <w:rsid w:val="00D7389F"/>
    <w:rsid w:val="00D73AA7"/>
    <w:rsid w:val="00D73ACB"/>
    <w:rsid w:val="00D73BB0"/>
    <w:rsid w:val="00D74847"/>
    <w:rsid w:val="00D74A0A"/>
    <w:rsid w:val="00D74D5A"/>
    <w:rsid w:val="00D74EDA"/>
    <w:rsid w:val="00D74F53"/>
    <w:rsid w:val="00D74F6D"/>
    <w:rsid w:val="00D75051"/>
    <w:rsid w:val="00D75248"/>
    <w:rsid w:val="00D752F6"/>
    <w:rsid w:val="00D75309"/>
    <w:rsid w:val="00D75442"/>
    <w:rsid w:val="00D75583"/>
    <w:rsid w:val="00D7575A"/>
    <w:rsid w:val="00D757A0"/>
    <w:rsid w:val="00D763AF"/>
    <w:rsid w:val="00D76449"/>
    <w:rsid w:val="00D76967"/>
    <w:rsid w:val="00D76990"/>
    <w:rsid w:val="00D76F7C"/>
    <w:rsid w:val="00D80049"/>
    <w:rsid w:val="00D800CD"/>
    <w:rsid w:val="00D8090A"/>
    <w:rsid w:val="00D81161"/>
    <w:rsid w:val="00D816D6"/>
    <w:rsid w:val="00D81700"/>
    <w:rsid w:val="00D8177E"/>
    <w:rsid w:val="00D82385"/>
    <w:rsid w:val="00D82560"/>
    <w:rsid w:val="00D83C35"/>
    <w:rsid w:val="00D84F5C"/>
    <w:rsid w:val="00D85292"/>
    <w:rsid w:val="00D85980"/>
    <w:rsid w:val="00D85C4E"/>
    <w:rsid w:val="00D86060"/>
    <w:rsid w:val="00D86B22"/>
    <w:rsid w:val="00D86CAD"/>
    <w:rsid w:val="00D86EE2"/>
    <w:rsid w:val="00D86F4D"/>
    <w:rsid w:val="00D8714F"/>
    <w:rsid w:val="00D872FD"/>
    <w:rsid w:val="00D876F6"/>
    <w:rsid w:val="00D87BCE"/>
    <w:rsid w:val="00D87E7E"/>
    <w:rsid w:val="00D9008A"/>
    <w:rsid w:val="00D903C6"/>
    <w:rsid w:val="00D9078E"/>
    <w:rsid w:val="00D90DB3"/>
    <w:rsid w:val="00D9100A"/>
    <w:rsid w:val="00D91827"/>
    <w:rsid w:val="00D91D91"/>
    <w:rsid w:val="00D92B61"/>
    <w:rsid w:val="00D92B6A"/>
    <w:rsid w:val="00D92E6D"/>
    <w:rsid w:val="00D92F9B"/>
    <w:rsid w:val="00D937C5"/>
    <w:rsid w:val="00D94737"/>
    <w:rsid w:val="00D949E4"/>
    <w:rsid w:val="00D94AFF"/>
    <w:rsid w:val="00D95089"/>
    <w:rsid w:val="00D953AE"/>
    <w:rsid w:val="00D955F6"/>
    <w:rsid w:val="00D957F3"/>
    <w:rsid w:val="00D95998"/>
    <w:rsid w:val="00D96208"/>
    <w:rsid w:val="00D9636D"/>
    <w:rsid w:val="00D964CC"/>
    <w:rsid w:val="00D96537"/>
    <w:rsid w:val="00D96763"/>
    <w:rsid w:val="00D96984"/>
    <w:rsid w:val="00D96A7A"/>
    <w:rsid w:val="00D96FD7"/>
    <w:rsid w:val="00D970E7"/>
    <w:rsid w:val="00D974C9"/>
    <w:rsid w:val="00D9762E"/>
    <w:rsid w:val="00D976F1"/>
    <w:rsid w:val="00D978C8"/>
    <w:rsid w:val="00D97AE4"/>
    <w:rsid w:val="00D97B6E"/>
    <w:rsid w:val="00D97B85"/>
    <w:rsid w:val="00D97FCD"/>
    <w:rsid w:val="00DA00E0"/>
    <w:rsid w:val="00DA035C"/>
    <w:rsid w:val="00DA0786"/>
    <w:rsid w:val="00DA0BEC"/>
    <w:rsid w:val="00DA0E40"/>
    <w:rsid w:val="00DA1936"/>
    <w:rsid w:val="00DA1D36"/>
    <w:rsid w:val="00DA1EF7"/>
    <w:rsid w:val="00DA22C3"/>
    <w:rsid w:val="00DA2980"/>
    <w:rsid w:val="00DA314C"/>
    <w:rsid w:val="00DA3B61"/>
    <w:rsid w:val="00DA4333"/>
    <w:rsid w:val="00DA446F"/>
    <w:rsid w:val="00DA4829"/>
    <w:rsid w:val="00DA4F3B"/>
    <w:rsid w:val="00DA518E"/>
    <w:rsid w:val="00DA53B8"/>
    <w:rsid w:val="00DA56AB"/>
    <w:rsid w:val="00DA579C"/>
    <w:rsid w:val="00DA621A"/>
    <w:rsid w:val="00DA653B"/>
    <w:rsid w:val="00DA6A1F"/>
    <w:rsid w:val="00DA6A7D"/>
    <w:rsid w:val="00DA6B26"/>
    <w:rsid w:val="00DA6CB9"/>
    <w:rsid w:val="00DA718A"/>
    <w:rsid w:val="00DA73AA"/>
    <w:rsid w:val="00DA7616"/>
    <w:rsid w:val="00DA788F"/>
    <w:rsid w:val="00DA7D3D"/>
    <w:rsid w:val="00DB0085"/>
    <w:rsid w:val="00DB053A"/>
    <w:rsid w:val="00DB0556"/>
    <w:rsid w:val="00DB05AE"/>
    <w:rsid w:val="00DB0FFA"/>
    <w:rsid w:val="00DB10C8"/>
    <w:rsid w:val="00DB142B"/>
    <w:rsid w:val="00DB16C7"/>
    <w:rsid w:val="00DB1788"/>
    <w:rsid w:val="00DB181F"/>
    <w:rsid w:val="00DB18AB"/>
    <w:rsid w:val="00DB1C34"/>
    <w:rsid w:val="00DB1CC8"/>
    <w:rsid w:val="00DB275B"/>
    <w:rsid w:val="00DB28CB"/>
    <w:rsid w:val="00DB297A"/>
    <w:rsid w:val="00DB29A2"/>
    <w:rsid w:val="00DB2E27"/>
    <w:rsid w:val="00DB2EAA"/>
    <w:rsid w:val="00DB34A1"/>
    <w:rsid w:val="00DB3595"/>
    <w:rsid w:val="00DB35AF"/>
    <w:rsid w:val="00DB367C"/>
    <w:rsid w:val="00DB3680"/>
    <w:rsid w:val="00DB3A5E"/>
    <w:rsid w:val="00DB3B0D"/>
    <w:rsid w:val="00DB3D3A"/>
    <w:rsid w:val="00DB3F12"/>
    <w:rsid w:val="00DB3F5B"/>
    <w:rsid w:val="00DB44A2"/>
    <w:rsid w:val="00DB48D2"/>
    <w:rsid w:val="00DB4B23"/>
    <w:rsid w:val="00DB4B3E"/>
    <w:rsid w:val="00DB4DE7"/>
    <w:rsid w:val="00DB4F28"/>
    <w:rsid w:val="00DB503C"/>
    <w:rsid w:val="00DB5357"/>
    <w:rsid w:val="00DB55A0"/>
    <w:rsid w:val="00DB580F"/>
    <w:rsid w:val="00DB659D"/>
    <w:rsid w:val="00DB691D"/>
    <w:rsid w:val="00DB6952"/>
    <w:rsid w:val="00DB6A96"/>
    <w:rsid w:val="00DB6E8E"/>
    <w:rsid w:val="00DB7124"/>
    <w:rsid w:val="00DB720A"/>
    <w:rsid w:val="00DB72FE"/>
    <w:rsid w:val="00DB743E"/>
    <w:rsid w:val="00DB7701"/>
    <w:rsid w:val="00DC081A"/>
    <w:rsid w:val="00DC09BD"/>
    <w:rsid w:val="00DC0AF0"/>
    <w:rsid w:val="00DC1365"/>
    <w:rsid w:val="00DC1369"/>
    <w:rsid w:val="00DC13EF"/>
    <w:rsid w:val="00DC161F"/>
    <w:rsid w:val="00DC1885"/>
    <w:rsid w:val="00DC1A3C"/>
    <w:rsid w:val="00DC1F1A"/>
    <w:rsid w:val="00DC1FEE"/>
    <w:rsid w:val="00DC260D"/>
    <w:rsid w:val="00DC2A5A"/>
    <w:rsid w:val="00DC3390"/>
    <w:rsid w:val="00DC3653"/>
    <w:rsid w:val="00DC3C4E"/>
    <w:rsid w:val="00DC3E6D"/>
    <w:rsid w:val="00DC4266"/>
    <w:rsid w:val="00DC4276"/>
    <w:rsid w:val="00DC4399"/>
    <w:rsid w:val="00DC4BF2"/>
    <w:rsid w:val="00DC4C4B"/>
    <w:rsid w:val="00DC4F09"/>
    <w:rsid w:val="00DC4F14"/>
    <w:rsid w:val="00DC519A"/>
    <w:rsid w:val="00DC5212"/>
    <w:rsid w:val="00DC5374"/>
    <w:rsid w:val="00DC561F"/>
    <w:rsid w:val="00DC5648"/>
    <w:rsid w:val="00DC5979"/>
    <w:rsid w:val="00DC59E7"/>
    <w:rsid w:val="00DC60DB"/>
    <w:rsid w:val="00DC6111"/>
    <w:rsid w:val="00DC6141"/>
    <w:rsid w:val="00DC6142"/>
    <w:rsid w:val="00DC6203"/>
    <w:rsid w:val="00DC6378"/>
    <w:rsid w:val="00DC6777"/>
    <w:rsid w:val="00DC6971"/>
    <w:rsid w:val="00DC6D08"/>
    <w:rsid w:val="00DC6ECD"/>
    <w:rsid w:val="00DC72F1"/>
    <w:rsid w:val="00DC7361"/>
    <w:rsid w:val="00DD0352"/>
    <w:rsid w:val="00DD0B2A"/>
    <w:rsid w:val="00DD0BE3"/>
    <w:rsid w:val="00DD1487"/>
    <w:rsid w:val="00DD1586"/>
    <w:rsid w:val="00DD1A86"/>
    <w:rsid w:val="00DD1D79"/>
    <w:rsid w:val="00DD1DB8"/>
    <w:rsid w:val="00DD1DD4"/>
    <w:rsid w:val="00DD1E2D"/>
    <w:rsid w:val="00DD1FF8"/>
    <w:rsid w:val="00DD20C7"/>
    <w:rsid w:val="00DD2340"/>
    <w:rsid w:val="00DD2592"/>
    <w:rsid w:val="00DD2CB2"/>
    <w:rsid w:val="00DD32C7"/>
    <w:rsid w:val="00DD395E"/>
    <w:rsid w:val="00DD3CDC"/>
    <w:rsid w:val="00DD3F9D"/>
    <w:rsid w:val="00DD453D"/>
    <w:rsid w:val="00DD458E"/>
    <w:rsid w:val="00DD4A65"/>
    <w:rsid w:val="00DD4FBC"/>
    <w:rsid w:val="00DD51D9"/>
    <w:rsid w:val="00DD566E"/>
    <w:rsid w:val="00DD580F"/>
    <w:rsid w:val="00DD5BBA"/>
    <w:rsid w:val="00DD607A"/>
    <w:rsid w:val="00DD62A5"/>
    <w:rsid w:val="00DD649C"/>
    <w:rsid w:val="00DD66CF"/>
    <w:rsid w:val="00DD6CFA"/>
    <w:rsid w:val="00DD6D70"/>
    <w:rsid w:val="00DD7135"/>
    <w:rsid w:val="00DD7167"/>
    <w:rsid w:val="00DD7238"/>
    <w:rsid w:val="00DD7505"/>
    <w:rsid w:val="00DD77CC"/>
    <w:rsid w:val="00DD78DB"/>
    <w:rsid w:val="00DD799A"/>
    <w:rsid w:val="00DD79AC"/>
    <w:rsid w:val="00DD7C1F"/>
    <w:rsid w:val="00DD7EBD"/>
    <w:rsid w:val="00DE01D2"/>
    <w:rsid w:val="00DE0366"/>
    <w:rsid w:val="00DE0F36"/>
    <w:rsid w:val="00DE17E6"/>
    <w:rsid w:val="00DE198B"/>
    <w:rsid w:val="00DE1A34"/>
    <w:rsid w:val="00DE22B0"/>
    <w:rsid w:val="00DE375C"/>
    <w:rsid w:val="00DE3792"/>
    <w:rsid w:val="00DE37A0"/>
    <w:rsid w:val="00DE3873"/>
    <w:rsid w:val="00DE389F"/>
    <w:rsid w:val="00DE3CDF"/>
    <w:rsid w:val="00DE3F92"/>
    <w:rsid w:val="00DE3FDA"/>
    <w:rsid w:val="00DE40A8"/>
    <w:rsid w:val="00DE40AA"/>
    <w:rsid w:val="00DE420A"/>
    <w:rsid w:val="00DE4293"/>
    <w:rsid w:val="00DE44B0"/>
    <w:rsid w:val="00DE45B6"/>
    <w:rsid w:val="00DE46B7"/>
    <w:rsid w:val="00DE4B2F"/>
    <w:rsid w:val="00DE4CCD"/>
    <w:rsid w:val="00DE4E1A"/>
    <w:rsid w:val="00DE4E52"/>
    <w:rsid w:val="00DE4EBF"/>
    <w:rsid w:val="00DE5411"/>
    <w:rsid w:val="00DE60D9"/>
    <w:rsid w:val="00DE61AE"/>
    <w:rsid w:val="00DE6956"/>
    <w:rsid w:val="00DE6B5B"/>
    <w:rsid w:val="00DE6CBC"/>
    <w:rsid w:val="00DE6FC7"/>
    <w:rsid w:val="00DE7140"/>
    <w:rsid w:val="00DE71FB"/>
    <w:rsid w:val="00DE78D6"/>
    <w:rsid w:val="00DE797A"/>
    <w:rsid w:val="00DE7A1F"/>
    <w:rsid w:val="00DE7B27"/>
    <w:rsid w:val="00DE7C65"/>
    <w:rsid w:val="00DF0087"/>
    <w:rsid w:val="00DF0218"/>
    <w:rsid w:val="00DF05F0"/>
    <w:rsid w:val="00DF0816"/>
    <w:rsid w:val="00DF0878"/>
    <w:rsid w:val="00DF08C7"/>
    <w:rsid w:val="00DF0DB8"/>
    <w:rsid w:val="00DF0E12"/>
    <w:rsid w:val="00DF0F48"/>
    <w:rsid w:val="00DF2264"/>
    <w:rsid w:val="00DF22B7"/>
    <w:rsid w:val="00DF23D6"/>
    <w:rsid w:val="00DF2527"/>
    <w:rsid w:val="00DF28D8"/>
    <w:rsid w:val="00DF2A8E"/>
    <w:rsid w:val="00DF2CDA"/>
    <w:rsid w:val="00DF2EB2"/>
    <w:rsid w:val="00DF2EC1"/>
    <w:rsid w:val="00DF3B40"/>
    <w:rsid w:val="00DF41FA"/>
    <w:rsid w:val="00DF42E8"/>
    <w:rsid w:val="00DF49DB"/>
    <w:rsid w:val="00DF4BDE"/>
    <w:rsid w:val="00DF4FD1"/>
    <w:rsid w:val="00DF5D6B"/>
    <w:rsid w:val="00DF5DCC"/>
    <w:rsid w:val="00DF60E1"/>
    <w:rsid w:val="00DF6322"/>
    <w:rsid w:val="00DF6A43"/>
    <w:rsid w:val="00DF6B5E"/>
    <w:rsid w:val="00DF77D1"/>
    <w:rsid w:val="00E00185"/>
    <w:rsid w:val="00E001FA"/>
    <w:rsid w:val="00E0064D"/>
    <w:rsid w:val="00E008D3"/>
    <w:rsid w:val="00E01345"/>
    <w:rsid w:val="00E01525"/>
    <w:rsid w:val="00E019A1"/>
    <w:rsid w:val="00E01AC5"/>
    <w:rsid w:val="00E01C23"/>
    <w:rsid w:val="00E02022"/>
    <w:rsid w:val="00E02200"/>
    <w:rsid w:val="00E024C5"/>
    <w:rsid w:val="00E0282D"/>
    <w:rsid w:val="00E02897"/>
    <w:rsid w:val="00E02B6C"/>
    <w:rsid w:val="00E02EB5"/>
    <w:rsid w:val="00E03033"/>
    <w:rsid w:val="00E0315A"/>
    <w:rsid w:val="00E033EF"/>
    <w:rsid w:val="00E037A5"/>
    <w:rsid w:val="00E0385D"/>
    <w:rsid w:val="00E03995"/>
    <w:rsid w:val="00E03D6F"/>
    <w:rsid w:val="00E03DB3"/>
    <w:rsid w:val="00E0405E"/>
    <w:rsid w:val="00E04C47"/>
    <w:rsid w:val="00E055BE"/>
    <w:rsid w:val="00E056D7"/>
    <w:rsid w:val="00E05791"/>
    <w:rsid w:val="00E058AB"/>
    <w:rsid w:val="00E05E54"/>
    <w:rsid w:val="00E05E5C"/>
    <w:rsid w:val="00E05EE0"/>
    <w:rsid w:val="00E05FB5"/>
    <w:rsid w:val="00E0660F"/>
    <w:rsid w:val="00E06894"/>
    <w:rsid w:val="00E06BE5"/>
    <w:rsid w:val="00E06C4F"/>
    <w:rsid w:val="00E06F0A"/>
    <w:rsid w:val="00E073C0"/>
    <w:rsid w:val="00E0760D"/>
    <w:rsid w:val="00E078D0"/>
    <w:rsid w:val="00E07AE1"/>
    <w:rsid w:val="00E07EE8"/>
    <w:rsid w:val="00E07F1A"/>
    <w:rsid w:val="00E07FFD"/>
    <w:rsid w:val="00E100A9"/>
    <w:rsid w:val="00E101FC"/>
    <w:rsid w:val="00E102FA"/>
    <w:rsid w:val="00E10351"/>
    <w:rsid w:val="00E11006"/>
    <w:rsid w:val="00E1128C"/>
    <w:rsid w:val="00E116C3"/>
    <w:rsid w:val="00E11D38"/>
    <w:rsid w:val="00E11F87"/>
    <w:rsid w:val="00E122AD"/>
    <w:rsid w:val="00E12C74"/>
    <w:rsid w:val="00E13166"/>
    <w:rsid w:val="00E132A1"/>
    <w:rsid w:val="00E138FD"/>
    <w:rsid w:val="00E13A37"/>
    <w:rsid w:val="00E13DF6"/>
    <w:rsid w:val="00E13E18"/>
    <w:rsid w:val="00E141CC"/>
    <w:rsid w:val="00E14211"/>
    <w:rsid w:val="00E14A15"/>
    <w:rsid w:val="00E14F1D"/>
    <w:rsid w:val="00E158C8"/>
    <w:rsid w:val="00E168AB"/>
    <w:rsid w:val="00E17F2A"/>
    <w:rsid w:val="00E20CFE"/>
    <w:rsid w:val="00E21068"/>
    <w:rsid w:val="00E211DA"/>
    <w:rsid w:val="00E21AB9"/>
    <w:rsid w:val="00E21BF1"/>
    <w:rsid w:val="00E21E70"/>
    <w:rsid w:val="00E21FF3"/>
    <w:rsid w:val="00E22546"/>
    <w:rsid w:val="00E22871"/>
    <w:rsid w:val="00E22BB5"/>
    <w:rsid w:val="00E22CBF"/>
    <w:rsid w:val="00E2307E"/>
    <w:rsid w:val="00E2308C"/>
    <w:rsid w:val="00E23419"/>
    <w:rsid w:val="00E239C9"/>
    <w:rsid w:val="00E243E4"/>
    <w:rsid w:val="00E24418"/>
    <w:rsid w:val="00E24473"/>
    <w:rsid w:val="00E24543"/>
    <w:rsid w:val="00E24ABF"/>
    <w:rsid w:val="00E24D53"/>
    <w:rsid w:val="00E24E0A"/>
    <w:rsid w:val="00E250C8"/>
    <w:rsid w:val="00E250DD"/>
    <w:rsid w:val="00E26330"/>
    <w:rsid w:val="00E26484"/>
    <w:rsid w:val="00E268C6"/>
    <w:rsid w:val="00E269C7"/>
    <w:rsid w:val="00E26A85"/>
    <w:rsid w:val="00E26AB7"/>
    <w:rsid w:val="00E26C3C"/>
    <w:rsid w:val="00E26F59"/>
    <w:rsid w:val="00E27100"/>
    <w:rsid w:val="00E27719"/>
    <w:rsid w:val="00E3007C"/>
    <w:rsid w:val="00E304FB"/>
    <w:rsid w:val="00E30618"/>
    <w:rsid w:val="00E30C66"/>
    <w:rsid w:val="00E31159"/>
    <w:rsid w:val="00E31275"/>
    <w:rsid w:val="00E31614"/>
    <w:rsid w:val="00E31FEB"/>
    <w:rsid w:val="00E325D4"/>
    <w:rsid w:val="00E330CB"/>
    <w:rsid w:val="00E33182"/>
    <w:rsid w:val="00E332AE"/>
    <w:rsid w:val="00E3332B"/>
    <w:rsid w:val="00E338B4"/>
    <w:rsid w:val="00E338C7"/>
    <w:rsid w:val="00E342C9"/>
    <w:rsid w:val="00E34308"/>
    <w:rsid w:val="00E3456C"/>
    <w:rsid w:val="00E345B2"/>
    <w:rsid w:val="00E34660"/>
    <w:rsid w:val="00E349F5"/>
    <w:rsid w:val="00E34D26"/>
    <w:rsid w:val="00E3564B"/>
    <w:rsid w:val="00E35847"/>
    <w:rsid w:val="00E35BE4"/>
    <w:rsid w:val="00E35E19"/>
    <w:rsid w:val="00E360B0"/>
    <w:rsid w:val="00E36271"/>
    <w:rsid w:val="00E36380"/>
    <w:rsid w:val="00E364F2"/>
    <w:rsid w:val="00E36507"/>
    <w:rsid w:val="00E366DD"/>
    <w:rsid w:val="00E366E1"/>
    <w:rsid w:val="00E367B8"/>
    <w:rsid w:val="00E36870"/>
    <w:rsid w:val="00E36A89"/>
    <w:rsid w:val="00E36B85"/>
    <w:rsid w:val="00E37309"/>
    <w:rsid w:val="00E378C5"/>
    <w:rsid w:val="00E40116"/>
    <w:rsid w:val="00E40130"/>
    <w:rsid w:val="00E40AB0"/>
    <w:rsid w:val="00E40D21"/>
    <w:rsid w:val="00E40F84"/>
    <w:rsid w:val="00E41138"/>
    <w:rsid w:val="00E412D9"/>
    <w:rsid w:val="00E4156B"/>
    <w:rsid w:val="00E415CE"/>
    <w:rsid w:val="00E41641"/>
    <w:rsid w:val="00E41693"/>
    <w:rsid w:val="00E41F32"/>
    <w:rsid w:val="00E42C38"/>
    <w:rsid w:val="00E43510"/>
    <w:rsid w:val="00E4358B"/>
    <w:rsid w:val="00E437B2"/>
    <w:rsid w:val="00E43E6A"/>
    <w:rsid w:val="00E43E9C"/>
    <w:rsid w:val="00E442CC"/>
    <w:rsid w:val="00E450C9"/>
    <w:rsid w:val="00E4521A"/>
    <w:rsid w:val="00E4558F"/>
    <w:rsid w:val="00E459D6"/>
    <w:rsid w:val="00E45BFD"/>
    <w:rsid w:val="00E45CF2"/>
    <w:rsid w:val="00E45D85"/>
    <w:rsid w:val="00E45E0B"/>
    <w:rsid w:val="00E4626B"/>
    <w:rsid w:val="00E46757"/>
    <w:rsid w:val="00E46892"/>
    <w:rsid w:val="00E46903"/>
    <w:rsid w:val="00E46B79"/>
    <w:rsid w:val="00E46C16"/>
    <w:rsid w:val="00E46F7B"/>
    <w:rsid w:val="00E47226"/>
    <w:rsid w:val="00E47C30"/>
    <w:rsid w:val="00E47EB3"/>
    <w:rsid w:val="00E47F06"/>
    <w:rsid w:val="00E5069E"/>
    <w:rsid w:val="00E507FD"/>
    <w:rsid w:val="00E50C39"/>
    <w:rsid w:val="00E5108C"/>
    <w:rsid w:val="00E51AD5"/>
    <w:rsid w:val="00E5218B"/>
    <w:rsid w:val="00E52300"/>
    <w:rsid w:val="00E52482"/>
    <w:rsid w:val="00E52507"/>
    <w:rsid w:val="00E5291C"/>
    <w:rsid w:val="00E52BF6"/>
    <w:rsid w:val="00E52E85"/>
    <w:rsid w:val="00E530CC"/>
    <w:rsid w:val="00E53295"/>
    <w:rsid w:val="00E53757"/>
    <w:rsid w:val="00E53D39"/>
    <w:rsid w:val="00E541AB"/>
    <w:rsid w:val="00E54306"/>
    <w:rsid w:val="00E54CBC"/>
    <w:rsid w:val="00E5541C"/>
    <w:rsid w:val="00E5551C"/>
    <w:rsid w:val="00E55733"/>
    <w:rsid w:val="00E55983"/>
    <w:rsid w:val="00E55BAA"/>
    <w:rsid w:val="00E55E9F"/>
    <w:rsid w:val="00E55F6F"/>
    <w:rsid w:val="00E56047"/>
    <w:rsid w:val="00E561E7"/>
    <w:rsid w:val="00E56680"/>
    <w:rsid w:val="00E56892"/>
    <w:rsid w:val="00E56C4A"/>
    <w:rsid w:val="00E56D80"/>
    <w:rsid w:val="00E5720C"/>
    <w:rsid w:val="00E5736D"/>
    <w:rsid w:val="00E57634"/>
    <w:rsid w:val="00E57957"/>
    <w:rsid w:val="00E57A69"/>
    <w:rsid w:val="00E60487"/>
    <w:rsid w:val="00E609E7"/>
    <w:rsid w:val="00E60F73"/>
    <w:rsid w:val="00E61138"/>
    <w:rsid w:val="00E6119A"/>
    <w:rsid w:val="00E61743"/>
    <w:rsid w:val="00E6193B"/>
    <w:rsid w:val="00E622A6"/>
    <w:rsid w:val="00E623D0"/>
    <w:rsid w:val="00E6273E"/>
    <w:rsid w:val="00E628CB"/>
    <w:rsid w:val="00E62CCD"/>
    <w:rsid w:val="00E632E7"/>
    <w:rsid w:val="00E6358B"/>
    <w:rsid w:val="00E63736"/>
    <w:rsid w:val="00E63D54"/>
    <w:rsid w:val="00E6427B"/>
    <w:rsid w:val="00E642F7"/>
    <w:rsid w:val="00E64B11"/>
    <w:rsid w:val="00E650CB"/>
    <w:rsid w:val="00E65286"/>
    <w:rsid w:val="00E65F83"/>
    <w:rsid w:val="00E66404"/>
    <w:rsid w:val="00E66665"/>
    <w:rsid w:val="00E666F3"/>
    <w:rsid w:val="00E66783"/>
    <w:rsid w:val="00E66ADF"/>
    <w:rsid w:val="00E66F3D"/>
    <w:rsid w:val="00E6711A"/>
    <w:rsid w:val="00E67202"/>
    <w:rsid w:val="00E6728F"/>
    <w:rsid w:val="00E67403"/>
    <w:rsid w:val="00E67882"/>
    <w:rsid w:val="00E67B3C"/>
    <w:rsid w:val="00E67EEE"/>
    <w:rsid w:val="00E7083A"/>
    <w:rsid w:val="00E70C5B"/>
    <w:rsid w:val="00E70D4B"/>
    <w:rsid w:val="00E70FAD"/>
    <w:rsid w:val="00E71269"/>
    <w:rsid w:val="00E71295"/>
    <w:rsid w:val="00E7136A"/>
    <w:rsid w:val="00E71B5C"/>
    <w:rsid w:val="00E72E0C"/>
    <w:rsid w:val="00E7308F"/>
    <w:rsid w:val="00E73098"/>
    <w:rsid w:val="00E731B1"/>
    <w:rsid w:val="00E73204"/>
    <w:rsid w:val="00E739F0"/>
    <w:rsid w:val="00E73B96"/>
    <w:rsid w:val="00E74445"/>
    <w:rsid w:val="00E744C6"/>
    <w:rsid w:val="00E748CD"/>
    <w:rsid w:val="00E75926"/>
    <w:rsid w:val="00E75CBB"/>
    <w:rsid w:val="00E763F2"/>
    <w:rsid w:val="00E76A6A"/>
    <w:rsid w:val="00E76BAA"/>
    <w:rsid w:val="00E77205"/>
    <w:rsid w:val="00E7751B"/>
    <w:rsid w:val="00E775CA"/>
    <w:rsid w:val="00E7771A"/>
    <w:rsid w:val="00E77CF9"/>
    <w:rsid w:val="00E77EE8"/>
    <w:rsid w:val="00E77EEC"/>
    <w:rsid w:val="00E80024"/>
    <w:rsid w:val="00E800D7"/>
    <w:rsid w:val="00E8132F"/>
    <w:rsid w:val="00E81B08"/>
    <w:rsid w:val="00E81B5D"/>
    <w:rsid w:val="00E81DF3"/>
    <w:rsid w:val="00E82529"/>
    <w:rsid w:val="00E82646"/>
    <w:rsid w:val="00E82949"/>
    <w:rsid w:val="00E83694"/>
    <w:rsid w:val="00E83BAA"/>
    <w:rsid w:val="00E84097"/>
    <w:rsid w:val="00E842BA"/>
    <w:rsid w:val="00E84579"/>
    <w:rsid w:val="00E8472A"/>
    <w:rsid w:val="00E8484E"/>
    <w:rsid w:val="00E84D54"/>
    <w:rsid w:val="00E85190"/>
    <w:rsid w:val="00E85420"/>
    <w:rsid w:val="00E85548"/>
    <w:rsid w:val="00E85E47"/>
    <w:rsid w:val="00E8634E"/>
    <w:rsid w:val="00E86607"/>
    <w:rsid w:val="00E8729B"/>
    <w:rsid w:val="00E87D8B"/>
    <w:rsid w:val="00E87F7F"/>
    <w:rsid w:val="00E87FAC"/>
    <w:rsid w:val="00E901B1"/>
    <w:rsid w:val="00E9052C"/>
    <w:rsid w:val="00E90BA5"/>
    <w:rsid w:val="00E91610"/>
    <w:rsid w:val="00E9165C"/>
    <w:rsid w:val="00E921A7"/>
    <w:rsid w:val="00E9264F"/>
    <w:rsid w:val="00E92707"/>
    <w:rsid w:val="00E92AA6"/>
    <w:rsid w:val="00E92C40"/>
    <w:rsid w:val="00E933A9"/>
    <w:rsid w:val="00E935C8"/>
    <w:rsid w:val="00E93C12"/>
    <w:rsid w:val="00E93EEB"/>
    <w:rsid w:val="00E9443F"/>
    <w:rsid w:val="00E94B54"/>
    <w:rsid w:val="00E95153"/>
    <w:rsid w:val="00E9539F"/>
    <w:rsid w:val="00E954C7"/>
    <w:rsid w:val="00E959AD"/>
    <w:rsid w:val="00E95DD0"/>
    <w:rsid w:val="00E95F6B"/>
    <w:rsid w:val="00E96143"/>
    <w:rsid w:val="00E967E5"/>
    <w:rsid w:val="00E96917"/>
    <w:rsid w:val="00E97D9B"/>
    <w:rsid w:val="00E97EFF"/>
    <w:rsid w:val="00EA0B27"/>
    <w:rsid w:val="00EA0DFC"/>
    <w:rsid w:val="00EA0FAD"/>
    <w:rsid w:val="00EA16F1"/>
    <w:rsid w:val="00EA1A3D"/>
    <w:rsid w:val="00EA1D74"/>
    <w:rsid w:val="00EA1E33"/>
    <w:rsid w:val="00EA26AF"/>
    <w:rsid w:val="00EA2862"/>
    <w:rsid w:val="00EA328B"/>
    <w:rsid w:val="00EA3450"/>
    <w:rsid w:val="00EA34A8"/>
    <w:rsid w:val="00EA3725"/>
    <w:rsid w:val="00EA3941"/>
    <w:rsid w:val="00EA3B1A"/>
    <w:rsid w:val="00EA3B99"/>
    <w:rsid w:val="00EA438B"/>
    <w:rsid w:val="00EA4A9F"/>
    <w:rsid w:val="00EA4DE4"/>
    <w:rsid w:val="00EA5B74"/>
    <w:rsid w:val="00EA5EB8"/>
    <w:rsid w:val="00EA62FF"/>
    <w:rsid w:val="00EA67D5"/>
    <w:rsid w:val="00EA6CDB"/>
    <w:rsid w:val="00EA7053"/>
    <w:rsid w:val="00EA751A"/>
    <w:rsid w:val="00EA75FB"/>
    <w:rsid w:val="00EA7C7D"/>
    <w:rsid w:val="00EB0569"/>
    <w:rsid w:val="00EB062B"/>
    <w:rsid w:val="00EB1754"/>
    <w:rsid w:val="00EB1898"/>
    <w:rsid w:val="00EB1A60"/>
    <w:rsid w:val="00EB1AAF"/>
    <w:rsid w:val="00EB1ADE"/>
    <w:rsid w:val="00EB2967"/>
    <w:rsid w:val="00EB2985"/>
    <w:rsid w:val="00EB2C57"/>
    <w:rsid w:val="00EB2D5B"/>
    <w:rsid w:val="00EB3356"/>
    <w:rsid w:val="00EB35DD"/>
    <w:rsid w:val="00EB3E8E"/>
    <w:rsid w:val="00EB47A0"/>
    <w:rsid w:val="00EB4931"/>
    <w:rsid w:val="00EB5296"/>
    <w:rsid w:val="00EB52D2"/>
    <w:rsid w:val="00EB5811"/>
    <w:rsid w:val="00EB649D"/>
    <w:rsid w:val="00EB736A"/>
    <w:rsid w:val="00EB7631"/>
    <w:rsid w:val="00EB765D"/>
    <w:rsid w:val="00EB785D"/>
    <w:rsid w:val="00EB7877"/>
    <w:rsid w:val="00EB7D19"/>
    <w:rsid w:val="00EC031D"/>
    <w:rsid w:val="00EC0585"/>
    <w:rsid w:val="00EC064A"/>
    <w:rsid w:val="00EC095F"/>
    <w:rsid w:val="00EC13FE"/>
    <w:rsid w:val="00EC1466"/>
    <w:rsid w:val="00EC164E"/>
    <w:rsid w:val="00EC1AF8"/>
    <w:rsid w:val="00EC1B46"/>
    <w:rsid w:val="00EC1DFA"/>
    <w:rsid w:val="00EC2496"/>
    <w:rsid w:val="00EC25BD"/>
    <w:rsid w:val="00EC2A05"/>
    <w:rsid w:val="00EC2EB6"/>
    <w:rsid w:val="00EC3908"/>
    <w:rsid w:val="00EC4A70"/>
    <w:rsid w:val="00EC4BDF"/>
    <w:rsid w:val="00EC4C51"/>
    <w:rsid w:val="00EC4EB3"/>
    <w:rsid w:val="00EC5307"/>
    <w:rsid w:val="00EC5975"/>
    <w:rsid w:val="00EC5E22"/>
    <w:rsid w:val="00EC5FDC"/>
    <w:rsid w:val="00EC62C9"/>
    <w:rsid w:val="00EC6AC7"/>
    <w:rsid w:val="00EC6EBD"/>
    <w:rsid w:val="00EC6F40"/>
    <w:rsid w:val="00EC6FEA"/>
    <w:rsid w:val="00EC788A"/>
    <w:rsid w:val="00ED02FF"/>
    <w:rsid w:val="00ED0449"/>
    <w:rsid w:val="00ED05DD"/>
    <w:rsid w:val="00ED085E"/>
    <w:rsid w:val="00ED08B4"/>
    <w:rsid w:val="00ED0D4B"/>
    <w:rsid w:val="00ED0F5E"/>
    <w:rsid w:val="00ED1662"/>
    <w:rsid w:val="00ED1697"/>
    <w:rsid w:val="00ED16E0"/>
    <w:rsid w:val="00ED174D"/>
    <w:rsid w:val="00ED1B9A"/>
    <w:rsid w:val="00ED1C7D"/>
    <w:rsid w:val="00ED1CEC"/>
    <w:rsid w:val="00ED1D70"/>
    <w:rsid w:val="00ED1FCE"/>
    <w:rsid w:val="00ED2579"/>
    <w:rsid w:val="00ED26BB"/>
    <w:rsid w:val="00ED27DB"/>
    <w:rsid w:val="00ED2C2E"/>
    <w:rsid w:val="00ED2DDD"/>
    <w:rsid w:val="00ED3167"/>
    <w:rsid w:val="00ED33A1"/>
    <w:rsid w:val="00ED3ED9"/>
    <w:rsid w:val="00ED4349"/>
    <w:rsid w:val="00ED43CA"/>
    <w:rsid w:val="00ED6130"/>
    <w:rsid w:val="00ED62AE"/>
    <w:rsid w:val="00ED64AF"/>
    <w:rsid w:val="00ED6AB0"/>
    <w:rsid w:val="00ED6D02"/>
    <w:rsid w:val="00ED6D12"/>
    <w:rsid w:val="00ED715B"/>
    <w:rsid w:val="00ED73AA"/>
    <w:rsid w:val="00ED74FA"/>
    <w:rsid w:val="00ED7759"/>
    <w:rsid w:val="00ED7792"/>
    <w:rsid w:val="00ED78EF"/>
    <w:rsid w:val="00ED7980"/>
    <w:rsid w:val="00ED7AF1"/>
    <w:rsid w:val="00ED7CE8"/>
    <w:rsid w:val="00ED7EBD"/>
    <w:rsid w:val="00EE0110"/>
    <w:rsid w:val="00EE01A7"/>
    <w:rsid w:val="00EE0768"/>
    <w:rsid w:val="00EE0837"/>
    <w:rsid w:val="00EE0951"/>
    <w:rsid w:val="00EE0B7E"/>
    <w:rsid w:val="00EE0CE3"/>
    <w:rsid w:val="00EE0D0F"/>
    <w:rsid w:val="00EE0DB9"/>
    <w:rsid w:val="00EE0E2F"/>
    <w:rsid w:val="00EE19A7"/>
    <w:rsid w:val="00EE1EB3"/>
    <w:rsid w:val="00EE2574"/>
    <w:rsid w:val="00EE292A"/>
    <w:rsid w:val="00EE29F2"/>
    <w:rsid w:val="00EE2C34"/>
    <w:rsid w:val="00EE2E65"/>
    <w:rsid w:val="00EE32BC"/>
    <w:rsid w:val="00EE422B"/>
    <w:rsid w:val="00EE453A"/>
    <w:rsid w:val="00EE502F"/>
    <w:rsid w:val="00EE5242"/>
    <w:rsid w:val="00EE5E95"/>
    <w:rsid w:val="00EE6731"/>
    <w:rsid w:val="00EE6B29"/>
    <w:rsid w:val="00EE6D85"/>
    <w:rsid w:val="00EE707D"/>
    <w:rsid w:val="00EE73E6"/>
    <w:rsid w:val="00EE74BD"/>
    <w:rsid w:val="00EE7938"/>
    <w:rsid w:val="00EE7E30"/>
    <w:rsid w:val="00EE7F84"/>
    <w:rsid w:val="00EF0226"/>
    <w:rsid w:val="00EF0794"/>
    <w:rsid w:val="00EF0A7B"/>
    <w:rsid w:val="00EF0ECB"/>
    <w:rsid w:val="00EF14D7"/>
    <w:rsid w:val="00EF15E2"/>
    <w:rsid w:val="00EF161A"/>
    <w:rsid w:val="00EF185B"/>
    <w:rsid w:val="00EF1D71"/>
    <w:rsid w:val="00EF1FF6"/>
    <w:rsid w:val="00EF3309"/>
    <w:rsid w:val="00EF3953"/>
    <w:rsid w:val="00EF3D62"/>
    <w:rsid w:val="00EF3F29"/>
    <w:rsid w:val="00EF4707"/>
    <w:rsid w:val="00EF49E5"/>
    <w:rsid w:val="00EF4BDD"/>
    <w:rsid w:val="00EF4EDC"/>
    <w:rsid w:val="00EF4F26"/>
    <w:rsid w:val="00EF5519"/>
    <w:rsid w:val="00EF5693"/>
    <w:rsid w:val="00EF57FD"/>
    <w:rsid w:val="00EF6C83"/>
    <w:rsid w:val="00EF6F21"/>
    <w:rsid w:val="00EF71E1"/>
    <w:rsid w:val="00EF7536"/>
    <w:rsid w:val="00EF7638"/>
    <w:rsid w:val="00F00184"/>
    <w:rsid w:val="00F003B4"/>
    <w:rsid w:val="00F006D0"/>
    <w:rsid w:val="00F00B8C"/>
    <w:rsid w:val="00F00DB5"/>
    <w:rsid w:val="00F01224"/>
    <w:rsid w:val="00F01553"/>
    <w:rsid w:val="00F018FC"/>
    <w:rsid w:val="00F01900"/>
    <w:rsid w:val="00F02121"/>
    <w:rsid w:val="00F02E6D"/>
    <w:rsid w:val="00F02ED4"/>
    <w:rsid w:val="00F02FC9"/>
    <w:rsid w:val="00F03655"/>
    <w:rsid w:val="00F037F3"/>
    <w:rsid w:val="00F03802"/>
    <w:rsid w:val="00F038A4"/>
    <w:rsid w:val="00F03987"/>
    <w:rsid w:val="00F03AC1"/>
    <w:rsid w:val="00F03D1D"/>
    <w:rsid w:val="00F0428B"/>
    <w:rsid w:val="00F055C4"/>
    <w:rsid w:val="00F058F4"/>
    <w:rsid w:val="00F05C01"/>
    <w:rsid w:val="00F060BE"/>
    <w:rsid w:val="00F061DD"/>
    <w:rsid w:val="00F06332"/>
    <w:rsid w:val="00F06F32"/>
    <w:rsid w:val="00F06F48"/>
    <w:rsid w:val="00F07325"/>
    <w:rsid w:val="00F073DB"/>
    <w:rsid w:val="00F07625"/>
    <w:rsid w:val="00F077F2"/>
    <w:rsid w:val="00F07868"/>
    <w:rsid w:val="00F100AC"/>
    <w:rsid w:val="00F11C98"/>
    <w:rsid w:val="00F122F8"/>
    <w:rsid w:val="00F12AC8"/>
    <w:rsid w:val="00F12BE3"/>
    <w:rsid w:val="00F1315B"/>
    <w:rsid w:val="00F13244"/>
    <w:rsid w:val="00F13478"/>
    <w:rsid w:val="00F13643"/>
    <w:rsid w:val="00F1384C"/>
    <w:rsid w:val="00F13929"/>
    <w:rsid w:val="00F139B1"/>
    <w:rsid w:val="00F143AF"/>
    <w:rsid w:val="00F1458E"/>
    <w:rsid w:val="00F148EC"/>
    <w:rsid w:val="00F14976"/>
    <w:rsid w:val="00F15048"/>
    <w:rsid w:val="00F150A2"/>
    <w:rsid w:val="00F1523F"/>
    <w:rsid w:val="00F152AB"/>
    <w:rsid w:val="00F15787"/>
    <w:rsid w:val="00F15920"/>
    <w:rsid w:val="00F1601B"/>
    <w:rsid w:val="00F16289"/>
    <w:rsid w:val="00F16338"/>
    <w:rsid w:val="00F1649E"/>
    <w:rsid w:val="00F164C8"/>
    <w:rsid w:val="00F16907"/>
    <w:rsid w:val="00F16AAE"/>
    <w:rsid w:val="00F16BD3"/>
    <w:rsid w:val="00F16CE9"/>
    <w:rsid w:val="00F16E06"/>
    <w:rsid w:val="00F16EF2"/>
    <w:rsid w:val="00F17454"/>
    <w:rsid w:val="00F177A1"/>
    <w:rsid w:val="00F2035B"/>
    <w:rsid w:val="00F203FD"/>
    <w:rsid w:val="00F205C3"/>
    <w:rsid w:val="00F2060B"/>
    <w:rsid w:val="00F20620"/>
    <w:rsid w:val="00F2076A"/>
    <w:rsid w:val="00F20ECD"/>
    <w:rsid w:val="00F2108A"/>
    <w:rsid w:val="00F214E9"/>
    <w:rsid w:val="00F21618"/>
    <w:rsid w:val="00F217ED"/>
    <w:rsid w:val="00F21BB5"/>
    <w:rsid w:val="00F22411"/>
    <w:rsid w:val="00F2264B"/>
    <w:rsid w:val="00F22965"/>
    <w:rsid w:val="00F22BE1"/>
    <w:rsid w:val="00F22F09"/>
    <w:rsid w:val="00F23062"/>
    <w:rsid w:val="00F23906"/>
    <w:rsid w:val="00F23B42"/>
    <w:rsid w:val="00F23DE5"/>
    <w:rsid w:val="00F2415F"/>
    <w:rsid w:val="00F242B1"/>
    <w:rsid w:val="00F247BC"/>
    <w:rsid w:val="00F24AA5"/>
    <w:rsid w:val="00F24DFF"/>
    <w:rsid w:val="00F24E45"/>
    <w:rsid w:val="00F24EEB"/>
    <w:rsid w:val="00F24EFF"/>
    <w:rsid w:val="00F252A5"/>
    <w:rsid w:val="00F256A6"/>
    <w:rsid w:val="00F25971"/>
    <w:rsid w:val="00F25BF5"/>
    <w:rsid w:val="00F25EBA"/>
    <w:rsid w:val="00F261FE"/>
    <w:rsid w:val="00F2667A"/>
    <w:rsid w:val="00F26A80"/>
    <w:rsid w:val="00F26D45"/>
    <w:rsid w:val="00F26E91"/>
    <w:rsid w:val="00F271C9"/>
    <w:rsid w:val="00F27968"/>
    <w:rsid w:val="00F30193"/>
    <w:rsid w:val="00F3019A"/>
    <w:rsid w:val="00F303C2"/>
    <w:rsid w:val="00F303C8"/>
    <w:rsid w:val="00F309E3"/>
    <w:rsid w:val="00F30A5E"/>
    <w:rsid w:val="00F30FB1"/>
    <w:rsid w:val="00F316AB"/>
    <w:rsid w:val="00F318D8"/>
    <w:rsid w:val="00F31F1B"/>
    <w:rsid w:val="00F322DB"/>
    <w:rsid w:val="00F323C4"/>
    <w:rsid w:val="00F3277D"/>
    <w:rsid w:val="00F32808"/>
    <w:rsid w:val="00F338CE"/>
    <w:rsid w:val="00F3397F"/>
    <w:rsid w:val="00F33EED"/>
    <w:rsid w:val="00F343E9"/>
    <w:rsid w:val="00F34694"/>
    <w:rsid w:val="00F34CED"/>
    <w:rsid w:val="00F34ED7"/>
    <w:rsid w:val="00F350CA"/>
    <w:rsid w:val="00F354D8"/>
    <w:rsid w:val="00F358C3"/>
    <w:rsid w:val="00F35A31"/>
    <w:rsid w:val="00F3628F"/>
    <w:rsid w:val="00F3682E"/>
    <w:rsid w:val="00F37007"/>
    <w:rsid w:val="00F37124"/>
    <w:rsid w:val="00F371D2"/>
    <w:rsid w:val="00F376F3"/>
    <w:rsid w:val="00F37782"/>
    <w:rsid w:val="00F3781A"/>
    <w:rsid w:val="00F37867"/>
    <w:rsid w:val="00F37A30"/>
    <w:rsid w:val="00F4039E"/>
    <w:rsid w:val="00F40955"/>
    <w:rsid w:val="00F4144D"/>
    <w:rsid w:val="00F41C0C"/>
    <w:rsid w:val="00F42028"/>
    <w:rsid w:val="00F420FC"/>
    <w:rsid w:val="00F424A4"/>
    <w:rsid w:val="00F42586"/>
    <w:rsid w:val="00F42FCC"/>
    <w:rsid w:val="00F42FED"/>
    <w:rsid w:val="00F440B6"/>
    <w:rsid w:val="00F44482"/>
    <w:rsid w:val="00F450BC"/>
    <w:rsid w:val="00F450C9"/>
    <w:rsid w:val="00F45148"/>
    <w:rsid w:val="00F45807"/>
    <w:rsid w:val="00F45C0D"/>
    <w:rsid w:val="00F45C33"/>
    <w:rsid w:val="00F462A6"/>
    <w:rsid w:val="00F4632A"/>
    <w:rsid w:val="00F4638E"/>
    <w:rsid w:val="00F46920"/>
    <w:rsid w:val="00F46EFD"/>
    <w:rsid w:val="00F4704A"/>
    <w:rsid w:val="00F47399"/>
    <w:rsid w:val="00F47894"/>
    <w:rsid w:val="00F508DF"/>
    <w:rsid w:val="00F51055"/>
    <w:rsid w:val="00F5117D"/>
    <w:rsid w:val="00F5128F"/>
    <w:rsid w:val="00F519BE"/>
    <w:rsid w:val="00F51A3F"/>
    <w:rsid w:val="00F51B69"/>
    <w:rsid w:val="00F51C6F"/>
    <w:rsid w:val="00F52006"/>
    <w:rsid w:val="00F525C9"/>
    <w:rsid w:val="00F5262A"/>
    <w:rsid w:val="00F5268F"/>
    <w:rsid w:val="00F52A57"/>
    <w:rsid w:val="00F5306C"/>
    <w:rsid w:val="00F5336B"/>
    <w:rsid w:val="00F53BCE"/>
    <w:rsid w:val="00F53CF4"/>
    <w:rsid w:val="00F53DFF"/>
    <w:rsid w:val="00F53FD6"/>
    <w:rsid w:val="00F541A2"/>
    <w:rsid w:val="00F543F1"/>
    <w:rsid w:val="00F54449"/>
    <w:rsid w:val="00F54CBA"/>
    <w:rsid w:val="00F54DE9"/>
    <w:rsid w:val="00F54FC1"/>
    <w:rsid w:val="00F566E4"/>
    <w:rsid w:val="00F567B3"/>
    <w:rsid w:val="00F56B21"/>
    <w:rsid w:val="00F56CFF"/>
    <w:rsid w:val="00F574B1"/>
    <w:rsid w:val="00F574C1"/>
    <w:rsid w:val="00F575AD"/>
    <w:rsid w:val="00F5791F"/>
    <w:rsid w:val="00F57BC7"/>
    <w:rsid w:val="00F57BED"/>
    <w:rsid w:val="00F57E63"/>
    <w:rsid w:val="00F6029E"/>
    <w:rsid w:val="00F602A7"/>
    <w:rsid w:val="00F605D6"/>
    <w:rsid w:val="00F6089C"/>
    <w:rsid w:val="00F609AE"/>
    <w:rsid w:val="00F60A77"/>
    <w:rsid w:val="00F60BA0"/>
    <w:rsid w:val="00F60C69"/>
    <w:rsid w:val="00F60EE0"/>
    <w:rsid w:val="00F61047"/>
    <w:rsid w:val="00F61171"/>
    <w:rsid w:val="00F61393"/>
    <w:rsid w:val="00F61DC4"/>
    <w:rsid w:val="00F61DD7"/>
    <w:rsid w:val="00F623D0"/>
    <w:rsid w:val="00F62447"/>
    <w:rsid w:val="00F624AF"/>
    <w:rsid w:val="00F6256A"/>
    <w:rsid w:val="00F62825"/>
    <w:rsid w:val="00F62A03"/>
    <w:rsid w:val="00F62C9F"/>
    <w:rsid w:val="00F62CFF"/>
    <w:rsid w:val="00F62EC7"/>
    <w:rsid w:val="00F63E5F"/>
    <w:rsid w:val="00F63EF3"/>
    <w:rsid w:val="00F6419D"/>
    <w:rsid w:val="00F64348"/>
    <w:rsid w:val="00F64513"/>
    <w:rsid w:val="00F64521"/>
    <w:rsid w:val="00F64610"/>
    <w:rsid w:val="00F64993"/>
    <w:rsid w:val="00F64D7D"/>
    <w:rsid w:val="00F65281"/>
    <w:rsid w:val="00F659DF"/>
    <w:rsid w:val="00F65BFB"/>
    <w:rsid w:val="00F65D5B"/>
    <w:rsid w:val="00F65E59"/>
    <w:rsid w:val="00F6636C"/>
    <w:rsid w:val="00F66816"/>
    <w:rsid w:val="00F66C50"/>
    <w:rsid w:val="00F66F4F"/>
    <w:rsid w:val="00F673C5"/>
    <w:rsid w:val="00F67550"/>
    <w:rsid w:val="00F70385"/>
    <w:rsid w:val="00F70509"/>
    <w:rsid w:val="00F711FE"/>
    <w:rsid w:val="00F7192B"/>
    <w:rsid w:val="00F7194F"/>
    <w:rsid w:val="00F71D89"/>
    <w:rsid w:val="00F71DAC"/>
    <w:rsid w:val="00F71DC8"/>
    <w:rsid w:val="00F7215F"/>
    <w:rsid w:val="00F721C1"/>
    <w:rsid w:val="00F7270A"/>
    <w:rsid w:val="00F727CF"/>
    <w:rsid w:val="00F72A91"/>
    <w:rsid w:val="00F72C84"/>
    <w:rsid w:val="00F73253"/>
    <w:rsid w:val="00F7364C"/>
    <w:rsid w:val="00F736BD"/>
    <w:rsid w:val="00F736CA"/>
    <w:rsid w:val="00F739F0"/>
    <w:rsid w:val="00F73C00"/>
    <w:rsid w:val="00F73C16"/>
    <w:rsid w:val="00F74DA6"/>
    <w:rsid w:val="00F74E87"/>
    <w:rsid w:val="00F7536C"/>
    <w:rsid w:val="00F75711"/>
    <w:rsid w:val="00F758DD"/>
    <w:rsid w:val="00F75A68"/>
    <w:rsid w:val="00F75C08"/>
    <w:rsid w:val="00F764B3"/>
    <w:rsid w:val="00F7683F"/>
    <w:rsid w:val="00F76967"/>
    <w:rsid w:val="00F76C6D"/>
    <w:rsid w:val="00F76F09"/>
    <w:rsid w:val="00F77022"/>
    <w:rsid w:val="00F771E4"/>
    <w:rsid w:val="00F772C8"/>
    <w:rsid w:val="00F7736F"/>
    <w:rsid w:val="00F777CA"/>
    <w:rsid w:val="00F801D6"/>
    <w:rsid w:val="00F8045B"/>
    <w:rsid w:val="00F804D4"/>
    <w:rsid w:val="00F8065F"/>
    <w:rsid w:val="00F8086B"/>
    <w:rsid w:val="00F808E6"/>
    <w:rsid w:val="00F81127"/>
    <w:rsid w:val="00F813E8"/>
    <w:rsid w:val="00F8182A"/>
    <w:rsid w:val="00F81831"/>
    <w:rsid w:val="00F81E65"/>
    <w:rsid w:val="00F825D9"/>
    <w:rsid w:val="00F82912"/>
    <w:rsid w:val="00F82922"/>
    <w:rsid w:val="00F82E07"/>
    <w:rsid w:val="00F8304C"/>
    <w:rsid w:val="00F83074"/>
    <w:rsid w:val="00F8327D"/>
    <w:rsid w:val="00F83915"/>
    <w:rsid w:val="00F839CD"/>
    <w:rsid w:val="00F84266"/>
    <w:rsid w:val="00F853AA"/>
    <w:rsid w:val="00F85839"/>
    <w:rsid w:val="00F85A9C"/>
    <w:rsid w:val="00F85F13"/>
    <w:rsid w:val="00F85FFF"/>
    <w:rsid w:val="00F86388"/>
    <w:rsid w:val="00F8681E"/>
    <w:rsid w:val="00F8683A"/>
    <w:rsid w:val="00F86DCE"/>
    <w:rsid w:val="00F86F3B"/>
    <w:rsid w:val="00F86FF3"/>
    <w:rsid w:val="00F87038"/>
    <w:rsid w:val="00F872A3"/>
    <w:rsid w:val="00F874DE"/>
    <w:rsid w:val="00F87555"/>
    <w:rsid w:val="00F877D7"/>
    <w:rsid w:val="00F878E3"/>
    <w:rsid w:val="00F8795D"/>
    <w:rsid w:val="00F87D8B"/>
    <w:rsid w:val="00F87F3F"/>
    <w:rsid w:val="00F904A4"/>
    <w:rsid w:val="00F90530"/>
    <w:rsid w:val="00F9073A"/>
    <w:rsid w:val="00F90874"/>
    <w:rsid w:val="00F90BA4"/>
    <w:rsid w:val="00F916F8"/>
    <w:rsid w:val="00F91988"/>
    <w:rsid w:val="00F9205F"/>
    <w:rsid w:val="00F92147"/>
    <w:rsid w:val="00F926EC"/>
    <w:rsid w:val="00F92742"/>
    <w:rsid w:val="00F927B0"/>
    <w:rsid w:val="00F932B4"/>
    <w:rsid w:val="00F9348F"/>
    <w:rsid w:val="00F937BD"/>
    <w:rsid w:val="00F945EE"/>
    <w:rsid w:val="00F94823"/>
    <w:rsid w:val="00F94F45"/>
    <w:rsid w:val="00F94FED"/>
    <w:rsid w:val="00F9534A"/>
    <w:rsid w:val="00F955F5"/>
    <w:rsid w:val="00F9601A"/>
    <w:rsid w:val="00F9618F"/>
    <w:rsid w:val="00F961BF"/>
    <w:rsid w:val="00F96789"/>
    <w:rsid w:val="00F968B4"/>
    <w:rsid w:val="00F96BEF"/>
    <w:rsid w:val="00F97502"/>
    <w:rsid w:val="00F97983"/>
    <w:rsid w:val="00FA03B0"/>
    <w:rsid w:val="00FA069A"/>
    <w:rsid w:val="00FA0D68"/>
    <w:rsid w:val="00FA0DB4"/>
    <w:rsid w:val="00FA10EC"/>
    <w:rsid w:val="00FA152C"/>
    <w:rsid w:val="00FA1B82"/>
    <w:rsid w:val="00FA1F08"/>
    <w:rsid w:val="00FA1FEB"/>
    <w:rsid w:val="00FA2736"/>
    <w:rsid w:val="00FA2C68"/>
    <w:rsid w:val="00FA2CEF"/>
    <w:rsid w:val="00FA2DC8"/>
    <w:rsid w:val="00FA2DFD"/>
    <w:rsid w:val="00FA3471"/>
    <w:rsid w:val="00FA357A"/>
    <w:rsid w:val="00FA3C58"/>
    <w:rsid w:val="00FA3E49"/>
    <w:rsid w:val="00FA3EC6"/>
    <w:rsid w:val="00FA3F1D"/>
    <w:rsid w:val="00FA4152"/>
    <w:rsid w:val="00FA458D"/>
    <w:rsid w:val="00FA4994"/>
    <w:rsid w:val="00FA4FE3"/>
    <w:rsid w:val="00FA535F"/>
    <w:rsid w:val="00FA5A04"/>
    <w:rsid w:val="00FA5B7E"/>
    <w:rsid w:val="00FA5D1E"/>
    <w:rsid w:val="00FA5D5B"/>
    <w:rsid w:val="00FA68DB"/>
    <w:rsid w:val="00FA71F8"/>
    <w:rsid w:val="00FA74AE"/>
    <w:rsid w:val="00FA7833"/>
    <w:rsid w:val="00FA7C8E"/>
    <w:rsid w:val="00FB0175"/>
    <w:rsid w:val="00FB05CE"/>
    <w:rsid w:val="00FB1878"/>
    <w:rsid w:val="00FB198F"/>
    <w:rsid w:val="00FB1ADA"/>
    <w:rsid w:val="00FB1B57"/>
    <w:rsid w:val="00FB1E59"/>
    <w:rsid w:val="00FB2706"/>
    <w:rsid w:val="00FB291A"/>
    <w:rsid w:val="00FB321E"/>
    <w:rsid w:val="00FB44A2"/>
    <w:rsid w:val="00FB4641"/>
    <w:rsid w:val="00FB4960"/>
    <w:rsid w:val="00FB4B7D"/>
    <w:rsid w:val="00FB522F"/>
    <w:rsid w:val="00FB542C"/>
    <w:rsid w:val="00FB549B"/>
    <w:rsid w:val="00FB5D2C"/>
    <w:rsid w:val="00FB69AC"/>
    <w:rsid w:val="00FB6A2B"/>
    <w:rsid w:val="00FB7531"/>
    <w:rsid w:val="00FB7C8C"/>
    <w:rsid w:val="00FC0727"/>
    <w:rsid w:val="00FC0AE9"/>
    <w:rsid w:val="00FC0B21"/>
    <w:rsid w:val="00FC105F"/>
    <w:rsid w:val="00FC12D5"/>
    <w:rsid w:val="00FC139B"/>
    <w:rsid w:val="00FC18F4"/>
    <w:rsid w:val="00FC193A"/>
    <w:rsid w:val="00FC1A24"/>
    <w:rsid w:val="00FC1A65"/>
    <w:rsid w:val="00FC1ACF"/>
    <w:rsid w:val="00FC1BF7"/>
    <w:rsid w:val="00FC1DA2"/>
    <w:rsid w:val="00FC1F5F"/>
    <w:rsid w:val="00FC2291"/>
    <w:rsid w:val="00FC22E5"/>
    <w:rsid w:val="00FC2B0F"/>
    <w:rsid w:val="00FC3B3B"/>
    <w:rsid w:val="00FC4588"/>
    <w:rsid w:val="00FC4A77"/>
    <w:rsid w:val="00FC4C64"/>
    <w:rsid w:val="00FC4DC2"/>
    <w:rsid w:val="00FC53E6"/>
    <w:rsid w:val="00FC583E"/>
    <w:rsid w:val="00FC5E58"/>
    <w:rsid w:val="00FC5E5E"/>
    <w:rsid w:val="00FC7228"/>
    <w:rsid w:val="00FC7326"/>
    <w:rsid w:val="00FC7472"/>
    <w:rsid w:val="00FC74A0"/>
    <w:rsid w:val="00FC74A3"/>
    <w:rsid w:val="00FC755D"/>
    <w:rsid w:val="00FC7C69"/>
    <w:rsid w:val="00FD006D"/>
    <w:rsid w:val="00FD027C"/>
    <w:rsid w:val="00FD059B"/>
    <w:rsid w:val="00FD104D"/>
    <w:rsid w:val="00FD13AD"/>
    <w:rsid w:val="00FD1835"/>
    <w:rsid w:val="00FD1893"/>
    <w:rsid w:val="00FD1A13"/>
    <w:rsid w:val="00FD1BB8"/>
    <w:rsid w:val="00FD1C46"/>
    <w:rsid w:val="00FD1C77"/>
    <w:rsid w:val="00FD1D71"/>
    <w:rsid w:val="00FD21D6"/>
    <w:rsid w:val="00FD24EE"/>
    <w:rsid w:val="00FD2C5A"/>
    <w:rsid w:val="00FD2F49"/>
    <w:rsid w:val="00FD347D"/>
    <w:rsid w:val="00FD34BE"/>
    <w:rsid w:val="00FD3A22"/>
    <w:rsid w:val="00FD3A6A"/>
    <w:rsid w:val="00FD3B1C"/>
    <w:rsid w:val="00FD3C06"/>
    <w:rsid w:val="00FD3F4D"/>
    <w:rsid w:val="00FD40C8"/>
    <w:rsid w:val="00FD424D"/>
    <w:rsid w:val="00FD434F"/>
    <w:rsid w:val="00FD4494"/>
    <w:rsid w:val="00FD4AE3"/>
    <w:rsid w:val="00FD55DE"/>
    <w:rsid w:val="00FD59BF"/>
    <w:rsid w:val="00FD5BE1"/>
    <w:rsid w:val="00FD5CDC"/>
    <w:rsid w:val="00FD5EDF"/>
    <w:rsid w:val="00FD5F10"/>
    <w:rsid w:val="00FD605C"/>
    <w:rsid w:val="00FD60F1"/>
    <w:rsid w:val="00FD6372"/>
    <w:rsid w:val="00FD6936"/>
    <w:rsid w:val="00FD6ACB"/>
    <w:rsid w:val="00FD70F2"/>
    <w:rsid w:val="00FD7AD9"/>
    <w:rsid w:val="00FE0570"/>
    <w:rsid w:val="00FE0591"/>
    <w:rsid w:val="00FE18BD"/>
    <w:rsid w:val="00FE1A57"/>
    <w:rsid w:val="00FE1F29"/>
    <w:rsid w:val="00FE259E"/>
    <w:rsid w:val="00FE276E"/>
    <w:rsid w:val="00FE2B7A"/>
    <w:rsid w:val="00FE2E5C"/>
    <w:rsid w:val="00FE2F0A"/>
    <w:rsid w:val="00FE2F17"/>
    <w:rsid w:val="00FE3069"/>
    <w:rsid w:val="00FE3349"/>
    <w:rsid w:val="00FE38D4"/>
    <w:rsid w:val="00FE3AC8"/>
    <w:rsid w:val="00FE3B13"/>
    <w:rsid w:val="00FE3D4F"/>
    <w:rsid w:val="00FE3D75"/>
    <w:rsid w:val="00FE4136"/>
    <w:rsid w:val="00FE45FB"/>
    <w:rsid w:val="00FE48FD"/>
    <w:rsid w:val="00FE50F3"/>
    <w:rsid w:val="00FE541F"/>
    <w:rsid w:val="00FE5B73"/>
    <w:rsid w:val="00FE61F0"/>
    <w:rsid w:val="00FE62F0"/>
    <w:rsid w:val="00FE62F3"/>
    <w:rsid w:val="00FE6581"/>
    <w:rsid w:val="00FE681B"/>
    <w:rsid w:val="00FE6C66"/>
    <w:rsid w:val="00FE7061"/>
    <w:rsid w:val="00FE7119"/>
    <w:rsid w:val="00FE7898"/>
    <w:rsid w:val="00FE7B67"/>
    <w:rsid w:val="00FE7BC2"/>
    <w:rsid w:val="00FE7C4C"/>
    <w:rsid w:val="00FF02AC"/>
    <w:rsid w:val="00FF0369"/>
    <w:rsid w:val="00FF04DA"/>
    <w:rsid w:val="00FF07E3"/>
    <w:rsid w:val="00FF0827"/>
    <w:rsid w:val="00FF0BEA"/>
    <w:rsid w:val="00FF1157"/>
    <w:rsid w:val="00FF1243"/>
    <w:rsid w:val="00FF184B"/>
    <w:rsid w:val="00FF1B6A"/>
    <w:rsid w:val="00FF22A5"/>
    <w:rsid w:val="00FF2997"/>
    <w:rsid w:val="00FF2BB1"/>
    <w:rsid w:val="00FF2F68"/>
    <w:rsid w:val="00FF301F"/>
    <w:rsid w:val="00FF3039"/>
    <w:rsid w:val="00FF305E"/>
    <w:rsid w:val="00FF37EC"/>
    <w:rsid w:val="00FF3E2B"/>
    <w:rsid w:val="00FF4149"/>
    <w:rsid w:val="00FF433A"/>
    <w:rsid w:val="00FF503C"/>
    <w:rsid w:val="00FF50AB"/>
    <w:rsid w:val="00FF5746"/>
    <w:rsid w:val="00FF57FC"/>
    <w:rsid w:val="00FF5C0F"/>
    <w:rsid w:val="00FF5D26"/>
    <w:rsid w:val="00FF5EA4"/>
    <w:rsid w:val="00FF5FAE"/>
    <w:rsid w:val="00FF66F2"/>
    <w:rsid w:val="00FF6C10"/>
    <w:rsid w:val="00FF6E12"/>
    <w:rsid w:val="00FF70A6"/>
    <w:rsid w:val="00FF70CB"/>
    <w:rsid w:val="00FF72B4"/>
    <w:rsid w:val="00FF7584"/>
    <w:rsid w:val="00FF777D"/>
    <w:rsid w:val="00FF7978"/>
    <w:rsid w:val="00FF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4F9424D0"/>
  <w15:chartTrackingRefBased/>
  <w15:docId w15:val="{B6E21D7D-B34B-4F6E-9459-945DF07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44BE4"/>
    <w:pPr>
      <w:spacing w:after="200" w:line="200" w:lineRule="exact"/>
    </w:pPr>
    <w:rPr>
      <w:rFonts w:ascii="Arial" w:hAnsi="Arial"/>
      <w:spacing w:val="-1"/>
      <w:sz w:val="22"/>
      <w:szCs w:val="24"/>
    </w:rPr>
  </w:style>
  <w:style w:type="paragraph" w:styleId="Heading1">
    <w:name w:val="heading 1"/>
    <w:basedOn w:val="Heading18ptLeft"/>
    <w:next w:val="Normal"/>
    <w:link w:val="Heading1Char"/>
    <w:qFormat/>
    <w:rsid w:val="006B4CCF"/>
    <w:pPr>
      <w:spacing w:before="240" w:after="120" w:line="276" w:lineRule="auto"/>
      <w:outlineLvl w:val="0"/>
    </w:pPr>
    <w:rPr>
      <w:rFonts w:ascii="Arial" w:hAnsi="Arial" w:cs="Arial"/>
      <w:b/>
      <w:caps/>
      <w:color w:val="auto"/>
      <w:sz w:val="22"/>
      <w:szCs w:val="22"/>
    </w:rPr>
  </w:style>
  <w:style w:type="paragraph" w:styleId="Heading2">
    <w:name w:val="heading 2"/>
    <w:basedOn w:val="Heading10"/>
    <w:next w:val="Normal"/>
    <w:link w:val="Heading2Char"/>
    <w:qFormat/>
    <w:rsid w:val="006B4CCF"/>
    <w:pPr>
      <w:spacing w:before="0" w:after="120" w:line="276" w:lineRule="auto"/>
      <w:outlineLvl w:val="1"/>
    </w:pPr>
    <w:rPr>
      <w:rFonts w:ascii="Arial" w:hAnsi="Arial" w:cs="Arial"/>
      <w:b/>
      <w:color w:val="auto"/>
      <w:sz w:val="22"/>
      <w:szCs w:val="22"/>
    </w:rPr>
  </w:style>
  <w:style w:type="paragraph" w:styleId="Heading3">
    <w:name w:val="heading 3"/>
    <w:basedOn w:val="Normal"/>
    <w:next w:val="Normal"/>
    <w:link w:val="Heading3Char"/>
    <w:qFormat/>
    <w:rsid w:val="00F84266"/>
    <w:pPr>
      <w:keepNext/>
      <w:spacing w:before="200" w:after="100"/>
      <w:outlineLvl w:val="2"/>
    </w:pPr>
    <w:rPr>
      <w:rFonts w:cs="Arial"/>
      <w:b/>
      <w:bCs/>
      <w:szCs w:val="26"/>
    </w:rPr>
  </w:style>
  <w:style w:type="paragraph" w:styleId="Heading4">
    <w:name w:val="heading 4"/>
    <w:basedOn w:val="Heading3"/>
    <w:next w:val="Normal"/>
    <w:link w:val="Heading4Char"/>
    <w:qFormat/>
    <w:rsid w:val="00544A4C"/>
    <w:pPr>
      <w:outlineLvl w:val="3"/>
    </w:pPr>
  </w:style>
  <w:style w:type="paragraph" w:styleId="Heading5">
    <w:name w:val="heading 5"/>
    <w:next w:val="Normal"/>
    <w:link w:val="Heading5Char"/>
    <w:qFormat/>
    <w:rsid w:val="00F84266"/>
    <w:pPr>
      <w:spacing w:line="200" w:lineRule="exact"/>
      <w:outlineLvl w:val="4"/>
    </w:pPr>
    <w:rPr>
      <w:rFonts w:ascii="Arial" w:hAnsi="Arial" w:cs="Arial"/>
      <w:i/>
      <w:iCs/>
      <w:spacing w:val="-1"/>
      <w:sz w:val="18"/>
      <w:szCs w:val="26"/>
    </w:rPr>
  </w:style>
  <w:style w:type="paragraph" w:styleId="Heading6">
    <w:name w:val="heading 6"/>
    <w:basedOn w:val="Normal"/>
    <w:next w:val="Normal"/>
    <w:link w:val="Heading6Char"/>
    <w:qFormat/>
    <w:rsid w:val="00F84266"/>
    <w:pPr>
      <w:keepNext/>
      <w:jc w:val="center"/>
      <w:outlineLvl w:val="5"/>
    </w:pPr>
    <w:rPr>
      <w:rFonts w:ascii="Book Antiqua" w:hAnsi="Book Antiqua" w:cs="Arial"/>
      <w:b/>
      <w:snapToGrid w:val="0"/>
      <w:color w:val="000000"/>
      <w:u w:val="single"/>
    </w:rPr>
  </w:style>
  <w:style w:type="paragraph" w:styleId="Heading7">
    <w:name w:val="heading 7"/>
    <w:basedOn w:val="Normal"/>
    <w:next w:val="Normal"/>
    <w:link w:val="Heading7Char"/>
    <w:qFormat/>
    <w:rsid w:val="00F84266"/>
    <w:pPr>
      <w:keepNext/>
      <w:tabs>
        <w:tab w:val="left" w:pos="2800"/>
        <w:tab w:val="left" w:pos="4260"/>
        <w:tab w:val="left" w:pos="5205"/>
        <w:tab w:val="left" w:pos="6240"/>
        <w:tab w:val="left" w:pos="7320"/>
        <w:tab w:val="left" w:pos="8490"/>
      </w:tabs>
      <w:outlineLvl w:val="6"/>
    </w:pPr>
    <w:rPr>
      <w:rFonts w:ascii="Book Antiqua" w:hAnsi="Book Antiqua" w:cs="Arial"/>
      <w:b/>
      <w:snapToGrid w:val="0"/>
      <w:color w:val="000000"/>
    </w:rPr>
  </w:style>
  <w:style w:type="paragraph" w:styleId="Heading8">
    <w:name w:val="heading 8"/>
    <w:basedOn w:val="Normal"/>
    <w:next w:val="Normal"/>
    <w:link w:val="Heading8Char"/>
    <w:qFormat/>
    <w:rsid w:val="00F84266"/>
    <w:pPr>
      <w:keepNext/>
      <w:outlineLvl w:val="7"/>
    </w:pPr>
    <w:rPr>
      <w:rFonts w:ascii="Book Antiqua" w:hAnsi="Book Antiqua" w:cs="Arial"/>
      <w:b/>
      <w:snapToGrid w:val="0"/>
      <w:color w:val="000000"/>
      <w:u w:val="single"/>
    </w:rPr>
  </w:style>
  <w:style w:type="paragraph" w:styleId="Heading9">
    <w:name w:val="heading 9"/>
    <w:basedOn w:val="Normal"/>
    <w:next w:val="Normal"/>
    <w:link w:val="Heading9Char"/>
    <w:qFormat/>
    <w:rsid w:val="00F84266"/>
    <w:pPr>
      <w:keepNext/>
      <w:tabs>
        <w:tab w:val="left" w:pos="450"/>
      </w:tabs>
      <w:outlineLvl w:val="8"/>
    </w:pPr>
    <w:rPr>
      <w:rFonts w:ascii="Book Antiqua" w:hAnsi="Book Antiqu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4266"/>
    <w:pPr>
      <w:tabs>
        <w:tab w:val="center" w:pos="4153"/>
        <w:tab w:val="right" w:pos="8306"/>
      </w:tabs>
      <w:spacing w:after="0" w:line="240" w:lineRule="exact"/>
    </w:pPr>
    <w:rPr>
      <w:rFonts w:ascii="Delta BQ Book" w:hAnsi="Delta BQ Book"/>
      <w:caps/>
      <w:sz w:val="15"/>
    </w:rPr>
  </w:style>
  <w:style w:type="paragraph" w:styleId="Footer">
    <w:name w:val="footer"/>
    <w:aliases w:val="Footer line 1"/>
    <w:basedOn w:val="Normal"/>
    <w:link w:val="FooterChar"/>
    <w:uiPriority w:val="99"/>
    <w:rsid w:val="00F84266"/>
    <w:pPr>
      <w:tabs>
        <w:tab w:val="center" w:pos="4153"/>
        <w:tab w:val="right" w:pos="8306"/>
      </w:tabs>
    </w:pPr>
    <w:rPr>
      <w:sz w:val="15"/>
    </w:rPr>
  </w:style>
  <w:style w:type="table" w:styleId="TableGrid">
    <w:name w:val="Table Grid"/>
    <w:basedOn w:val="TableNormal"/>
    <w:rsid w:val="00F84266"/>
    <w:pPr>
      <w:spacing w:line="240" w:lineRule="exact"/>
    </w:pPr>
    <w:tblPr>
      <w:tblCellMar>
        <w:left w:w="0" w:type="dxa"/>
        <w:right w:w="0" w:type="dxa"/>
      </w:tblCellMar>
    </w:tblPr>
    <w:tcPr>
      <w:vAlign w:val="bottom"/>
    </w:tcPr>
  </w:style>
  <w:style w:type="character" w:styleId="PageNumber">
    <w:name w:val="page number"/>
    <w:basedOn w:val="DefaultParagraphFont"/>
    <w:rsid w:val="00F84266"/>
  </w:style>
  <w:style w:type="paragraph" w:styleId="BalloonText">
    <w:name w:val="Balloon Text"/>
    <w:basedOn w:val="Normal"/>
    <w:link w:val="BalloonTextChar"/>
    <w:semiHidden/>
    <w:rsid w:val="00F84266"/>
    <w:pPr>
      <w:spacing w:after="0" w:line="240" w:lineRule="auto"/>
      <w:jc w:val="both"/>
    </w:pPr>
    <w:rPr>
      <w:rFonts w:ascii="Tahoma" w:hAnsi="Tahoma" w:cs="Tahoma"/>
      <w:sz w:val="16"/>
      <w:szCs w:val="16"/>
      <w:lang w:eastAsia="en-US"/>
    </w:rPr>
  </w:style>
  <w:style w:type="paragraph" w:customStyle="1" w:styleId="SEGDate">
    <w:name w:val="SEG_Date"/>
    <w:basedOn w:val="Normal"/>
    <w:rsid w:val="00F84266"/>
    <w:pPr>
      <w:spacing w:after="240" w:line="240" w:lineRule="atLeast"/>
    </w:pPr>
    <w:rPr>
      <w:spacing w:val="0"/>
    </w:rPr>
  </w:style>
  <w:style w:type="paragraph" w:customStyle="1" w:styleId="SEGBodyText">
    <w:name w:val="SEG_BodyText"/>
    <w:basedOn w:val="Normal"/>
    <w:rsid w:val="00F84266"/>
  </w:style>
  <w:style w:type="paragraph" w:customStyle="1" w:styleId="SEGTableHead">
    <w:name w:val="SEG Table Head"/>
    <w:basedOn w:val="Normal"/>
    <w:rsid w:val="00F84266"/>
    <w:pPr>
      <w:spacing w:after="120" w:line="240" w:lineRule="auto"/>
    </w:pPr>
    <w:rPr>
      <w:b/>
      <w:caps/>
      <w:spacing w:val="0"/>
      <w:szCs w:val="22"/>
      <w:lang w:val="en-US"/>
    </w:rPr>
  </w:style>
  <w:style w:type="character" w:styleId="Hyperlink">
    <w:name w:val="Hyperlink"/>
    <w:uiPriority w:val="99"/>
    <w:rsid w:val="00F84266"/>
    <w:rPr>
      <w:rFonts w:ascii="Arial" w:hAnsi="Arial"/>
      <w:color w:val="000000"/>
      <w:u w:val="single"/>
    </w:rPr>
  </w:style>
  <w:style w:type="paragraph" w:customStyle="1" w:styleId="SEGTableText">
    <w:name w:val="SEG TableText"/>
    <w:basedOn w:val="SEGBodyText"/>
    <w:rsid w:val="00F84266"/>
    <w:rPr>
      <w:sz w:val="21"/>
      <w:szCs w:val="21"/>
      <w:lang w:val="en-US"/>
    </w:rPr>
  </w:style>
  <w:style w:type="paragraph" w:customStyle="1" w:styleId="SEGTitle">
    <w:name w:val="SEG_Title"/>
    <w:basedOn w:val="Normal"/>
    <w:rsid w:val="00F84266"/>
    <w:pPr>
      <w:spacing w:after="0" w:line="240" w:lineRule="atLeast"/>
    </w:pPr>
    <w:rPr>
      <w:caps/>
      <w:spacing w:val="0"/>
      <w:sz w:val="48"/>
      <w:szCs w:val="48"/>
    </w:rPr>
  </w:style>
  <w:style w:type="paragraph" w:customStyle="1" w:styleId="SEGNormal">
    <w:name w:val="SEG_Normal"/>
    <w:rsid w:val="00F84266"/>
    <w:pPr>
      <w:spacing w:line="240" w:lineRule="atLeast"/>
    </w:pPr>
    <w:rPr>
      <w:rFonts w:ascii="Arial" w:hAnsi="Arial"/>
      <w:szCs w:val="24"/>
    </w:rPr>
  </w:style>
  <w:style w:type="paragraph" w:customStyle="1" w:styleId="SEGTBCaption">
    <w:name w:val="SEG_TB_Caption"/>
    <w:basedOn w:val="SEGNormal"/>
    <w:rsid w:val="00F84266"/>
    <w:pPr>
      <w:pBdr>
        <w:top w:val="single" w:sz="4" w:space="1" w:color="auto"/>
      </w:pBdr>
      <w:spacing w:before="120"/>
    </w:pPr>
    <w:rPr>
      <w:sz w:val="16"/>
    </w:rPr>
  </w:style>
  <w:style w:type="paragraph" w:customStyle="1" w:styleId="SEGHeadingOne">
    <w:name w:val="SEG_HeadingOne"/>
    <w:basedOn w:val="SEGNormal"/>
    <w:next w:val="SEGBodyText"/>
    <w:rsid w:val="00F84266"/>
    <w:pPr>
      <w:spacing w:after="240"/>
      <w:contextualSpacing/>
    </w:pPr>
    <w:rPr>
      <w:b/>
      <w:caps/>
    </w:rPr>
  </w:style>
  <w:style w:type="paragraph" w:customStyle="1" w:styleId="SEGTBHeading">
    <w:name w:val="SEG_TB_Heading"/>
    <w:basedOn w:val="SEGNormal"/>
    <w:rsid w:val="00F84266"/>
  </w:style>
  <w:style w:type="paragraph" w:customStyle="1" w:styleId="SEGTBBodyText">
    <w:name w:val="SEG_TB_Body Text"/>
    <w:basedOn w:val="SEGNormal"/>
    <w:rsid w:val="00F84266"/>
  </w:style>
  <w:style w:type="paragraph" w:customStyle="1" w:styleId="SEGRegisteredAddress">
    <w:name w:val="SEG_RegisteredAddress"/>
    <w:basedOn w:val="SEGNormal"/>
    <w:rsid w:val="00F84266"/>
    <w:rPr>
      <w:sz w:val="16"/>
    </w:rPr>
  </w:style>
  <w:style w:type="paragraph" w:customStyle="1" w:styleId="SEGSpace">
    <w:name w:val="SEG_Space"/>
    <w:basedOn w:val="SEGNormal"/>
    <w:rsid w:val="00F84266"/>
    <w:pPr>
      <w:spacing w:line="20" w:lineRule="exact"/>
    </w:pPr>
    <w:rPr>
      <w:sz w:val="2"/>
    </w:rPr>
  </w:style>
  <w:style w:type="paragraph" w:customStyle="1" w:styleId="SEGLogoText">
    <w:name w:val="SEG_Logo Text"/>
    <w:basedOn w:val="SEGNormal"/>
    <w:rsid w:val="00F84266"/>
    <w:rPr>
      <w:b/>
      <w:caps/>
      <w:color w:val="CB171E"/>
      <w:sz w:val="21"/>
      <w:szCs w:val="22"/>
    </w:rPr>
  </w:style>
  <w:style w:type="character" w:customStyle="1" w:styleId="SEGTitleRed">
    <w:name w:val="SEG_Title Red"/>
    <w:rsid w:val="00F84266"/>
    <w:rPr>
      <w:color w:val="CB171E"/>
    </w:rPr>
  </w:style>
  <w:style w:type="paragraph" w:customStyle="1" w:styleId="StyleSEGBodyTextBoldCentered">
    <w:name w:val="Style SEG_BodyText + Bold Centered"/>
    <w:basedOn w:val="SEGBodyText"/>
    <w:rsid w:val="00F84266"/>
    <w:pPr>
      <w:jc w:val="center"/>
    </w:pPr>
    <w:rPr>
      <w:b/>
      <w:bCs/>
      <w:szCs w:val="20"/>
    </w:rPr>
  </w:style>
  <w:style w:type="paragraph" w:styleId="EnvelopeReturn">
    <w:name w:val="envelope return"/>
    <w:basedOn w:val="Normal"/>
    <w:rsid w:val="00F84266"/>
    <w:rPr>
      <w:rFonts w:ascii="Comic Sans MS" w:hAnsi="Comic Sans MS" w:cs="Arial"/>
      <w:b/>
    </w:rPr>
  </w:style>
  <w:style w:type="paragraph" w:styleId="EnvelopeAddress">
    <w:name w:val="envelope address"/>
    <w:basedOn w:val="Normal"/>
    <w:rsid w:val="00F84266"/>
    <w:pPr>
      <w:framePr w:w="7920" w:h="1980" w:hRule="exact" w:hSpace="180" w:wrap="auto" w:hAnchor="page" w:xAlign="center" w:yAlign="bottom"/>
      <w:ind w:left="2880"/>
    </w:pPr>
    <w:rPr>
      <w:rFonts w:ascii="Comic Sans MS" w:hAnsi="Comic Sans MS" w:cs="Arial"/>
      <w:b/>
    </w:rPr>
  </w:style>
  <w:style w:type="paragraph" w:styleId="BodyTextIndent">
    <w:name w:val="Body Text Indent"/>
    <w:basedOn w:val="Normal"/>
    <w:link w:val="BodyTextIndentChar"/>
    <w:rsid w:val="00F84266"/>
    <w:pPr>
      <w:tabs>
        <w:tab w:val="left" w:pos="450"/>
      </w:tabs>
      <w:ind w:left="450"/>
    </w:pPr>
    <w:rPr>
      <w:rFonts w:ascii="Book Antiqua" w:hAnsi="Book Antiqua" w:cs="Arial"/>
    </w:rPr>
  </w:style>
  <w:style w:type="paragraph" w:styleId="BodyText">
    <w:name w:val="Body Text"/>
    <w:basedOn w:val="Normal"/>
    <w:link w:val="BodyTextChar"/>
    <w:rsid w:val="00F84266"/>
    <w:pPr>
      <w:tabs>
        <w:tab w:val="decimal" w:pos="702"/>
      </w:tabs>
    </w:pPr>
    <w:rPr>
      <w:rFonts w:ascii="Book Antiqua" w:hAnsi="Book Antiqua" w:cs="Arial"/>
      <w:b/>
    </w:rPr>
  </w:style>
  <w:style w:type="paragraph" w:styleId="BodyTextIndent2">
    <w:name w:val="Body Text Indent 2"/>
    <w:basedOn w:val="Normal"/>
    <w:link w:val="BodyTextIndent2Char"/>
    <w:rsid w:val="00F84266"/>
    <w:pPr>
      <w:ind w:left="450"/>
    </w:pPr>
    <w:rPr>
      <w:rFonts w:ascii="Book Antiqua" w:hAnsi="Book Antiqua" w:cs="Arial"/>
    </w:rPr>
  </w:style>
  <w:style w:type="paragraph" w:styleId="BodyText2">
    <w:name w:val="Body Text 2"/>
    <w:basedOn w:val="Normal"/>
    <w:link w:val="BodyText2Char"/>
    <w:rsid w:val="00F84266"/>
    <w:rPr>
      <w:rFonts w:ascii="Book Antiqua" w:hAnsi="Book Antiqua" w:cs="Arial"/>
    </w:rPr>
  </w:style>
  <w:style w:type="paragraph" w:styleId="Title">
    <w:name w:val="Title"/>
    <w:basedOn w:val="Normal"/>
    <w:link w:val="TitleChar"/>
    <w:qFormat/>
    <w:rsid w:val="00F84266"/>
    <w:pPr>
      <w:jc w:val="center"/>
    </w:pPr>
    <w:rPr>
      <w:rFonts w:ascii="Book Antiqua" w:hAnsi="Book Antiqua" w:cs="Arial"/>
      <w:b/>
    </w:rPr>
  </w:style>
  <w:style w:type="paragraph" w:styleId="BlockText">
    <w:name w:val="Block Text"/>
    <w:basedOn w:val="Normal"/>
    <w:rsid w:val="00F84266"/>
    <w:pPr>
      <w:spacing w:line="360" w:lineRule="auto"/>
      <w:ind w:left="720" w:right="806"/>
    </w:pPr>
    <w:rPr>
      <w:rFonts w:ascii="Book Antiqua" w:hAnsi="Book Antiqua" w:cs="Arial"/>
    </w:rPr>
  </w:style>
  <w:style w:type="paragraph" w:styleId="BodyTextIndent3">
    <w:name w:val="Body Text Indent 3"/>
    <w:basedOn w:val="Normal"/>
    <w:link w:val="BodyTextIndent3Char"/>
    <w:rsid w:val="00F84266"/>
    <w:pPr>
      <w:ind w:left="630"/>
    </w:pPr>
    <w:rPr>
      <w:rFonts w:ascii="Book Antiqua" w:hAnsi="Book Antiqua" w:cs="Arial"/>
    </w:rPr>
  </w:style>
  <w:style w:type="paragraph" w:styleId="BodyText3">
    <w:name w:val="Body Text 3"/>
    <w:basedOn w:val="Normal"/>
    <w:link w:val="BodyText3Char"/>
    <w:rsid w:val="00F84266"/>
    <w:pPr>
      <w:spacing w:line="360" w:lineRule="auto"/>
    </w:pPr>
    <w:rPr>
      <w:rFonts w:ascii="Book Antiqua" w:hAnsi="Book Antiqua" w:cs="Arial"/>
    </w:rPr>
  </w:style>
  <w:style w:type="paragraph" w:styleId="NormalWeb">
    <w:name w:val="Normal (Web)"/>
    <w:basedOn w:val="Normal"/>
    <w:uiPriority w:val="99"/>
    <w:rsid w:val="00F84266"/>
    <w:pPr>
      <w:spacing w:after="0" w:line="240" w:lineRule="auto"/>
    </w:pPr>
    <w:rPr>
      <w:rFonts w:ascii="Times New Roman" w:hAnsi="Times New Roman"/>
      <w:color w:val="5C5A59"/>
      <w:spacing w:val="0"/>
      <w:sz w:val="26"/>
      <w:szCs w:val="26"/>
    </w:rPr>
  </w:style>
  <w:style w:type="paragraph" w:styleId="Subtitle">
    <w:name w:val="Subtitle"/>
    <w:basedOn w:val="Normal"/>
    <w:link w:val="SubtitleChar"/>
    <w:qFormat/>
    <w:rsid w:val="00F84266"/>
    <w:rPr>
      <w:rFonts w:ascii="Book Antiqua" w:hAnsi="Book Antiqua" w:cs="Arial"/>
      <w:b/>
      <w:bCs/>
      <w:szCs w:val="22"/>
    </w:rPr>
  </w:style>
  <w:style w:type="paragraph" w:customStyle="1" w:styleId="xl34">
    <w:name w:val="xl34"/>
    <w:basedOn w:val="Normal"/>
    <w:rsid w:val="00F84266"/>
    <w:pPr>
      <w:spacing w:before="100" w:beforeAutospacing="1" w:after="100" w:afterAutospacing="1"/>
      <w:textAlignment w:val="top"/>
    </w:pPr>
    <w:rPr>
      <w:rFonts w:ascii="Arial Unicode MS" w:eastAsia="Arial Unicode MS" w:hAnsi="Arial Unicode MS" w:cs="Arial"/>
      <w:szCs w:val="22"/>
    </w:rPr>
  </w:style>
  <w:style w:type="paragraph" w:customStyle="1" w:styleId="Header1">
    <w:name w:val="Header+1"/>
    <w:basedOn w:val="Default"/>
    <w:next w:val="Default"/>
    <w:rsid w:val="00F84266"/>
    <w:rPr>
      <w:color w:val="auto"/>
      <w:sz w:val="20"/>
    </w:rPr>
  </w:style>
  <w:style w:type="paragraph" w:customStyle="1" w:styleId="Default">
    <w:name w:val="Default"/>
    <w:rsid w:val="00F84266"/>
    <w:pPr>
      <w:autoSpaceDE w:val="0"/>
      <w:autoSpaceDN w:val="0"/>
      <w:adjustRightInd w:val="0"/>
    </w:pPr>
    <w:rPr>
      <w:rFonts w:ascii="Arial" w:hAnsi="Arial"/>
      <w:color w:val="000000"/>
      <w:sz w:val="24"/>
      <w:szCs w:val="24"/>
      <w:lang w:val="en-US" w:eastAsia="en-US"/>
    </w:rPr>
  </w:style>
  <w:style w:type="paragraph" w:customStyle="1" w:styleId="Heading51">
    <w:name w:val="Heading 5+1"/>
    <w:basedOn w:val="Default"/>
    <w:next w:val="Default"/>
    <w:rsid w:val="00F84266"/>
    <w:rPr>
      <w:color w:val="auto"/>
      <w:sz w:val="20"/>
    </w:rPr>
  </w:style>
  <w:style w:type="paragraph" w:customStyle="1" w:styleId="Normal2">
    <w:name w:val="Normal+2"/>
    <w:basedOn w:val="Default"/>
    <w:next w:val="Default"/>
    <w:rsid w:val="00F84266"/>
    <w:rPr>
      <w:color w:val="auto"/>
      <w:sz w:val="20"/>
    </w:rPr>
  </w:style>
  <w:style w:type="paragraph" w:customStyle="1" w:styleId="Heading21">
    <w:name w:val="Heading 2+1"/>
    <w:basedOn w:val="Normal"/>
    <w:next w:val="Normal"/>
    <w:rsid w:val="00F84266"/>
    <w:pPr>
      <w:autoSpaceDE w:val="0"/>
      <w:autoSpaceDN w:val="0"/>
      <w:adjustRightInd w:val="0"/>
    </w:pPr>
    <w:rPr>
      <w:rFonts w:cs="Arial"/>
      <w:szCs w:val="22"/>
    </w:rPr>
  </w:style>
  <w:style w:type="character" w:customStyle="1" w:styleId="body1">
    <w:name w:val="body1"/>
    <w:basedOn w:val="DefaultParagraphFont"/>
    <w:rsid w:val="00F84266"/>
  </w:style>
  <w:style w:type="paragraph" w:styleId="HTMLPreformatted">
    <w:name w:val="HTML Preformatted"/>
    <w:basedOn w:val="Normal"/>
    <w:link w:val="HTMLPreformattedChar"/>
    <w:rsid w:val="00F84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Strong">
    <w:name w:val="Strong"/>
    <w:uiPriority w:val="22"/>
    <w:qFormat/>
    <w:rsid w:val="00F84266"/>
    <w:rPr>
      <w:b/>
      <w:bCs/>
    </w:rPr>
  </w:style>
  <w:style w:type="character" w:customStyle="1" w:styleId="newstitle1">
    <w:name w:val="newstitle1"/>
    <w:rsid w:val="00F84266"/>
    <w:rPr>
      <w:b/>
      <w:bCs/>
      <w:sz w:val="38"/>
      <w:szCs w:val="38"/>
      <w:bdr w:val="single" w:sz="6" w:space="0" w:color="666666" w:frame="1"/>
    </w:rPr>
  </w:style>
  <w:style w:type="character" w:styleId="FollowedHyperlink">
    <w:name w:val="FollowedHyperlink"/>
    <w:rsid w:val="00F84266"/>
    <w:rPr>
      <w:color w:val="800080"/>
      <w:u w:val="single"/>
    </w:rPr>
  </w:style>
  <w:style w:type="paragraph" w:customStyle="1" w:styleId="font5">
    <w:name w:val="font5"/>
    <w:basedOn w:val="Normal"/>
    <w:rsid w:val="00F84266"/>
    <w:pPr>
      <w:spacing w:before="100" w:beforeAutospacing="1" w:after="100" w:afterAutospacing="1"/>
    </w:pPr>
    <w:rPr>
      <w:rFonts w:cs="Arial"/>
      <w:color w:val="000000"/>
    </w:rPr>
  </w:style>
  <w:style w:type="paragraph" w:customStyle="1" w:styleId="font6">
    <w:name w:val="font6"/>
    <w:basedOn w:val="Normal"/>
    <w:rsid w:val="00F84266"/>
    <w:pPr>
      <w:spacing w:before="100" w:beforeAutospacing="1" w:after="100" w:afterAutospacing="1"/>
    </w:pPr>
    <w:rPr>
      <w:rFonts w:ascii="Tahoma" w:hAnsi="Tahoma" w:cs="Arial"/>
      <w:color w:val="000000"/>
      <w:sz w:val="16"/>
      <w:szCs w:val="16"/>
    </w:rPr>
  </w:style>
  <w:style w:type="paragraph" w:customStyle="1" w:styleId="font7">
    <w:name w:val="font7"/>
    <w:basedOn w:val="Normal"/>
    <w:rsid w:val="00F84266"/>
    <w:pPr>
      <w:spacing w:before="100" w:beforeAutospacing="1" w:after="100" w:afterAutospacing="1"/>
    </w:pPr>
    <w:rPr>
      <w:rFonts w:ascii="Tahoma" w:hAnsi="Tahoma" w:cs="Arial"/>
      <w:b/>
      <w:bCs/>
      <w:color w:val="000000"/>
      <w:sz w:val="16"/>
      <w:szCs w:val="16"/>
    </w:rPr>
  </w:style>
  <w:style w:type="paragraph" w:customStyle="1" w:styleId="font8">
    <w:name w:val="font8"/>
    <w:basedOn w:val="Normal"/>
    <w:rsid w:val="00F84266"/>
    <w:pPr>
      <w:spacing w:before="100" w:beforeAutospacing="1" w:after="100" w:afterAutospacing="1"/>
    </w:pPr>
    <w:rPr>
      <w:rFonts w:cs="Arial"/>
      <w:color w:val="800000"/>
    </w:rPr>
  </w:style>
  <w:style w:type="paragraph" w:customStyle="1" w:styleId="xl31">
    <w:name w:val="xl31"/>
    <w:basedOn w:val="Normal"/>
    <w:rsid w:val="00F84266"/>
    <w:pPr>
      <w:spacing w:before="100" w:beforeAutospacing="1" w:after="100" w:afterAutospacing="1"/>
    </w:pPr>
    <w:rPr>
      <w:rFonts w:cs="Arial"/>
      <w:b/>
      <w:bCs/>
      <w:color w:val="000000"/>
      <w:szCs w:val="18"/>
    </w:rPr>
  </w:style>
  <w:style w:type="paragraph" w:customStyle="1" w:styleId="xl32">
    <w:name w:val="xl32"/>
    <w:basedOn w:val="Normal"/>
    <w:rsid w:val="00F84266"/>
    <w:pPr>
      <w:spacing w:before="100" w:beforeAutospacing="1" w:after="100" w:afterAutospacing="1"/>
      <w:jc w:val="right"/>
    </w:pPr>
    <w:rPr>
      <w:rFonts w:cs="Arial"/>
      <w:b/>
      <w:bCs/>
      <w:color w:val="000000"/>
      <w:szCs w:val="18"/>
    </w:rPr>
  </w:style>
  <w:style w:type="paragraph" w:customStyle="1" w:styleId="xl33">
    <w:name w:val="xl33"/>
    <w:basedOn w:val="Normal"/>
    <w:rsid w:val="00F84266"/>
    <w:pPr>
      <w:spacing w:before="100" w:beforeAutospacing="1" w:after="100" w:afterAutospacing="1"/>
    </w:pPr>
    <w:rPr>
      <w:rFonts w:cs="Arial"/>
      <w:color w:val="000000"/>
      <w:szCs w:val="18"/>
    </w:rPr>
  </w:style>
  <w:style w:type="paragraph" w:customStyle="1" w:styleId="xl35">
    <w:name w:val="xl35"/>
    <w:basedOn w:val="Normal"/>
    <w:rsid w:val="00F84266"/>
    <w:pPr>
      <w:pBdr>
        <w:bottom w:val="single" w:sz="4" w:space="0" w:color="auto"/>
      </w:pBdr>
      <w:spacing w:before="100" w:beforeAutospacing="1" w:after="100" w:afterAutospacing="1"/>
      <w:jc w:val="right"/>
    </w:pPr>
    <w:rPr>
      <w:rFonts w:cs="Arial"/>
      <w:color w:val="000000"/>
      <w:sz w:val="16"/>
      <w:szCs w:val="16"/>
    </w:rPr>
  </w:style>
  <w:style w:type="paragraph" w:customStyle="1" w:styleId="xl36">
    <w:name w:val="xl36"/>
    <w:basedOn w:val="Normal"/>
    <w:rsid w:val="00F84266"/>
    <w:pPr>
      <w:spacing w:before="100" w:beforeAutospacing="1" w:after="100" w:afterAutospacing="1"/>
      <w:textAlignment w:val="top"/>
    </w:pPr>
    <w:rPr>
      <w:rFonts w:cs="Arial"/>
      <w:b/>
      <w:bCs/>
      <w:color w:val="000000"/>
      <w:szCs w:val="18"/>
    </w:rPr>
  </w:style>
  <w:style w:type="paragraph" w:customStyle="1" w:styleId="xl37">
    <w:name w:val="xl37"/>
    <w:basedOn w:val="Normal"/>
    <w:rsid w:val="00F84266"/>
    <w:pPr>
      <w:spacing w:before="100" w:beforeAutospacing="1" w:after="100" w:afterAutospacing="1"/>
      <w:textAlignment w:val="top"/>
    </w:pPr>
    <w:rPr>
      <w:rFonts w:cs="Arial"/>
      <w:color w:val="000000"/>
      <w:szCs w:val="18"/>
    </w:rPr>
  </w:style>
  <w:style w:type="paragraph" w:customStyle="1" w:styleId="xl38">
    <w:name w:val="xl38"/>
    <w:basedOn w:val="Normal"/>
    <w:rsid w:val="00F84266"/>
    <w:pPr>
      <w:spacing w:before="100" w:beforeAutospacing="1" w:after="100" w:afterAutospacing="1"/>
    </w:pPr>
    <w:rPr>
      <w:rFonts w:cs="Arial"/>
      <w:color w:val="000000"/>
      <w:szCs w:val="18"/>
    </w:rPr>
  </w:style>
  <w:style w:type="paragraph" w:customStyle="1" w:styleId="xl39">
    <w:name w:val="xl39"/>
    <w:basedOn w:val="Normal"/>
    <w:rsid w:val="00F84266"/>
    <w:pPr>
      <w:spacing w:before="100" w:beforeAutospacing="1" w:after="100" w:afterAutospacing="1"/>
      <w:jc w:val="right"/>
    </w:pPr>
    <w:rPr>
      <w:rFonts w:cs="Arial"/>
      <w:color w:val="000000"/>
      <w:szCs w:val="18"/>
    </w:rPr>
  </w:style>
  <w:style w:type="paragraph" w:customStyle="1" w:styleId="xl40">
    <w:name w:val="xl40"/>
    <w:basedOn w:val="Normal"/>
    <w:rsid w:val="00F84266"/>
    <w:pPr>
      <w:spacing w:before="100" w:beforeAutospacing="1" w:after="100" w:afterAutospacing="1"/>
      <w:jc w:val="right"/>
    </w:pPr>
    <w:rPr>
      <w:rFonts w:cs="Arial"/>
      <w:color w:val="000000"/>
      <w:szCs w:val="18"/>
    </w:rPr>
  </w:style>
  <w:style w:type="paragraph" w:customStyle="1" w:styleId="xl41">
    <w:name w:val="xl41"/>
    <w:basedOn w:val="Normal"/>
    <w:rsid w:val="00F84266"/>
    <w:pPr>
      <w:spacing w:before="100" w:beforeAutospacing="1" w:after="100" w:afterAutospacing="1"/>
      <w:jc w:val="center"/>
    </w:pPr>
    <w:rPr>
      <w:rFonts w:cs="Arial"/>
      <w:color w:val="000000"/>
      <w:szCs w:val="18"/>
    </w:rPr>
  </w:style>
  <w:style w:type="paragraph" w:customStyle="1" w:styleId="xl42">
    <w:name w:val="xl42"/>
    <w:basedOn w:val="Normal"/>
    <w:rsid w:val="00F84266"/>
    <w:pPr>
      <w:spacing w:before="100" w:beforeAutospacing="1" w:after="100" w:afterAutospacing="1"/>
      <w:jc w:val="right"/>
    </w:pPr>
    <w:rPr>
      <w:rFonts w:cs="Arial"/>
      <w:b/>
      <w:bCs/>
      <w:color w:val="000000"/>
      <w:szCs w:val="18"/>
    </w:rPr>
  </w:style>
  <w:style w:type="paragraph" w:customStyle="1" w:styleId="xl43">
    <w:name w:val="xl43"/>
    <w:basedOn w:val="Normal"/>
    <w:rsid w:val="00F84266"/>
    <w:pPr>
      <w:spacing w:before="100" w:beforeAutospacing="1" w:after="100" w:afterAutospacing="1"/>
      <w:jc w:val="right"/>
    </w:pPr>
    <w:rPr>
      <w:rFonts w:cs="Arial"/>
      <w:color w:val="000000"/>
      <w:szCs w:val="18"/>
    </w:rPr>
  </w:style>
  <w:style w:type="paragraph" w:customStyle="1" w:styleId="xl44">
    <w:name w:val="xl44"/>
    <w:basedOn w:val="Normal"/>
    <w:rsid w:val="00F84266"/>
    <w:pPr>
      <w:spacing w:before="100" w:beforeAutospacing="1" w:after="100" w:afterAutospacing="1"/>
      <w:jc w:val="right"/>
    </w:pPr>
    <w:rPr>
      <w:rFonts w:cs="Arial"/>
      <w:color w:val="000000"/>
      <w:szCs w:val="18"/>
    </w:rPr>
  </w:style>
  <w:style w:type="paragraph" w:customStyle="1" w:styleId="xl45">
    <w:name w:val="xl45"/>
    <w:basedOn w:val="Normal"/>
    <w:rsid w:val="00F84266"/>
    <w:pPr>
      <w:pBdr>
        <w:bottom w:val="single" w:sz="4" w:space="0" w:color="auto"/>
      </w:pBdr>
      <w:spacing w:before="100" w:beforeAutospacing="1" w:after="100" w:afterAutospacing="1"/>
      <w:jc w:val="right"/>
    </w:pPr>
    <w:rPr>
      <w:rFonts w:cs="Arial"/>
      <w:color w:val="000000"/>
      <w:szCs w:val="18"/>
    </w:rPr>
  </w:style>
  <w:style w:type="paragraph" w:customStyle="1" w:styleId="xl46">
    <w:name w:val="xl46"/>
    <w:basedOn w:val="Normal"/>
    <w:rsid w:val="00F84266"/>
    <w:pPr>
      <w:spacing w:before="100" w:beforeAutospacing="1" w:after="100" w:afterAutospacing="1"/>
      <w:textAlignment w:val="top"/>
    </w:pPr>
    <w:rPr>
      <w:rFonts w:cs="Arial"/>
      <w:color w:val="000000"/>
      <w:szCs w:val="18"/>
    </w:rPr>
  </w:style>
  <w:style w:type="paragraph" w:customStyle="1" w:styleId="xl47">
    <w:name w:val="xl47"/>
    <w:basedOn w:val="Normal"/>
    <w:rsid w:val="00F84266"/>
    <w:pPr>
      <w:spacing w:before="100" w:beforeAutospacing="1" w:after="100" w:afterAutospacing="1"/>
      <w:textAlignment w:val="top"/>
    </w:pPr>
    <w:rPr>
      <w:rFonts w:cs="Arial"/>
      <w:b/>
      <w:bCs/>
      <w:color w:val="000000"/>
      <w:szCs w:val="18"/>
    </w:rPr>
  </w:style>
  <w:style w:type="paragraph" w:customStyle="1" w:styleId="xl48">
    <w:name w:val="xl48"/>
    <w:basedOn w:val="Normal"/>
    <w:rsid w:val="00F84266"/>
    <w:pPr>
      <w:spacing w:before="100" w:beforeAutospacing="1" w:after="100" w:afterAutospacing="1"/>
      <w:textAlignment w:val="top"/>
    </w:pPr>
    <w:rPr>
      <w:rFonts w:cs="Arial"/>
      <w:color w:val="000000"/>
      <w:sz w:val="16"/>
      <w:szCs w:val="16"/>
    </w:rPr>
  </w:style>
  <w:style w:type="paragraph" w:customStyle="1" w:styleId="xl49">
    <w:name w:val="xl49"/>
    <w:basedOn w:val="Normal"/>
    <w:rsid w:val="00F84266"/>
    <w:pPr>
      <w:pBdr>
        <w:bottom w:val="single" w:sz="4" w:space="0" w:color="auto"/>
      </w:pBdr>
      <w:spacing w:before="100" w:beforeAutospacing="1" w:after="100" w:afterAutospacing="1"/>
    </w:pPr>
    <w:rPr>
      <w:rFonts w:cs="Arial"/>
      <w:color w:val="000000"/>
      <w:sz w:val="16"/>
      <w:szCs w:val="16"/>
    </w:rPr>
  </w:style>
  <w:style w:type="paragraph" w:customStyle="1" w:styleId="xl50">
    <w:name w:val="xl50"/>
    <w:basedOn w:val="Normal"/>
    <w:rsid w:val="00F84266"/>
    <w:pPr>
      <w:spacing w:before="100" w:beforeAutospacing="1" w:after="100" w:afterAutospacing="1"/>
    </w:pPr>
    <w:rPr>
      <w:rFonts w:cs="Arial"/>
      <w:color w:val="000000"/>
      <w:sz w:val="16"/>
      <w:szCs w:val="16"/>
    </w:rPr>
  </w:style>
  <w:style w:type="paragraph" w:customStyle="1" w:styleId="xl51">
    <w:name w:val="xl51"/>
    <w:basedOn w:val="Normal"/>
    <w:rsid w:val="00F84266"/>
    <w:pPr>
      <w:pBdr>
        <w:bottom w:val="single" w:sz="4" w:space="0" w:color="auto"/>
      </w:pBdr>
      <w:spacing w:before="100" w:beforeAutospacing="1" w:after="100" w:afterAutospacing="1"/>
    </w:pPr>
    <w:rPr>
      <w:rFonts w:cs="Arial"/>
      <w:color w:val="000000"/>
      <w:szCs w:val="18"/>
    </w:rPr>
  </w:style>
  <w:style w:type="paragraph" w:customStyle="1" w:styleId="xl52">
    <w:name w:val="xl52"/>
    <w:basedOn w:val="Normal"/>
    <w:rsid w:val="00F84266"/>
    <w:pPr>
      <w:spacing w:before="100" w:beforeAutospacing="1" w:after="100" w:afterAutospacing="1"/>
      <w:textAlignment w:val="top"/>
    </w:pPr>
    <w:rPr>
      <w:rFonts w:ascii="Times New Roman" w:hAnsi="Times New Roman" w:cs="Arial"/>
      <w:color w:val="000000"/>
      <w:sz w:val="24"/>
      <w:szCs w:val="22"/>
    </w:rPr>
  </w:style>
  <w:style w:type="paragraph" w:customStyle="1" w:styleId="xl53">
    <w:name w:val="xl53"/>
    <w:basedOn w:val="Normal"/>
    <w:rsid w:val="00F84266"/>
    <w:pPr>
      <w:pBdr>
        <w:bottom w:val="single" w:sz="4" w:space="0" w:color="auto"/>
      </w:pBdr>
      <w:spacing w:before="100" w:beforeAutospacing="1" w:after="100" w:afterAutospacing="1"/>
      <w:jc w:val="right"/>
    </w:pPr>
    <w:rPr>
      <w:rFonts w:cs="Arial"/>
      <w:b/>
      <w:bCs/>
      <w:color w:val="000000"/>
      <w:szCs w:val="18"/>
    </w:rPr>
  </w:style>
  <w:style w:type="paragraph" w:customStyle="1" w:styleId="xl54">
    <w:name w:val="xl54"/>
    <w:basedOn w:val="Normal"/>
    <w:rsid w:val="00F84266"/>
    <w:pPr>
      <w:pBdr>
        <w:bottom w:val="single" w:sz="4" w:space="0" w:color="auto"/>
      </w:pBdr>
      <w:spacing w:before="100" w:beforeAutospacing="1" w:after="100" w:afterAutospacing="1"/>
      <w:jc w:val="right"/>
    </w:pPr>
    <w:rPr>
      <w:rFonts w:cs="Arial"/>
      <w:color w:val="000000"/>
      <w:szCs w:val="18"/>
    </w:rPr>
  </w:style>
  <w:style w:type="paragraph" w:customStyle="1" w:styleId="xl55">
    <w:name w:val="xl55"/>
    <w:basedOn w:val="Normal"/>
    <w:rsid w:val="00F84266"/>
    <w:pPr>
      <w:spacing w:before="100" w:beforeAutospacing="1" w:after="100" w:afterAutospacing="1"/>
      <w:textAlignment w:val="top"/>
    </w:pPr>
    <w:rPr>
      <w:rFonts w:cs="Arial"/>
      <w:color w:val="000000"/>
      <w:szCs w:val="18"/>
    </w:rPr>
  </w:style>
  <w:style w:type="paragraph" w:customStyle="1" w:styleId="xl56">
    <w:name w:val="xl56"/>
    <w:basedOn w:val="Normal"/>
    <w:rsid w:val="00F84266"/>
    <w:pPr>
      <w:pBdr>
        <w:top w:val="single" w:sz="4" w:space="0" w:color="auto"/>
        <w:bottom w:val="single" w:sz="8" w:space="0" w:color="auto"/>
      </w:pBdr>
      <w:spacing w:before="100" w:beforeAutospacing="1" w:after="100" w:afterAutospacing="1"/>
      <w:jc w:val="right"/>
    </w:pPr>
    <w:rPr>
      <w:rFonts w:cs="Arial"/>
      <w:color w:val="000000"/>
      <w:szCs w:val="18"/>
    </w:rPr>
  </w:style>
  <w:style w:type="paragraph" w:customStyle="1" w:styleId="xl57">
    <w:name w:val="xl57"/>
    <w:basedOn w:val="Normal"/>
    <w:rsid w:val="00F84266"/>
    <w:pPr>
      <w:spacing w:before="100" w:beforeAutospacing="1" w:after="100" w:afterAutospacing="1"/>
      <w:jc w:val="center"/>
    </w:pPr>
    <w:rPr>
      <w:rFonts w:cs="Arial"/>
      <w:color w:val="000000"/>
      <w:szCs w:val="18"/>
    </w:rPr>
  </w:style>
  <w:style w:type="paragraph" w:customStyle="1" w:styleId="xl58">
    <w:name w:val="xl58"/>
    <w:basedOn w:val="Normal"/>
    <w:rsid w:val="00F84266"/>
    <w:pPr>
      <w:spacing w:before="100" w:beforeAutospacing="1" w:after="100" w:afterAutospacing="1"/>
      <w:jc w:val="right"/>
    </w:pPr>
    <w:rPr>
      <w:rFonts w:cs="Arial"/>
      <w:b/>
      <w:bCs/>
      <w:color w:val="000000"/>
      <w:sz w:val="16"/>
      <w:szCs w:val="16"/>
    </w:rPr>
  </w:style>
  <w:style w:type="paragraph" w:customStyle="1" w:styleId="xl59">
    <w:name w:val="xl59"/>
    <w:basedOn w:val="Normal"/>
    <w:rsid w:val="00F84266"/>
    <w:pPr>
      <w:pBdr>
        <w:bottom w:val="single" w:sz="4" w:space="0" w:color="auto"/>
      </w:pBdr>
      <w:spacing w:before="100" w:beforeAutospacing="1" w:after="100" w:afterAutospacing="1"/>
    </w:pPr>
    <w:rPr>
      <w:rFonts w:cs="Arial"/>
      <w:b/>
      <w:bCs/>
      <w:color w:val="000000"/>
      <w:szCs w:val="18"/>
    </w:rPr>
  </w:style>
  <w:style w:type="paragraph" w:customStyle="1" w:styleId="xl60">
    <w:name w:val="xl60"/>
    <w:basedOn w:val="Normal"/>
    <w:rsid w:val="00F84266"/>
    <w:pPr>
      <w:pBdr>
        <w:bottom w:val="single" w:sz="4" w:space="0" w:color="auto"/>
      </w:pBdr>
      <w:spacing w:before="100" w:beforeAutospacing="1" w:after="100" w:afterAutospacing="1"/>
      <w:jc w:val="right"/>
    </w:pPr>
    <w:rPr>
      <w:rFonts w:cs="Arial"/>
      <w:b/>
      <w:bCs/>
      <w:color w:val="000000"/>
      <w:sz w:val="16"/>
      <w:szCs w:val="16"/>
    </w:rPr>
  </w:style>
  <w:style w:type="paragraph" w:customStyle="1" w:styleId="xl61">
    <w:name w:val="xl61"/>
    <w:basedOn w:val="Normal"/>
    <w:rsid w:val="00F84266"/>
    <w:pPr>
      <w:pBdr>
        <w:bottom w:val="single" w:sz="4" w:space="0" w:color="auto"/>
      </w:pBdr>
      <w:spacing w:before="100" w:beforeAutospacing="1" w:after="100" w:afterAutospacing="1"/>
      <w:jc w:val="right"/>
    </w:pPr>
    <w:rPr>
      <w:rFonts w:cs="Arial"/>
      <w:b/>
      <w:bCs/>
      <w:color w:val="000000"/>
      <w:szCs w:val="18"/>
    </w:rPr>
  </w:style>
  <w:style w:type="paragraph" w:customStyle="1" w:styleId="xl62">
    <w:name w:val="xl62"/>
    <w:basedOn w:val="Normal"/>
    <w:rsid w:val="00F84266"/>
    <w:pPr>
      <w:spacing w:before="100" w:beforeAutospacing="1" w:after="100" w:afterAutospacing="1"/>
    </w:pPr>
    <w:rPr>
      <w:rFonts w:ascii="Times New Roman" w:hAnsi="Times New Roman" w:cs="Arial"/>
      <w:color w:val="000000"/>
      <w:sz w:val="24"/>
      <w:szCs w:val="22"/>
    </w:rPr>
  </w:style>
  <w:style w:type="paragraph" w:customStyle="1" w:styleId="xl63">
    <w:name w:val="xl63"/>
    <w:basedOn w:val="Normal"/>
    <w:rsid w:val="00F84266"/>
    <w:pPr>
      <w:spacing w:before="100" w:beforeAutospacing="1" w:after="100" w:afterAutospacing="1"/>
    </w:pPr>
    <w:rPr>
      <w:rFonts w:cs="Arial"/>
      <w:b/>
      <w:bCs/>
      <w:color w:val="000000"/>
      <w:sz w:val="16"/>
      <w:szCs w:val="16"/>
    </w:rPr>
  </w:style>
  <w:style w:type="paragraph" w:customStyle="1" w:styleId="xl64">
    <w:name w:val="xl64"/>
    <w:basedOn w:val="Normal"/>
    <w:rsid w:val="00F84266"/>
    <w:pPr>
      <w:pBdr>
        <w:bottom w:val="single" w:sz="4" w:space="0" w:color="auto"/>
      </w:pBdr>
      <w:spacing w:before="100" w:beforeAutospacing="1" w:after="100" w:afterAutospacing="1"/>
    </w:pPr>
    <w:rPr>
      <w:rFonts w:cs="Arial"/>
      <w:b/>
      <w:bCs/>
      <w:color w:val="000000"/>
      <w:szCs w:val="18"/>
    </w:rPr>
  </w:style>
  <w:style w:type="paragraph" w:customStyle="1" w:styleId="xl65">
    <w:name w:val="xl65"/>
    <w:basedOn w:val="Normal"/>
    <w:rsid w:val="00F84266"/>
    <w:pPr>
      <w:spacing w:before="100" w:beforeAutospacing="1" w:after="100" w:afterAutospacing="1"/>
      <w:jc w:val="right"/>
    </w:pPr>
    <w:rPr>
      <w:rFonts w:cs="Arial"/>
      <w:b/>
      <w:bCs/>
      <w:color w:val="000000"/>
      <w:szCs w:val="18"/>
    </w:rPr>
  </w:style>
  <w:style w:type="paragraph" w:customStyle="1" w:styleId="xl66">
    <w:name w:val="xl66"/>
    <w:basedOn w:val="Normal"/>
    <w:rsid w:val="00F84266"/>
    <w:pPr>
      <w:spacing w:before="100" w:beforeAutospacing="1" w:after="100" w:afterAutospacing="1"/>
    </w:pPr>
    <w:rPr>
      <w:rFonts w:cs="Arial"/>
      <w:b/>
      <w:bCs/>
      <w:color w:val="000000"/>
      <w:szCs w:val="18"/>
    </w:rPr>
  </w:style>
  <w:style w:type="paragraph" w:customStyle="1" w:styleId="xl67">
    <w:name w:val="xl67"/>
    <w:basedOn w:val="Normal"/>
    <w:rsid w:val="00F84266"/>
    <w:pPr>
      <w:pBdr>
        <w:top w:val="single" w:sz="4" w:space="0" w:color="auto"/>
        <w:bottom w:val="single" w:sz="8" w:space="0" w:color="auto"/>
      </w:pBdr>
      <w:spacing w:before="100" w:beforeAutospacing="1" w:after="100" w:afterAutospacing="1"/>
      <w:jc w:val="right"/>
    </w:pPr>
    <w:rPr>
      <w:rFonts w:cs="Arial"/>
      <w:b/>
      <w:bCs/>
      <w:color w:val="000000"/>
      <w:szCs w:val="18"/>
    </w:rPr>
  </w:style>
  <w:style w:type="paragraph" w:customStyle="1" w:styleId="xl68">
    <w:name w:val="xl68"/>
    <w:basedOn w:val="Normal"/>
    <w:rsid w:val="00F84266"/>
    <w:pPr>
      <w:spacing w:before="100" w:beforeAutospacing="1" w:after="100" w:afterAutospacing="1"/>
      <w:jc w:val="center"/>
    </w:pPr>
    <w:rPr>
      <w:rFonts w:cs="Arial"/>
      <w:color w:val="000000"/>
      <w:szCs w:val="18"/>
    </w:rPr>
  </w:style>
  <w:style w:type="paragraph" w:customStyle="1" w:styleId="xl69">
    <w:name w:val="xl69"/>
    <w:basedOn w:val="Normal"/>
    <w:rsid w:val="00F84266"/>
    <w:pPr>
      <w:pBdr>
        <w:top w:val="single" w:sz="4" w:space="0" w:color="auto"/>
        <w:bottom w:val="single" w:sz="8" w:space="0" w:color="auto"/>
      </w:pBdr>
      <w:spacing w:before="100" w:beforeAutospacing="1" w:after="100" w:afterAutospacing="1"/>
    </w:pPr>
    <w:rPr>
      <w:rFonts w:cs="Arial"/>
      <w:color w:val="000000"/>
      <w:szCs w:val="18"/>
    </w:rPr>
  </w:style>
  <w:style w:type="paragraph" w:customStyle="1" w:styleId="xl70">
    <w:name w:val="xl70"/>
    <w:basedOn w:val="Normal"/>
    <w:rsid w:val="00F84266"/>
    <w:pPr>
      <w:spacing w:before="100" w:beforeAutospacing="1" w:after="100" w:afterAutospacing="1"/>
      <w:jc w:val="right"/>
    </w:pPr>
    <w:rPr>
      <w:rFonts w:cs="Arial"/>
      <w:color w:val="000000"/>
      <w:sz w:val="16"/>
      <w:szCs w:val="16"/>
    </w:rPr>
  </w:style>
  <w:style w:type="paragraph" w:customStyle="1" w:styleId="xl71">
    <w:name w:val="xl71"/>
    <w:basedOn w:val="Normal"/>
    <w:rsid w:val="00F84266"/>
    <w:pPr>
      <w:spacing w:before="100" w:beforeAutospacing="1" w:after="100" w:afterAutospacing="1"/>
      <w:jc w:val="center"/>
    </w:pPr>
    <w:rPr>
      <w:rFonts w:cs="Arial"/>
      <w:b/>
      <w:bCs/>
      <w:color w:val="000000"/>
      <w:szCs w:val="18"/>
    </w:rPr>
  </w:style>
  <w:style w:type="paragraph" w:customStyle="1" w:styleId="xl72">
    <w:name w:val="xl72"/>
    <w:basedOn w:val="Normal"/>
    <w:rsid w:val="00F84266"/>
    <w:pPr>
      <w:spacing w:before="100" w:beforeAutospacing="1" w:after="100" w:afterAutospacing="1"/>
    </w:pPr>
    <w:rPr>
      <w:rFonts w:cs="Arial"/>
      <w:color w:val="000000"/>
      <w:sz w:val="14"/>
      <w:szCs w:val="14"/>
    </w:rPr>
  </w:style>
  <w:style w:type="paragraph" w:customStyle="1" w:styleId="xl73">
    <w:name w:val="xl73"/>
    <w:basedOn w:val="Normal"/>
    <w:rsid w:val="00F84266"/>
    <w:pPr>
      <w:spacing w:before="100" w:beforeAutospacing="1" w:after="100" w:afterAutospacing="1"/>
      <w:jc w:val="center"/>
    </w:pPr>
    <w:rPr>
      <w:rFonts w:cs="Arial"/>
      <w:color w:val="000000"/>
      <w:szCs w:val="18"/>
    </w:rPr>
  </w:style>
  <w:style w:type="paragraph" w:customStyle="1" w:styleId="xl74">
    <w:name w:val="xl74"/>
    <w:basedOn w:val="Normal"/>
    <w:rsid w:val="00F84266"/>
    <w:pPr>
      <w:spacing w:before="100" w:beforeAutospacing="1" w:after="100" w:afterAutospacing="1"/>
      <w:jc w:val="right"/>
    </w:pPr>
    <w:rPr>
      <w:rFonts w:cs="Arial"/>
      <w:color w:val="000000"/>
      <w:szCs w:val="18"/>
    </w:rPr>
  </w:style>
  <w:style w:type="paragraph" w:customStyle="1" w:styleId="xl75">
    <w:name w:val="xl75"/>
    <w:basedOn w:val="Normal"/>
    <w:rsid w:val="00F84266"/>
    <w:pPr>
      <w:spacing w:before="100" w:beforeAutospacing="1" w:after="100" w:afterAutospacing="1"/>
      <w:jc w:val="right"/>
    </w:pPr>
    <w:rPr>
      <w:rFonts w:cs="Arial"/>
      <w:b/>
      <w:bCs/>
      <w:color w:val="000000"/>
      <w:szCs w:val="18"/>
    </w:rPr>
  </w:style>
  <w:style w:type="paragraph" w:customStyle="1" w:styleId="xl76">
    <w:name w:val="xl76"/>
    <w:basedOn w:val="Normal"/>
    <w:rsid w:val="00F84266"/>
    <w:pPr>
      <w:spacing w:before="100" w:beforeAutospacing="1" w:after="100" w:afterAutospacing="1"/>
      <w:textAlignment w:val="top"/>
    </w:pPr>
    <w:rPr>
      <w:rFonts w:cs="Arial"/>
      <w:color w:val="000000"/>
      <w:sz w:val="16"/>
      <w:szCs w:val="16"/>
    </w:rPr>
  </w:style>
  <w:style w:type="paragraph" w:customStyle="1" w:styleId="xl77">
    <w:name w:val="xl77"/>
    <w:basedOn w:val="Normal"/>
    <w:rsid w:val="00F84266"/>
    <w:pPr>
      <w:spacing w:before="100" w:beforeAutospacing="1" w:after="100" w:afterAutospacing="1"/>
      <w:jc w:val="center"/>
    </w:pPr>
    <w:rPr>
      <w:rFonts w:cs="Arial"/>
      <w:color w:val="000000"/>
      <w:sz w:val="16"/>
      <w:szCs w:val="16"/>
    </w:rPr>
  </w:style>
  <w:style w:type="paragraph" w:customStyle="1" w:styleId="xl78">
    <w:name w:val="xl78"/>
    <w:basedOn w:val="Normal"/>
    <w:rsid w:val="00F84266"/>
    <w:pPr>
      <w:spacing w:before="100" w:beforeAutospacing="1" w:after="100" w:afterAutospacing="1"/>
      <w:jc w:val="right"/>
    </w:pPr>
    <w:rPr>
      <w:rFonts w:cs="Arial"/>
      <w:b/>
      <w:bCs/>
      <w:color w:val="000000"/>
      <w:sz w:val="16"/>
      <w:szCs w:val="16"/>
    </w:rPr>
  </w:style>
  <w:style w:type="paragraph" w:customStyle="1" w:styleId="xl79">
    <w:name w:val="xl79"/>
    <w:basedOn w:val="Normal"/>
    <w:rsid w:val="00F84266"/>
    <w:pPr>
      <w:spacing w:before="100" w:beforeAutospacing="1" w:after="100" w:afterAutospacing="1"/>
      <w:jc w:val="right"/>
    </w:pPr>
    <w:rPr>
      <w:rFonts w:cs="Arial"/>
      <w:color w:val="000000"/>
      <w:sz w:val="16"/>
      <w:szCs w:val="16"/>
    </w:rPr>
  </w:style>
  <w:style w:type="paragraph" w:customStyle="1" w:styleId="xl80">
    <w:name w:val="xl80"/>
    <w:basedOn w:val="Normal"/>
    <w:rsid w:val="00F84266"/>
    <w:pPr>
      <w:pBdr>
        <w:bottom w:val="single" w:sz="4" w:space="0" w:color="auto"/>
      </w:pBdr>
      <w:spacing w:before="100" w:beforeAutospacing="1" w:after="100" w:afterAutospacing="1"/>
      <w:jc w:val="center"/>
    </w:pPr>
    <w:rPr>
      <w:rFonts w:cs="Arial"/>
      <w:color w:val="000000"/>
      <w:szCs w:val="18"/>
    </w:rPr>
  </w:style>
  <w:style w:type="paragraph" w:customStyle="1" w:styleId="xl81">
    <w:name w:val="xl81"/>
    <w:basedOn w:val="Normal"/>
    <w:rsid w:val="00F84266"/>
    <w:pPr>
      <w:pBdr>
        <w:bottom w:val="single" w:sz="4" w:space="0" w:color="auto"/>
      </w:pBdr>
      <w:spacing w:before="100" w:beforeAutospacing="1" w:after="100" w:afterAutospacing="1"/>
      <w:jc w:val="right"/>
    </w:pPr>
    <w:rPr>
      <w:rFonts w:cs="Arial"/>
      <w:b/>
      <w:bCs/>
      <w:color w:val="000000"/>
      <w:sz w:val="16"/>
      <w:szCs w:val="16"/>
    </w:rPr>
  </w:style>
  <w:style w:type="paragraph" w:customStyle="1" w:styleId="xl82">
    <w:name w:val="xl82"/>
    <w:basedOn w:val="Normal"/>
    <w:rsid w:val="00F84266"/>
    <w:pPr>
      <w:pBdr>
        <w:bottom w:val="single" w:sz="4" w:space="0" w:color="auto"/>
      </w:pBdr>
      <w:spacing w:before="100" w:beforeAutospacing="1" w:after="100" w:afterAutospacing="1"/>
      <w:jc w:val="right"/>
    </w:pPr>
    <w:rPr>
      <w:rFonts w:cs="Arial"/>
      <w:color w:val="000000"/>
      <w:sz w:val="16"/>
      <w:szCs w:val="16"/>
    </w:rPr>
  </w:style>
  <w:style w:type="paragraph" w:customStyle="1" w:styleId="xl83">
    <w:name w:val="xl83"/>
    <w:basedOn w:val="Normal"/>
    <w:rsid w:val="00F84266"/>
    <w:pPr>
      <w:spacing w:before="100" w:beforeAutospacing="1" w:after="100" w:afterAutospacing="1"/>
    </w:pPr>
    <w:rPr>
      <w:rFonts w:cs="Arial"/>
      <w:color w:val="000000"/>
      <w:sz w:val="16"/>
      <w:szCs w:val="16"/>
    </w:rPr>
  </w:style>
  <w:style w:type="paragraph" w:customStyle="1" w:styleId="xl84">
    <w:name w:val="xl84"/>
    <w:basedOn w:val="Normal"/>
    <w:rsid w:val="00F84266"/>
    <w:pPr>
      <w:spacing w:before="100" w:beforeAutospacing="1" w:after="100" w:afterAutospacing="1"/>
    </w:pPr>
    <w:rPr>
      <w:rFonts w:cs="Arial"/>
      <w:b/>
      <w:bCs/>
      <w:color w:val="000000"/>
      <w:sz w:val="16"/>
      <w:szCs w:val="16"/>
    </w:rPr>
  </w:style>
  <w:style w:type="paragraph" w:customStyle="1" w:styleId="xl85">
    <w:name w:val="xl85"/>
    <w:basedOn w:val="Normal"/>
    <w:rsid w:val="00F84266"/>
    <w:pPr>
      <w:spacing w:before="100" w:beforeAutospacing="1" w:after="100" w:afterAutospacing="1"/>
    </w:pPr>
    <w:rPr>
      <w:rFonts w:cs="Arial"/>
      <w:color w:val="000000"/>
      <w:sz w:val="16"/>
      <w:szCs w:val="16"/>
    </w:rPr>
  </w:style>
  <w:style w:type="paragraph" w:customStyle="1" w:styleId="xl86">
    <w:name w:val="xl86"/>
    <w:basedOn w:val="Normal"/>
    <w:rsid w:val="00F84266"/>
    <w:pPr>
      <w:pBdr>
        <w:bottom w:val="single" w:sz="4" w:space="0" w:color="auto"/>
      </w:pBdr>
      <w:spacing w:before="100" w:beforeAutospacing="1" w:after="100" w:afterAutospacing="1"/>
    </w:pPr>
    <w:rPr>
      <w:rFonts w:cs="Arial"/>
      <w:color w:val="000000"/>
      <w:sz w:val="16"/>
      <w:szCs w:val="16"/>
    </w:rPr>
  </w:style>
  <w:style w:type="paragraph" w:customStyle="1" w:styleId="xl87">
    <w:name w:val="xl87"/>
    <w:basedOn w:val="Normal"/>
    <w:rsid w:val="00F84266"/>
    <w:pPr>
      <w:pBdr>
        <w:bottom w:val="single" w:sz="4" w:space="0" w:color="auto"/>
      </w:pBdr>
      <w:spacing w:before="100" w:beforeAutospacing="1" w:after="100" w:afterAutospacing="1"/>
      <w:jc w:val="center"/>
    </w:pPr>
    <w:rPr>
      <w:rFonts w:cs="Arial"/>
      <w:color w:val="000000"/>
      <w:sz w:val="16"/>
      <w:szCs w:val="16"/>
    </w:rPr>
  </w:style>
  <w:style w:type="paragraph" w:customStyle="1" w:styleId="xl88">
    <w:name w:val="xl88"/>
    <w:basedOn w:val="Normal"/>
    <w:rsid w:val="00F84266"/>
    <w:pPr>
      <w:pBdr>
        <w:bottom w:val="single" w:sz="4" w:space="0" w:color="auto"/>
      </w:pBdr>
      <w:spacing w:before="100" w:beforeAutospacing="1" w:after="100" w:afterAutospacing="1"/>
    </w:pPr>
    <w:rPr>
      <w:rFonts w:cs="Arial"/>
      <w:b/>
      <w:bCs/>
      <w:color w:val="000000"/>
      <w:sz w:val="16"/>
      <w:szCs w:val="16"/>
    </w:rPr>
  </w:style>
  <w:style w:type="paragraph" w:customStyle="1" w:styleId="xl89">
    <w:name w:val="xl89"/>
    <w:basedOn w:val="Normal"/>
    <w:rsid w:val="00F84266"/>
    <w:pPr>
      <w:pBdr>
        <w:bottom w:val="single" w:sz="4" w:space="0" w:color="auto"/>
      </w:pBdr>
      <w:spacing w:before="100" w:beforeAutospacing="1" w:after="100" w:afterAutospacing="1"/>
    </w:pPr>
    <w:rPr>
      <w:rFonts w:cs="Arial"/>
      <w:color w:val="000000"/>
      <w:sz w:val="16"/>
      <w:szCs w:val="16"/>
    </w:rPr>
  </w:style>
  <w:style w:type="paragraph" w:customStyle="1" w:styleId="xl90">
    <w:name w:val="xl90"/>
    <w:basedOn w:val="Normal"/>
    <w:rsid w:val="00F84266"/>
    <w:pPr>
      <w:spacing w:before="100" w:beforeAutospacing="1" w:after="100" w:afterAutospacing="1"/>
    </w:pPr>
    <w:rPr>
      <w:rFonts w:cs="Arial"/>
      <w:b/>
      <w:bCs/>
      <w:color w:val="000000"/>
      <w:sz w:val="16"/>
      <w:szCs w:val="16"/>
    </w:rPr>
  </w:style>
  <w:style w:type="paragraph" w:customStyle="1" w:styleId="xl91">
    <w:name w:val="xl91"/>
    <w:basedOn w:val="Normal"/>
    <w:rsid w:val="00F84266"/>
    <w:pPr>
      <w:spacing w:before="100" w:beforeAutospacing="1" w:after="100" w:afterAutospacing="1"/>
      <w:jc w:val="center"/>
    </w:pPr>
    <w:rPr>
      <w:rFonts w:cs="Arial"/>
      <w:b/>
      <w:bCs/>
      <w:color w:val="000000"/>
      <w:sz w:val="16"/>
      <w:szCs w:val="16"/>
    </w:rPr>
  </w:style>
  <w:style w:type="paragraph" w:customStyle="1" w:styleId="xl92">
    <w:name w:val="xl92"/>
    <w:basedOn w:val="Normal"/>
    <w:rsid w:val="00F84266"/>
    <w:pPr>
      <w:spacing w:before="100" w:beforeAutospacing="1" w:after="100" w:afterAutospacing="1"/>
      <w:jc w:val="center"/>
    </w:pPr>
    <w:rPr>
      <w:rFonts w:cs="Arial"/>
      <w:color w:val="000000"/>
      <w:sz w:val="16"/>
      <w:szCs w:val="16"/>
    </w:rPr>
  </w:style>
  <w:style w:type="paragraph" w:customStyle="1" w:styleId="xl93">
    <w:name w:val="xl93"/>
    <w:basedOn w:val="Normal"/>
    <w:rsid w:val="00F84266"/>
    <w:pPr>
      <w:pBdr>
        <w:top w:val="single" w:sz="4" w:space="0" w:color="auto"/>
        <w:bottom w:val="single" w:sz="8" w:space="0" w:color="auto"/>
      </w:pBdr>
      <w:spacing w:before="100" w:beforeAutospacing="1" w:after="100" w:afterAutospacing="1"/>
    </w:pPr>
    <w:rPr>
      <w:rFonts w:cs="Arial"/>
      <w:b/>
      <w:bCs/>
      <w:color w:val="000000"/>
      <w:sz w:val="16"/>
      <w:szCs w:val="16"/>
    </w:rPr>
  </w:style>
  <w:style w:type="paragraph" w:customStyle="1" w:styleId="StyleFootnotesSpaceBefore7ptBefore0ptAfter0ptCo">
    <w:name w:val="Style Footnotes SpaceBefore + 7 pt Before:  0 pt After:  0 pt Co..."/>
    <w:basedOn w:val="FootnotesSpaceBefore"/>
    <w:rsid w:val="007F7F04"/>
    <w:pPr>
      <w:spacing w:before="20" w:after="20" w:line="240" w:lineRule="auto"/>
      <w:ind w:left="198" w:hanging="198"/>
    </w:pPr>
    <w:rPr>
      <w:spacing w:val="-2"/>
      <w:sz w:val="14"/>
    </w:rPr>
  </w:style>
  <w:style w:type="paragraph" w:customStyle="1" w:styleId="StyleTableColHeadsBoldArial9ptAutoCondensedby02pt">
    <w:name w:val="Style TableColHeadsBold + Arial 9 pt Auto Condensed by  0.2 pt"/>
    <w:basedOn w:val="TableColHeadsBold"/>
    <w:autoRedefine/>
    <w:rsid w:val="007F7F04"/>
    <w:rPr>
      <w:rFonts w:ascii="Arial" w:hAnsi="Arial"/>
      <w:color w:val="auto"/>
      <w:spacing w:val="-4"/>
      <w:sz w:val="18"/>
    </w:rPr>
  </w:style>
  <w:style w:type="paragraph" w:customStyle="1" w:styleId="StyleTableColHeadsBold8pt">
    <w:name w:val="Style TableColHeads Bold + 8 pt"/>
    <w:basedOn w:val="TableColHeadsBold0"/>
    <w:rsid w:val="007F7F04"/>
    <w:pPr>
      <w:spacing w:before="40" w:after="40"/>
    </w:pPr>
    <w:rPr>
      <w:sz w:val="16"/>
    </w:rPr>
  </w:style>
  <w:style w:type="paragraph" w:customStyle="1" w:styleId="xl97">
    <w:name w:val="xl97"/>
    <w:basedOn w:val="Normal"/>
    <w:rsid w:val="00F84266"/>
    <w:pPr>
      <w:spacing w:before="100" w:beforeAutospacing="1" w:after="100" w:afterAutospacing="1"/>
    </w:pPr>
    <w:rPr>
      <w:rFonts w:cs="Arial"/>
      <w:color w:val="000000"/>
      <w:szCs w:val="18"/>
    </w:rPr>
  </w:style>
  <w:style w:type="paragraph" w:customStyle="1" w:styleId="xl98">
    <w:name w:val="xl98"/>
    <w:basedOn w:val="Normal"/>
    <w:rsid w:val="00F84266"/>
    <w:pPr>
      <w:spacing w:before="100" w:beforeAutospacing="1" w:after="100" w:afterAutospacing="1"/>
      <w:jc w:val="center"/>
    </w:pPr>
    <w:rPr>
      <w:rFonts w:cs="Arial"/>
      <w:color w:val="000000"/>
      <w:szCs w:val="18"/>
    </w:rPr>
  </w:style>
  <w:style w:type="paragraph" w:customStyle="1" w:styleId="TableFiguresBold">
    <w:name w:val="TableFiguresBold"/>
    <w:basedOn w:val="Tabletext"/>
    <w:uiPriority w:val="99"/>
    <w:rsid w:val="00694F2F"/>
    <w:pPr>
      <w:tabs>
        <w:tab w:val="clear" w:pos="142"/>
      </w:tabs>
      <w:spacing w:before="40" w:after="40" w:line="190" w:lineRule="exact"/>
      <w:ind w:right="57"/>
      <w:jc w:val="right"/>
    </w:pPr>
    <w:rPr>
      <w:rFonts w:ascii="Delta BQ Light" w:hAnsi="Delta BQ Light"/>
      <w:b/>
      <w:bCs/>
      <w:spacing w:val="0"/>
      <w:sz w:val="16"/>
    </w:rPr>
  </w:style>
  <w:style w:type="paragraph" w:customStyle="1" w:styleId="xl101">
    <w:name w:val="xl101"/>
    <w:basedOn w:val="Normal"/>
    <w:rsid w:val="00F84266"/>
    <w:pPr>
      <w:spacing w:before="100" w:beforeAutospacing="1" w:after="100" w:afterAutospacing="1"/>
    </w:pPr>
    <w:rPr>
      <w:rFonts w:cs="Arial"/>
      <w:b/>
      <w:bCs/>
      <w:color w:val="000000"/>
      <w:szCs w:val="18"/>
    </w:rPr>
  </w:style>
  <w:style w:type="paragraph" w:customStyle="1" w:styleId="xl102">
    <w:name w:val="xl102"/>
    <w:basedOn w:val="Normal"/>
    <w:rsid w:val="00F84266"/>
    <w:pPr>
      <w:spacing w:before="100" w:beforeAutospacing="1" w:after="100" w:afterAutospacing="1"/>
      <w:jc w:val="center"/>
      <w:textAlignment w:val="top"/>
    </w:pPr>
    <w:rPr>
      <w:rFonts w:cs="Arial"/>
      <w:color w:val="000000"/>
      <w:szCs w:val="18"/>
    </w:rPr>
  </w:style>
  <w:style w:type="paragraph" w:customStyle="1" w:styleId="xl103">
    <w:name w:val="xl103"/>
    <w:basedOn w:val="Normal"/>
    <w:rsid w:val="00F84266"/>
    <w:pPr>
      <w:spacing w:before="100" w:beforeAutospacing="1" w:after="100" w:afterAutospacing="1"/>
      <w:jc w:val="center"/>
      <w:textAlignment w:val="top"/>
    </w:pPr>
    <w:rPr>
      <w:rFonts w:cs="Arial"/>
      <w:color w:val="000000"/>
      <w:szCs w:val="18"/>
    </w:rPr>
  </w:style>
  <w:style w:type="paragraph" w:customStyle="1" w:styleId="xl104">
    <w:name w:val="xl104"/>
    <w:basedOn w:val="Normal"/>
    <w:rsid w:val="00F84266"/>
    <w:pPr>
      <w:spacing w:before="100" w:beforeAutospacing="1" w:after="100" w:afterAutospacing="1"/>
      <w:jc w:val="right"/>
      <w:textAlignment w:val="top"/>
    </w:pPr>
    <w:rPr>
      <w:rFonts w:cs="Arial"/>
      <w:b/>
      <w:bCs/>
      <w:color w:val="000000"/>
      <w:sz w:val="16"/>
      <w:szCs w:val="16"/>
    </w:rPr>
  </w:style>
  <w:style w:type="paragraph" w:customStyle="1" w:styleId="TableColHeadsBold">
    <w:name w:val="TableColHeadsBold"/>
    <w:basedOn w:val="TableColHeads"/>
    <w:uiPriority w:val="99"/>
    <w:rsid w:val="003B61C1"/>
    <w:pPr>
      <w:spacing w:before="40" w:after="40"/>
    </w:pPr>
    <w:rPr>
      <w:rFonts w:ascii="Delta BQ Book" w:hAnsi="Delta BQ Book"/>
      <w:b/>
      <w:bCs/>
      <w:color w:val="7ACCC8"/>
      <w:spacing w:val="0"/>
      <w:sz w:val="16"/>
    </w:rPr>
  </w:style>
  <w:style w:type="paragraph" w:customStyle="1" w:styleId="xl106">
    <w:name w:val="xl106"/>
    <w:basedOn w:val="Normal"/>
    <w:rsid w:val="00F84266"/>
    <w:pPr>
      <w:spacing w:before="100" w:beforeAutospacing="1" w:after="100" w:afterAutospacing="1"/>
      <w:jc w:val="center"/>
      <w:textAlignment w:val="top"/>
    </w:pPr>
    <w:rPr>
      <w:rFonts w:cs="Arial"/>
      <w:b/>
      <w:bCs/>
      <w:color w:val="000000"/>
      <w:sz w:val="16"/>
      <w:szCs w:val="16"/>
    </w:rPr>
  </w:style>
  <w:style w:type="paragraph" w:customStyle="1" w:styleId="xl107">
    <w:name w:val="xl107"/>
    <w:basedOn w:val="Normal"/>
    <w:rsid w:val="00F84266"/>
    <w:pPr>
      <w:spacing w:before="100" w:beforeAutospacing="1" w:after="100" w:afterAutospacing="1"/>
      <w:jc w:val="center"/>
      <w:textAlignment w:val="top"/>
    </w:pPr>
    <w:rPr>
      <w:rFonts w:cs="Arial"/>
      <w:b/>
      <w:bCs/>
      <w:color w:val="000000"/>
      <w:sz w:val="16"/>
      <w:szCs w:val="16"/>
    </w:rPr>
  </w:style>
  <w:style w:type="paragraph" w:customStyle="1" w:styleId="xl108">
    <w:name w:val="xl108"/>
    <w:basedOn w:val="Normal"/>
    <w:rsid w:val="00F84266"/>
    <w:pPr>
      <w:spacing w:before="100" w:beforeAutospacing="1" w:after="100" w:afterAutospacing="1"/>
      <w:jc w:val="right"/>
      <w:textAlignment w:val="top"/>
    </w:pPr>
    <w:rPr>
      <w:rFonts w:cs="Arial"/>
      <w:b/>
      <w:bCs/>
      <w:color w:val="000000"/>
      <w:sz w:val="16"/>
      <w:szCs w:val="16"/>
    </w:rPr>
  </w:style>
  <w:style w:type="paragraph" w:customStyle="1" w:styleId="xl109">
    <w:name w:val="xl109"/>
    <w:basedOn w:val="Normal"/>
    <w:rsid w:val="00F84266"/>
    <w:pPr>
      <w:spacing w:before="100" w:beforeAutospacing="1" w:after="100" w:afterAutospacing="1"/>
      <w:jc w:val="right"/>
      <w:textAlignment w:val="top"/>
    </w:pPr>
    <w:rPr>
      <w:rFonts w:cs="Arial"/>
      <w:color w:val="000000"/>
      <w:sz w:val="16"/>
      <w:szCs w:val="16"/>
    </w:rPr>
  </w:style>
  <w:style w:type="paragraph" w:customStyle="1" w:styleId="xl110">
    <w:name w:val="xl110"/>
    <w:basedOn w:val="Normal"/>
    <w:rsid w:val="00F84266"/>
    <w:pPr>
      <w:pBdr>
        <w:bottom w:val="single" w:sz="4" w:space="0" w:color="auto"/>
      </w:pBdr>
      <w:spacing w:before="100" w:beforeAutospacing="1" w:after="100" w:afterAutospacing="1"/>
      <w:jc w:val="center"/>
    </w:pPr>
    <w:rPr>
      <w:rFonts w:cs="Arial"/>
      <w:color w:val="000000"/>
      <w:sz w:val="16"/>
      <w:szCs w:val="16"/>
    </w:rPr>
  </w:style>
  <w:style w:type="paragraph" w:customStyle="1" w:styleId="xl111">
    <w:name w:val="xl111"/>
    <w:basedOn w:val="Normal"/>
    <w:rsid w:val="00F84266"/>
    <w:pPr>
      <w:pBdr>
        <w:bottom w:val="single" w:sz="4" w:space="0" w:color="auto"/>
      </w:pBdr>
      <w:spacing w:before="100" w:beforeAutospacing="1" w:after="100" w:afterAutospacing="1"/>
      <w:jc w:val="center"/>
    </w:pPr>
    <w:rPr>
      <w:rFonts w:cs="Arial"/>
      <w:color w:val="000000"/>
      <w:sz w:val="16"/>
      <w:szCs w:val="16"/>
    </w:rPr>
  </w:style>
  <w:style w:type="paragraph" w:customStyle="1" w:styleId="xl112">
    <w:name w:val="xl112"/>
    <w:basedOn w:val="Normal"/>
    <w:rsid w:val="00F84266"/>
    <w:pPr>
      <w:pBdr>
        <w:bottom w:val="single" w:sz="4" w:space="0" w:color="auto"/>
      </w:pBdr>
      <w:spacing w:before="100" w:beforeAutospacing="1" w:after="100" w:afterAutospacing="1"/>
      <w:jc w:val="center"/>
    </w:pPr>
    <w:rPr>
      <w:rFonts w:cs="Arial"/>
      <w:color w:val="000000"/>
      <w:sz w:val="16"/>
      <w:szCs w:val="16"/>
    </w:rPr>
  </w:style>
  <w:style w:type="paragraph" w:customStyle="1" w:styleId="xl113">
    <w:name w:val="xl113"/>
    <w:basedOn w:val="Normal"/>
    <w:rsid w:val="00F84266"/>
    <w:pPr>
      <w:pBdr>
        <w:bottom w:val="single" w:sz="4" w:space="0" w:color="auto"/>
      </w:pBdr>
      <w:spacing w:before="100" w:beforeAutospacing="1" w:after="100" w:afterAutospacing="1"/>
      <w:jc w:val="right"/>
    </w:pPr>
    <w:rPr>
      <w:rFonts w:cs="Arial"/>
      <w:color w:val="000000"/>
      <w:sz w:val="16"/>
      <w:szCs w:val="16"/>
    </w:rPr>
  </w:style>
  <w:style w:type="paragraph" w:customStyle="1" w:styleId="xl114">
    <w:name w:val="xl114"/>
    <w:basedOn w:val="Normal"/>
    <w:rsid w:val="00F84266"/>
    <w:pPr>
      <w:pBdr>
        <w:bottom w:val="single" w:sz="4" w:space="0" w:color="auto"/>
      </w:pBdr>
      <w:spacing w:before="100" w:beforeAutospacing="1" w:after="100" w:afterAutospacing="1"/>
      <w:jc w:val="center"/>
    </w:pPr>
    <w:rPr>
      <w:rFonts w:cs="Arial"/>
      <w:b/>
      <w:bCs/>
      <w:color w:val="000000"/>
      <w:sz w:val="16"/>
      <w:szCs w:val="16"/>
    </w:rPr>
  </w:style>
  <w:style w:type="paragraph" w:customStyle="1" w:styleId="xl115">
    <w:name w:val="xl115"/>
    <w:basedOn w:val="Normal"/>
    <w:rsid w:val="00F84266"/>
    <w:pPr>
      <w:spacing w:before="100" w:beforeAutospacing="1" w:after="100" w:afterAutospacing="1"/>
      <w:jc w:val="center"/>
    </w:pPr>
    <w:rPr>
      <w:rFonts w:cs="Arial"/>
      <w:color w:val="000000"/>
      <w:sz w:val="16"/>
      <w:szCs w:val="16"/>
    </w:rPr>
  </w:style>
  <w:style w:type="paragraph" w:customStyle="1" w:styleId="xl116">
    <w:name w:val="xl116"/>
    <w:basedOn w:val="Normal"/>
    <w:rsid w:val="00F84266"/>
    <w:pPr>
      <w:spacing w:before="100" w:beforeAutospacing="1" w:after="100" w:afterAutospacing="1"/>
      <w:jc w:val="center"/>
    </w:pPr>
    <w:rPr>
      <w:rFonts w:cs="Arial"/>
      <w:b/>
      <w:bCs/>
      <w:color w:val="000000"/>
      <w:sz w:val="16"/>
      <w:szCs w:val="16"/>
    </w:rPr>
  </w:style>
  <w:style w:type="paragraph" w:customStyle="1" w:styleId="xl117">
    <w:name w:val="xl117"/>
    <w:basedOn w:val="Normal"/>
    <w:rsid w:val="00F84266"/>
    <w:pPr>
      <w:spacing w:before="100" w:beforeAutospacing="1" w:after="100" w:afterAutospacing="1"/>
    </w:pPr>
    <w:rPr>
      <w:rFonts w:cs="Arial"/>
      <w:b/>
      <w:bCs/>
      <w:color w:val="000000"/>
      <w:sz w:val="16"/>
      <w:szCs w:val="16"/>
    </w:rPr>
  </w:style>
  <w:style w:type="paragraph" w:customStyle="1" w:styleId="xl118">
    <w:name w:val="xl118"/>
    <w:basedOn w:val="Normal"/>
    <w:rsid w:val="00F84266"/>
    <w:pPr>
      <w:spacing w:before="100" w:beforeAutospacing="1" w:after="100" w:afterAutospacing="1"/>
    </w:pPr>
    <w:rPr>
      <w:rFonts w:cs="Arial"/>
      <w:color w:val="000000"/>
      <w:sz w:val="16"/>
      <w:szCs w:val="16"/>
    </w:rPr>
  </w:style>
  <w:style w:type="paragraph" w:customStyle="1" w:styleId="xl119">
    <w:name w:val="xl119"/>
    <w:basedOn w:val="Normal"/>
    <w:rsid w:val="00F84266"/>
    <w:pPr>
      <w:pBdr>
        <w:top w:val="single" w:sz="4" w:space="0" w:color="auto"/>
      </w:pBdr>
      <w:spacing w:before="100" w:beforeAutospacing="1" w:after="100" w:afterAutospacing="1"/>
    </w:pPr>
    <w:rPr>
      <w:rFonts w:cs="Arial"/>
      <w:b/>
      <w:bCs/>
      <w:color w:val="000000"/>
      <w:sz w:val="16"/>
      <w:szCs w:val="16"/>
    </w:rPr>
  </w:style>
  <w:style w:type="paragraph" w:customStyle="1" w:styleId="xl120">
    <w:name w:val="xl120"/>
    <w:basedOn w:val="Normal"/>
    <w:rsid w:val="00F84266"/>
    <w:pPr>
      <w:pBdr>
        <w:top w:val="single" w:sz="4" w:space="0" w:color="auto"/>
      </w:pBdr>
      <w:spacing w:before="100" w:beforeAutospacing="1" w:after="100" w:afterAutospacing="1"/>
      <w:jc w:val="center"/>
    </w:pPr>
    <w:rPr>
      <w:rFonts w:cs="Arial"/>
      <w:b/>
      <w:bCs/>
      <w:color w:val="000000"/>
      <w:sz w:val="16"/>
      <w:szCs w:val="16"/>
    </w:rPr>
  </w:style>
  <w:style w:type="paragraph" w:customStyle="1" w:styleId="xl121">
    <w:name w:val="xl121"/>
    <w:basedOn w:val="Normal"/>
    <w:rsid w:val="00F84266"/>
    <w:pPr>
      <w:pBdr>
        <w:top w:val="single" w:sz="4" w:space="0" w:color="auto"/>
      </w:pBdr>
      <w:spacing w:before="100" w:beforeAutospacing="1" w:after="100" w:afterAutospacing="1"/>
      <w:jc w:val="center"/>
    </w:pPr>
    <w:rPr>
      <w:rFonts w:cs="Arial"/>
      <w:color w:val="000000"/>
      <w:sz w:val="16"/>
      <w:szCs w:val="16"/>
    </w:rPr>
  </w:style>
  <w:style w:type="paragraph" w:customStyle="1" w:styleId="xl122">
    <w:name w:val="xl122"/>
    <w:basedOn w:val="Normal"/>
    <w:rsid w:val="00F84266"/>
    <w:pPr>
      <w:pBdr>
        <w:top w:val="single" w:sz="4" w:space="0" w:color="auto"/>
      </w:pBdr>
      <w:spacing w:before="100" w:beforeAutospacing="1" w:after="100" w:afterAutospacing="1"/>
    </w:pPr>
    <w:rPr>
      <w:rFonts w:cs="Arial"/>
      <w:b/>
      <w:bCs/>
      <w:color w:val="000000"/>
      <w:sz w:val="16"/>
      <w:szCs w:val="16"/>
    </w:rPr>
  </w:style>
  <w:style w:type="paragraph" w:customStyle="1" w:styleId="xl123">
    <w:name w:val="xl123"/>
    <w:basedOn w:val="Normal"/>
    <w:rsid w:val="00F84266"/>
    <w:pPr>
      <w:pBdr>
        <w:top w:val="single" w:sz="4" w:space="0" w:color="auto"/>
        <w:bottom w:val="single" w:sz="8" w:space="0" w:color="auto"/>
      </w:pBdr>
      <w:spacing w:before="100" w:beforeAutospacing="1" w:after="100" w:afterAutospacing="1"/>
      <w:jc w:val="center"/>
    </w:pPr>
    <w:rPr>
      <w:rFonts w:cs="Arial"/>
      <w:color w:val="000000"/>
      <w:sz w:val="16"/>
      <w:szCs w:val="16"/>
    </w:rPr>
  </w:style>
  <w:style w:type="paragraph" w:customStyle="1" w:styleId="xl124">
    <w:name w:val="xl124"/>
    <w:basedOn w:val="Normal"/>
    <w:rsid w:val="00F84266"/>
    <w:pPr>
      <w:pBdr>
        <w:top w:val="single" w:sz="4" w:space="0" w:color="auto"/>
        <w:bottom w:val="single" w:sz="8" w:space="0" w:color="auto"/>
      </w:pBdr>
      <w:spacing w:before="100" w:beforeAutospacing="1" w:after="100" w:afterAutospacing="1"/>
    </w:pPr>
    <w:rPr>
      <w:rFonts w:cs="Arial"/>
      <w:b/>
      <w:bCs/>
      <w:color w:val="000000"/>
      <w:sz w:val="16"/>
      <w:szCs w:val="16"/>
    </w:rPr>
  </w:style>
  <w:style w:type="paragraph" w:customStyle="1" w:styleId="xl125">
    <w:name w:val="xl125"/>
    <w:basedOn w:val="Normal"/>
    <w:rsid w:val="00F84266"/>
    <w:pPr>
      <w:pBdr>
        <w:bottom w:val="single" w:sz="4" w:space="0" w:color="auto"/>
      </w:pBdr>
      <w:spacing w:before="100" w:beforeAutospacing="1" w:after="100" w:afterAutospacing="1"/>
    </w:pPr>
    <w:rPr>
      <w:rFonts w:cs="Arial"/>
      <w:b/>
      <w:bCs/>
      <w:color w:val="000000"/>
      <w:szCs w:val="18"/>
    </w:rPr>
  </w:style>
  <w:style w:type="paragraph" w:customStyle="1" w:styleId="xl126">
    <w:name w:val="xl126"/>
    <w:basedOn w:val="Normal"/>
    <w:rsid w:val="00F84266"/>
    <w:pPr>
      <w:pBdr>
        <w:bottom w:val="single" w:sz="4" w:space="0" w:color="auto"/>
      </w:pBdr>
      <w:spacing w:before="100" w:beforeAutospacing="1" w:after="100" w:afterAutospacing="1"/>
      <w:jc w:val="center"/>
    </w:pPr>
    <w:rPr>
      <w:rFonts w:cs="Arial"/>
      <w:color w:val="000000"/>
      <w:szCs w:val="18"/>
    </w:rPr>
  </w:style>
  <w:style w:type="paragraph" w:customStyle="1" w:styleId="xl127">
    <w:name w:val="xl127"/>
    <w:basedOn w:val="Normal"/>
    <w:rsid w:val="00F84266"/>
    <w:pPr>
      <w:spacing w:before="100" w:beforeAutospacing="1" w:after="100" w:afterAutospacing="1"/>
      <w:jc w:val="center"/>
    </w:pPr>
    <w:rPr>
      <w:rFonts w:cs="Arial"/>
      <w:color w:val="000000"/>
      <w:sz w:val="16"/>
      <w:szCs w:val="16"/>
    </w:rPr>
  </w:style>
  <w:style w:type="paragraph" w:customStyle="1" w:styleId="xl128">
    <w:name w:val="xl128"/>
    <w:basedOn w:val="Normal"/>
    <w:rsid w:val="00F84266"/>
    <w:pPr>
      <w:spacing w:before="100" w:beforeAutospacing="1" w:after="100" w:afterAutospacing="1"/>
      <w:jc w:val="center"/>
    </w:pPr>
    <w:rPr>
      <w:rFonts w:cs="Arial"/>
      <w:color w:val="000000"/>
      <w:sz w:val="16"/>
      <w:szCs w:val="16"/>
    </w:rPr>
  </w:style>
  <w:style w:type="paragraph" w:customStyle="1" w:styleId="xl129">
    <w:name w:val="xl129"/>
    <w:basedOn w:val="Normal"/>
    <w:rsid w:val="00F84266"/>
    <w:pPr>
      <w:spacing w:before="100" w:beforeAutospacing="1" w:after="100" w:afterAutospacing="1"/>
      <w:jc w:val="right"/>
    </w:pPr>
    <w:rPr>
      <w:rFonts w:cs="Arial"/>
      <w:color w:val="000000"/>
      <w:sz w:val="16"/>
      <w:szCs w:val="16"/>
    </w:rPr>
  </w:style>
  <w:style w:type="paragraph" w:customStyle="1" w:styleId="xl130">
    <w:name w:val="xl130"/>
    <w:basedOn w:val="Normal"/>
    <w:rsid w:val="00F84266"/>
    <w:pPr>
      <w:spacing w:before="100" w:beforeAutospacing="1" w:after="100" w:afterAutospacing="1"/>
      <w:jc w:val="right"/>
      <w:textAlignment w:val="top"/>
    </w:pPr>
    <w:rPr>
      <w:rFonts w:cs="Arial"/>
      <w:color w:val="000000"/>
      <w:sz w:val="16"/>
      <w:szCs w:val="16"/>
    </w:rPr>
  </w:style>
  <w:style w:type="paragraph" w:customStyle="1" w:styleId="xl131">
    <w:name w:val="xl131"/>
    <w:basedOn w:val="Normal"/>
    <w:rsid w:val="00F84266"/>
    <w:pPr>
      <w:pBdr>
        <w:bottom w:val="single" w:sz="4" w:space="0" w:color="auto"/>
      </w:pBdr>
      <w:spacing w:before="100" w:beforeAutospacing="1" w:after="100" w:afterAutospacing="1"/>
      <w:jc w:val="right"/>
    </w:pPr>
    <w:rPr>
      <w:rFonts w:cs="Arial"/>
      <w:color w:val="000000"/>
      <w:sz w:val="16"/>
      <w:szCs w:val="16"/>
    </w:rPr>
  </w:style>
  <w:style w:type="paragraph" w:customStyle="1" w:styleId="xl132">
    <w:name w:val="xl132"/>
    <w:basedOn w:val="Normal"/>
    <w:rsid w:val="00F84266"/>
    <w:pPr>
      <w:pBdr>
        <w:bottom w:val="single" w:sz="4" w:space="0" w:color="auto"/>
      </w:pBdr>
      <w:spacing w:before="100" w:beforeAutospacing="1" w:after="100" w:afterAutospacing="1"/>
      <w:jc w:val="right"/>
      <w:textAlignment w:val="top"/>
    </w:pPr>
    <w:rPr>
      <w:rFonts w:cs="Arial"/>
      <w:color w:val="000000"/>
      <w:sz w:val="16"/>
      <w:szCs w:val="16"/>
    </w:rPr>
  </w:style>
  <w:style w:type="paragraph" w:customStyle="1" w:styleId="xl133">
    <w:name w:val="xl133"/>
    <w:basedOn w:val="Normal"/>
    <w:rsid w:val="00F84266"/>
    <w:pPr>
      <w:spacing w:before="100" w:beforeAutospacing="1" w:after="100" w:afterAutospacing="1"/>
    </w:pPr>
    <w:rPr>
      <w:rFonts w:cs="Arial"/>
      <w:color w:val="000000"/>
      <w:sz w:val="16"/>
      <w:szCs w:val="16"/>
    </w:rPr>
  </w:style>
  <w:style w:type="paragraph" w:customStyle="1" w:styleId="xl134">
    <w:name w:val="xl134"/>
    <w:basedOn w:val="Normal"/>
    <w:rsid w:val="00F84266"/>
    <w:pPr>
      <w:spacing w:before="100" w:beforeAutospacing="1" w:after="100" w:afterAutospacing="1"/>
      <w:jc w:val="center"/>
    </w:pPr>
    <w:rPr>
      <w:rFonts w:cs="Arial"/>
      <w:color w:val="000000"/>
      <w:sz w:val="16"/>
      <w:szCs w:val="16"/>
    </w:rPr>
  </w:style>
  <w:style w:type="paragraph" w:customStyle="1" w:styleId="xl135">
    <w:name w:val="xl135"/>
    <w:basedOn w:val="Normal"/>
    <w:rsid w:val="00F84266"/>
    <w:pPr>
      <w:pBdr>
        <w:bottom w:val="single" w:sz="4" w:space="0" w:color="auto"/>
      </w:pBdr>
      <w:spacing w:before="100" w:beforeAutospacing="1" w:after="100" w:afterAutospacing="1"/>
    </w:pPr>
    <w:rPr>
      <w:rFonts w:cs="Arial"/>
      <w:b/>
      <w:bCs/>
      <w:color w:val="000000"/>
      <w:sz w:val="16"/>
      <w:szCs w:val="16"/>
    </w:rPr>
  </w:style>
  <w:style w:type="paragraph" w:customStyle="1" w:styleId="xl136">
    <w:name w:val="xl136"/>
    <w:basedOn w:val="Normal"/>
    <w:rsid w:val="00F84266"/>
    <w:pPr>
      <w:spacing w:before="100" w:beforeAutospacing="1" w:after="100" w:afterAutospacing="1"/>
      <w:jc w:val="right"/>
    </w:pPr>
    <w:rPr>
      <w:rFonts w:cs="Arial"/>
      <w:color w:val="000000"/>
      <w:sz w:val="16"/>
      <w:szCs w:val="16"/>
    </w:rPr>
  </w:style>
  <w:style w:type="paragraph" w:customStyle="1" w:styleId="xl137">
    <w:name w:val="xl137"/>
    <w:basedOn w:val="Normal"/>
    <w:rsid w:val="00F84266"/>
    <w:pPr>
      <w:pBdr>
        <w:bottom w:val="single" w:sz="4" w:space="0" w:color="auto"/>
      </w:pBdr>
      <w:spacing w:before="100" w:beforeAutospacing="1" w:after="100" w:afterAutospacing="1"/>
      <w:jc w:val="right"/>
    </w:pPr>
    <w:rPr>
      <w:rFonts w:cs="Arial"/>
      <w:color w:val="000000"/>
      <w:sz w:val="16"/>
      <w:szCs w:val="16"/>
    </w:rPr>
  </w:style>
  <w:style w:type="paragraph" w:customStyle="1" w:styleId="xl138">
    <w:name w:val="xl138"/>
    <w:basedOn w:val="Normal"/>
    <w:rsid w:val="00F84266"/>
    <w:pPr>
      <w:spacing w:before="100" w:beforeAutospacing="1" w:after="100" w:afterAutospacing="1"/>
      <w:jc w:val="center"/>
    </w:pPr>
    <w:rPr>
      <w:rFonts w:cs="Arial"/>
      <w:color w:val="000000"/>
      <w:szCs w:val="18"/>
    </w:rPr>
  </w:style>
  <w:style w:type="paragraph" w:customStyle="1" w:styleId="xl139">
    <w:name w:val="xl139"/>
    <w:basedOn w:val="Normal"/>
    <w:rsid w:val="00F84266"/>
    <w:pPr>
      <w:spacing w:before="100" w:beforeAutospacing="1" w:after="100" w:afterAutospacing="1"/>
    </w:pPr>
    <w:rPr>
      <w:rFonts w:cs="Arial"/>
      <w:b/>
      <w:bCs/>
      <w:color w:val="000000"/>
      <w:sz w:val="16"/>
      <w:szCs w:val="16"/>
    </w:rPr>
  </w:style>
  <w:style w:type="paragraph" w:customStyle="1" w:styleId="xl140">
    <w:name w:val="xl140"/>
    <w:basedOn w:val="Normal"/>
    <w:rsid w:val="00F84266"/>
    <w:pPr>
      <w:spacing w:before="100" w:beforeAutospacing="1" w:after="100" w:afterAutospacing="1"/>
    </w:pPr>
    <w:rPr>
      <w:rFonts w:cs="Arial"/>
      <w:color w:val="000000"/>
      <w:sz w:val="16"/>
      <w:szCs w:val="16"/>
    </w:rPr>
  </w:style>
  <w:style w:type="paragraph" w:customStyle="1" w:styleId="xl141">
    <w:name w:val="xl141"/>
    <w:basedOn w:val="Normal"/>
    <w:rsid w:val="00F84266"/>
    <w:pPr>
      <w:spacing w:before="100" w:beforeAutospacing="1" w:after="100" w:afterAutospacing="1"/>
      <w:textAlignment w:val="top"/>
    </w:pPr>
    <w:rPr>
      <w:rFonts w:cs="Arial"/>
      <w:color w:val="000000"/>
      <w:sz w:val="16"/>
      <w:szCs w:val="16"/>
    </w:rPr>
  </w:style>
  <w:style w:type="paragraph" w:customStyle="1" w:styleId="xl142">
    <w:name w:val="xl142"/>
    <w:basedOn w:val="Normal"/>
    <w:rsid w:val="00F84266"/>
    <w:pPr>
      <w:pBdr>
        <w:bottom w:val="single" w:sz="4" w:space="0" w:color="auto"/>
      </w:pBdr>
      <w:spacing w:before="100" w:beforeAutospacing="1" w:after="100" w:afterAutospacing="1"/>
    </w:pPr>
    <w:rPr>
      <w:rFonts w:cs="Arial"/>
      <w:b/>
      <w:bCs/>
      <w:color w:val="000000"/>
      <w:szCs w:val="18"/>
    </w:rPr>
  </w:style>
  <w:style w:type="paragraph" w:customStyle="1" w:styleId="xl143">
    <w:name w:val="xl143"/>
    <w:basedOn w:val="Normal"/>
    <w:rsid w:val="00F84266"/>
    <w:pPr>
      <w:pBdr>
        <w:bottom w:val="single" w:sz="4" w:space="0" w:color="auto"/>
      </w:pBdr>
      <w:spacing w:before="100" w:beforeAutospacing="1" w:after="100" w:afterAutospacing="1"/>
    </w:pPr>
    <w:rPr>
      <w:rFonts w:cs="Arial"/>
      <w:b/>
      <w:bCs/>
      <w:color w:val="000000"/>
      <w:szCs w:val="18"/>
    </w:rPr>
  </w:style>
  <w:style w:type="paragraph" w:customStyle="1" w:styleId="xl144">
    <w:name w:val="xl144"/>
    <w:basedOn w:val="Normal"/>
    <w:rsid w:val="00F84266"/>
    <w:pPr>
      <w:spacing w:before="100" w:beforeAutospacing="1" w:after="100" w:afterAutospacing="1"/>
      <w:textAlignment w:val="top"/>
    </w:pPr>
    <w:rPr>
      <w:rFonts w:cs="Arial"/>
      <w:b/>
      <w:bCs/>
      <w:color w:val="000000"/>
      <w:szCs w:val="18"/>
    </w:rPr>
  </w:style>
  <w:style w:type="paragraph" w:customStyle="1" w:styleId="xl145">
    <w:name w:val="xl145"/>
    <w:basedOn w:val="Normal"/>
    <w:rsid w:val="00F84266"/>
    <w:pPr>
      <w:spacing w:before="100" w:beforeAutospacing="1" w:after="100" w:afterAutospacing="1"/>
      <w:textAlignment w:val="top"/>
    </w:pPr>
    <w:rPr>
      <w:rFonts w:cs="Arial"/>
      <w:color w:val="000000"/>
      <w:szCs w:val="18"/>
    </w:rPr>
  </w:style>
  <w:style w:type="paragraph" w:customStyle="1" w:styleId="xl146">
    <w:name w:val="xl146"/>
    <w:basedOn w:val="Normal"/>
    <w:rsid w:val="00F84266"/>
    <w:pPr>
      <w:spacing w:before="100" w:beforeAutospacing="1" w:after="100" w:afterAutospacing="1"/>
      <w:textAlignment w:val="top"/>
    </w:pPr>
    <w:rPr>
      <w:rFonts w:cs="Arial"/>
      <w:color w:val="000000"/>
      <w:szCs w:val="18"/>
    </w:rPr>
  </w:style>
  <w:style w:type="paragraph" w:customStyle="1" w:styleId="xl147">
    <w:name w:val="xl147"/>
    <w:basedOn w:val="Normal"/>
    <w:rsid w:val="00F84266"/>
    <w:pPr>
      <w:spacing w:before="100" w:beforeAutospacing="1" w:after="100" w:afterAutospacing="1"/>
      <w:textAlignment w:val="top"/>
    </w:pPr>
    <w:rPr>
      <w:rFonts w:cs="Arial"/>
      <w:b/>
      <w:bCs/>
      <w:color w:val="000000"/>
      <w:szCs w:val="18"/>
    </w:rPr>
  </w:style>
  <w:style w:type="paragraph" w:customStyle="1" w:styleId="xl148">
    <w:name w:val="xl148"/>
    <w:basedOn w:val="Normal"/>
    <w:rsid w:val="00F84266"/>
    <w:pPr>
      <w:spacing w:before="100" w:beforeAutospacing="1" w:after="100" w:afterAutospacing="1"/>
      <w:textAlignment w:val="top"/>
    </w:pPr>
    <w:rPr>
      <w:rFonts w:cs="Arial"/>
      <w:color w:val="000000"/>
      <w:szCs w:val="18"/>
    </w:rPr>
  </w:style>
  <w:style w:type="paragraph" w:customStyle="1" w:styleId="xl149">
    <w:name w:val="xl149"/>
    <w:basedOn w:val="Normal"/>
    <w:rsid w:val="00F84266"/>
    <w:pPr>
      <w:spacing w:before="100" w:beforeAutospacing="1" w:after="100" w:afterAutospacing="1"/>
      <w:textAlignment w:val="top"/>
    </w:pPr>
    <w:rPr>
      <w:rFonts w:cs="Arial"/>
      <w:color w:val="000000"/>
      <w:sz w:val="16"/>
      <w:szCs w:val="16"/>
    </w:rPr>
  </w:style>
  <w:style w:type="paragraph" w:customStyle="1" w:styleId="xl150">
    <w:name w:val="xl150"/>
    <w:basedOn w:val="Normal"/>
    <w:rsid w:val="00F84266"/>
    <w:pPr>
      <w:spacing w:before="100" w:beforeAutospacing="1" w:after="100" w:afterAutospacing="1"/>
      <w:jc w:val="right"/>
      <w:textAlignment w:val="top"/>
    </w:pPr>
    <w:rPr>
      <w:rFonts w:cs="Arial"/>
      <w:color w:val="000000"/>
      <w:sz w:val="16"/>
      <w:szCs w:val="16"/>
    </w:rPr>
  </w:style>
  <w:style w:type="paragraph" w:customStyle="1" w:styleId="xl151">
    <w:name w:val="xl151"/>
    <w:basedOn w:val="Normal"/>
    <w:rsid w:val="00F84266"/>
    <w:pPr>
      <w:spacing w:before="100" w:beforeAutospacing="1" w:after="100" w:afterAutospacing="1"/>
      <w:textAlignment w:val="top"/>
    </w:pPr>
    <w:rPr>
      <w:rFonts w:cs="Arial"/>
      <w:color w:val="000000"/>
      <w:sz w:val="16"/>
      <w:szCs w:val="16"/>
    </w:rPr>
  </w:style>
  <w:style w:type="paragraph" w:customStyle="1" w:styleId="xl152">
    <w:name w:val="xl152"/>
    <w:basedOn w:val="Normal"/>
    <w:rsid w:val="00F84266"/>
    <w:pPr>
      <w:spacing w:before="100" w:beforeAutospacing="1" w:after="100" w:afterAutospacing="1"/>
      <w:textAlignment w:val="top"/>
    </w:pPr>
    <w:rPr>
      <w:rFonts w:cs="Arial"/>
      <w:b/>
      <w:bCs/>
      <w:color w:val="000000"/>
      <w:sz w:val="16"/>
      <w:szCs w:val="16"/>
    </w:rPr>
  </w:style>
  <w:style w:type="paragraph" w:customStyle="1" w:styleId="xl153">
    <w:name w:val="xl153"/>
    <w:basedOn w:val="Normal"/>
    <w:rsid w:val="00F84266"/>
    <w:pPr>
      <w:spacing w:before="100" w:beforeAutospacing="1" w:after="100" w:afterAutospacing="1"/>
      <w:textAlignment w:val="top"/>
    </w:pPr>
    <w:rPr>
      <w:rFonts w:cs="Arial"/>
      <w:b/>
      <w:bCs/>
      <w:color w:val="000000"/>
      <w:sz w:val="16"/>
      <w:szCs w:val="16"/>
    </w:rPr>
  </w:style>
  <w:style w:type="paragraph" w:customStyle="1" w:styleId="xl154">
    <w:name w:val="xl154"/>
    <w:basedOn w:val="Normal"/>
    <w:rsid w:val="00F84266"/>
    <w:pPr>
      <w:pBdr>
        <w:bottom w:val="single" w:sz="4" w:space="0" w:color="auto"/>
      </w:pBdr>
      <w:spacing w:before="100" w:beforeAutospacing="1" w:after="100" w:afterAutospacing="1"/>
      <w:textAlignment w:val="top"/>
    </w:pPr>
    <w:rPr>
      <w:rFonts w:cs="Arial"/>
      <w:color w:val="000000"/>
      <w:sz w:val="16"/>
      <w:szCs w:val="16"/>
    </w:rPr>
  </w:style>
  <w:style w:type="paragraph" w:customStyle="1" w:styleId="xl155">
    <w:name w:val="xl155"/>
    <w:basedOn w:val="Normal"/>
    <w:rsid w:val="00F84266"/>
    <w:pPr>
      <w:pBdr>
        <w:bottom w:val="single" w:sz="4" w:space="0" w:color="auto"/>
      </w:pBdr>
      <w:spacing w:before="100" w:beforeAutospacing="1" w:after="100" w:afterAutospacing="1"/>
      <w:textAlignment w:val="top"/>
    </w:pPr>
    <w:rPr>
      <w:rFonts w:cs="Arial"/>
      <w:color w:val="000000"/>
      <w:sz w:val="16"/>
      <w:szCs w:val="16"/>
    </w:rPr>
  </w:style>
  <w:style w:type="paragraph" w:customStyle="1" w:styleId="xl156">
    <w:name w:val="xl156"/>
    <w:basedOn w:val="Normal"/>
    <w:rsid w:val="00F84266"/>
    <w:pPr>
      <w:pBdr>
        <w:bottom w:val="single" w:sz="4" w:space="0" w:color="auto"/>
      </w:pBdr>
      <w:spacing w:before="100" w:beforeAutospacing="1" w:after="100" w:afterAutospacing="1"/>
      <w:textAlignment w:val="top"/>
    </w:pPr>
    <w:rPr>
      <w:rFonts w:cs="Arial"/>
      <w:color w:val="000000"/>
      <w:sz w:val="16"/>
      <w:szCs w:val="16"/>
    </w:rPr>
  </w:style>
  <w:style w:type="paragraph" w:customStyle="1" w:styleId="xl157">
    <w:name w:val="xl157"/>
    <w:basedOn w:val="Normal"/>
    <w:rsid w:val="00F84266"/>
    <w:pPr>
      <w:pBdr>
        <w:bottom w:val="single" w:sz="4" w:space="0" w:color="auto"/>
      </w:pBdr>
      <w:spacing w:before="100" w:beforeAutospacing="1" w:after="100" w:afterAutospacing="1"/>
      <w:textAlignment w:val="top"/>
    </w:pPr>
    <w:rPr>
      <w:rFonts w:cs="Arial"/>
      <w:b/>
      <w:bCs/>
      <w:color w:val="000000"/>
      <w:sz w:val="16"/>
      <w:szCs w:val="16"/>
    </w:rPr>
  </w:style>
  <w:style w:type="paragraph" w:customStyle="1" w:styleId="xl158">
    <w:name w:val="xl158"/>
    <w:basedOn w:val="Normal"/>
    <w:rsid w:val="00F84266"/>
    <w:pPr>
      <w:pBdr>
        <w:top w:val="single" w:sz="4" w:space="0" w:color="auto"/>
        <w:bottom w:val="single" w:sz="4" w:space="0" w:color="auto"/>
      </w:pBdr>
      <w:spacing w:before="100" w:beforeAutospacing="1" w:after="100" w:afterAutospacing="1"/>
      <w:textAlignment w:val="top"/>
    </w:pPr>
    <w:rPr>
      <w:rFonts w:cs="Arial"/>
      <w:b/>
      <w:bCs/>
      <w:color w:val="000000"/>
      <w:sz w:val="16"/>
      <w:szCs w:val="16"/>
    </w:rPr>
  </w:style>
  <w:style w:type="paragraph" w:customStyle="1" w:styleId="xl159">
    <w:name w:val="xl159"/>
    <w:basedOn w:val="Normal"/>
    <w:rsid w:val="00F84266"/>
    <w:pPr>
      <w:pBdr>
        <w:top w:val="single" w:sz="4" w:space="0" w:color="auto"/>
        <w:bottom w:val="single" w:sz="4" w:space="0" w:color="auto"/>
      </w:pBdr>
      <w:spacing w:before="100" w:beforeAutospacing="1" w:after="100" w:afterAutospacing="1"/>
      <w:textAlignment w:val="top"/>
    </w:pPr>
    <w:rPr>
      <w:rFonts w:cs="Arial"/>
      <w:b/>
      <w:bCs/>
      <w:color w:val="000000"/>
      <w:sz w:val="16"/>
      <w:szCs w:val="16"/>
    </w:rPr>
  </w:style>
  <w:style w:type="paragraph" w:customStyle="1" w:styleId="xl160">
    <w:name w:val="xl160"/>
    <w:basedOn w:val="Normal"/>
    <w:rsid w:val="00F84266"/>
    <w:pPr>
      <w:pBdr>
        <w:top w:val="single" w:sz="4" w:space="0" w:color="auto"/>
        <w:bottom w:val="single" w:sz="4" w:space="0" w:color="auto"/>
      </w:pBdr>
      <w:spacing w:before="100" w:beforeAutospacing="1" w:after="100" w:afterAutospacing="1"/>
      <w:textAlignment w:val="top"/>
    </w:pPr>
    <w:rPr>
      <w:rFonts w:cs="Arial"/>
      <w:b/>
      <w:bCs/>
      <w:color w:val="000000"/>
      <w:sz w:val="16"/>
      <w:szCs w:val="16"/>
    </w:rPr>
  </w:style>
  <w:style w:type="paragraph" w:customStyle="1" w:styleId="xl161">
    <w:name w:val="xl161"/>
    <w:basedOn w:val="Normal"/>
    <w:rsid w:val="00F84266"/>
    <w:pPr>
      <w:pBdr>
        <w:top w:val="single" w:sz="4" w:space="0" w:color="auto"/>
        <w:bottom w:val="single" w:sz="4" w:space="0" w:color="auto"/>
      </w:pBdr>
      <w:spacing w:before="100" w:beforeAutospacing="1" w:after="100" w:afterAutospacing="1"/>
      <w:jc w:val="right"/>
      <w:textAlignment w:val="top"/>
    </w:pPr>
    <w:rPr>
      <w:rFonts w:cs="Arial"/>
      <w:b/>
      <w:bCs/>
      <w:color w:val="000000"/>
      <w:sz w:val="16"/>
      <w:szCs w:val="16"/>
    </w:rPr>
  </w:style>
  <w:style w:type="paragraph" w:customStyle="1" w:styleId="xl162">
    <w:name w:val="xl162"/>
    <w:basedOn w:val="Normal"/>
    <w:rsid w:val="00F84266"/>
    <w:pPr>
      <w:spacing w:before="100" w:beforeAutospacing="1" w:after="100" w:afterAutospacing="1"/>
      <w:textAlignment w:val="top"/>
    </w:pPr>
    <w:rPr>
      <w:rFonts w:cs="Arial"/>
      <w:b/>
      <w:bCs/>
      <w:color w:val="000000"/>
      <w:sz w:val="16"/>
      <w:szCs w:val="16"/>
    </w:rPr>
  </w:style>
  <w:style w:type="paragraph" w:customStyle="1" w:styleId="xl163">
    <w:name w:val="xl163"/>
    <w:basedOn w:val="Normal"/>
    <w:rsid w:val="00F84266"/>
    <w:pPr>
      <w:spacing w:before="100" w:beforeAutospacing="1" w:after="100" w:afterAutospacing="1"/>
      <w:textAlignment w:val="top"/>
    </w:pPr>
    <w:rPr>
      <w:rFonts w:cs="Arial"/>
      <w:color w:val="000000"/>
      <w:sz w:val="16"/>
      <w:szCs w:val="16"/>
    </w:rPr>
  </w:style>
  <w:style w:type="paragraph" w:customStyle="1" w:styleId="xl164">
    <w:name w:val="xl164"/>
    <w:basedOn w:val="Normal"/>
    <w:rsid w:val="00F84266"/>
    <w:pPr>
      <w:pBdr>
        <w:bottom w:val="single" w:sz="4" w:space="0" w:color="auto"/>
      </w:pBdr>
      <w:spacing w:before="100" w:beforeAutospacing="1" w:after="100" w:afterAutospacing="1"/>
      <w:textAlignment w:val="top"/>
    </w:pPr>
    <w:rPr>
      <w:rFonts w:cs="Arial"/>
      <w:color w:val="000000"/>
      <w:sz w:val="16"/>
      <w:szCs w:val="16"/>
    </w:rPr>
  </w:style>
  <w:style w:type="paragraph" w:customStyle="1" w:styleId="xl165">
    <w:name w:val="xl165"/>
    <w:basedOn w:val="Normal"/>
    <w:rsid w:val="00F84266"/>
    <w:pPr>
      <w:pBdr>
        <w:bottom w:val="single" w:sz="4" w:space="0" w:color="auto"/>
      </w:pBdr>
      <w:spacing w:before="100" w:beforeAutospacing="1" w:after="100" w:afterAutospacing="1"/>
      <w:textAlignment w:val="top"/>
    </w:pPr>
    <w:rPr>
      <w:rFonts w:cs="Arial"/>
      <w:b/>
      <w:bCs/>
      <w:color w:val="000000"/>
      <w:sz w:val="16"/>
      <w:szCs w:val="16"/>
    </w:rPr>
  </w:style>
  <w:style w:type="paragraph" w:customStyle="1" w:styleId="xl166">
    <w:name w:val="xl166"/>
    <w:basedOn w:val="Normal"/>
    <w:rsid w:val="00F84266"/>
    <w:pPr>
      <w:spacing w:before="100" w:beforeAutospacing="1" w:after="100" w:afterAutospacing="1"/>
      <w:textAlignment w:val="top"/>
    </w:pPr>
    <w:rPr>
      <w:rFonts w:cs="Arial"/>
      <w:color w:val="000000"/>
      <w:sz w:val="16"/>
      <w:szCs w:val="16"/>
    </w:rPr>
  </w:style>
  <w:style w:type="paragraph" w:customStyle="1" w:styleId="xl167">
    <w:name w:val="xl167"/>
    <w:basedOn w:val="Normal"/>
    <w:rsid w:val="00F84266"/>
    <w:pPr>
      <w:pBdr>
        <w:top w:val="single" w:sz="4" w:space="0" w:color="auto"/>
        <w:bottom w:val="single" w:sz="8" w:space="0" w:color="auto"/>
      </w:pBdr>
      <w:spacing w:before="100" w:beforeAutospacing="1" w:after="100" w:afterAutospacing="1"/>
      <w:textAlignment w:val="top"/>
    </w:pPr>
    <w:rPr>
      <w:rFonts w:cs="Arial"/>
      <w:b/>
      <w:bCs/>
      <w:color w:val="000000"/>
      <w:szCs w:val="18"/>
    </w:rPr>
  </w:style>
  <w:style w:type="paragraph" w:customStyle="1" w:styleId="xl168">
    <w:name w:val="xl168"/>
    <w:basedOn w:val="Normal"/>
    <w:rsid w:val="00F84266"/>
    <w:pPr>
      <w:pBdr>
        <w:top w:val="single" w:sz="4" w:space="0" w:color="auto"/>
        <w:bottom w:val="single" w:sz="8" w:space="0" w:color="auto"/>
      </w:pBdr>
      <w:spacing w:before="100" w:beforeAutospacing="1" w:after="100" w:afterAutospacing="1"/>
      <w:textAlignment w:val="top"/>
    </w:pPr>
    <w:rPr>
      <w:rFonts w:cs="Arial"/>
      <w:b/>
      <w:bCs/>
      <w:color w:val="000000"/>
      <w:sz w:val="16"/>
      <w:szCs w:val="16"/>
    </w:rPr>
  </w:style>
  <w:style w:type="paragraph" w:customStyle="1" w:styleId="xl169">
    <w:name w:val="xl169"/>
    <w:basedOn w:val="Normal"/>
    <w:rsid w:val="00F84266"/>
    <w:pPr>
      <w:pBdr>
        <w:top w:val="single" w:sz="4" w:space="0" w:color="auto"/>
        <w:bottom w:val="single" w:sz="8" w:space="0" w:color="auto"/>
      </w:pBdr>
      <w:spacing w:before="100" w:beforeAutospacing="1" w:after="100" w:afterAutospacing="1"/>
      <w:textAlignment w:val="top"/>
    </w:pPr>
    <w:rPr>
      <w:rFonts w:cs="Arial"/>
      <w:b/>
      <w:bCs/>
      <w:color w:val="000000"/>
      <w:sz w:val="16"/>
      <w:szCs w:val="16"/>
    </w:rPr>
  </w:style>
  <w:style w:type="paragraph" w:customStyle="1" w:styleId="xl170">
    <w:name w:val="xl170"/>
    <w:basedOn w:val="Normal"/>
    <w:rsid w:val="00F84266"/>
    <w:pPr>
      <w:pBdr>
        <w:top w:val="single" w:sz="4" w:space="0" w:color="auto"/>
        <w:bottom w:val="single" w:sz="8" w:space="0" w:color="auto"/>
      </w:pBdr>
      <w:spacing w:before="100" w:beforeAutospacing="1" w:after="100" w:afterAutospacing="1"/>
      <w:textAlignment w:val="top"/>
    </w:pPr>
    <w:rPr>
      <w:rFonts w:cs="Arial"/>
      <w:color w:val="000000"/>
      <w:sz w:val="16"/>
      <w:szCs w:val="16"/>
    </w:rPr>
  </w:style>
  <w:style w:type="paragraph" w:customStyle="1" w:styleId="xl171">
    <w:name w:val="xl171"/>
    <w:basedOn w:val="Normal"/>
    <w:rsid w:val="00F84266"/>
    <w:pPr>
      <w:pBdr>
        <w:top w:val="single" w:sz="4" w:space="0" w:color="auto"/>
        <w:bottom w:val="single" w:sz="8" w:space="0" w:color="auto"/>
      </w:pBdr>
      <w:spacing w:before="100" w:beforeAutospacing="1" w:after="100" w:afterAutospacing="1"/>
      <w:textAlignment w:val="top"/>
    </w:pPr>
    <w:rPr>
      <w:rFonts w:cs="Arial"/>
      <w:color w:val="000000"/>
      <w:sz w:val="16"/>
      <w:szCs w:val="16"/>
    </w:rPr>
  </w:style>
  <w:style w:type="paragraph" w:customStyle="1" w:styleId="xl172">
    <w:name w:val="xl172"/>
    <w:basedOn w:val="Normal"/>
    <w:rsid w:val="00F84266"/>
    <w:pPr>
      <w:pBdr>
        <w:top w:val="single" w:sz="4" w:space="0" w:color="auto"/>
        <w:bottom w:val="single" w:sz="8" w:space="0" w:color="auto"/>
      </w:pBdr>
      <w:spacing w:before="100" w:beforeAutospacing="1" w:after="100" w:afterAutospacing="1"/>
      <w:textAlignment w:val="top"/>
    </w:pPr>
    <w:rPr>
      <w:rFonts w:cs="Arial"/>
      <w:b/>
      <w:bCs/>
      <w:color w:val="000000"/>
      <w:sz w:val="16"/>
      <w:szCs w:val="16"/>
    </w:rPr>
  </w:style>
  <w:style w:type="paragraph" w:customStyle="1" w:styleId="xl173">
    <w:name w:val="xl173"/>
    <w:basedOn w:val="Normal"/>
    <w:rsid w:val="00F84266"/>
    <w:pPr>
      <w:pBdr>
        <w:top w:val="single" w:sz="4" w:space="0" w:color="auto"/>
        <w:bottom w:val="single" w:sz="8" w:space="0" w:color="auto"/>
      </w:pBdr>
      <w:spacing w:before="100" w:beforeAutospacing="1" w:after="100" w:afterAutospacing="1"/>
      <w:jc w:val="right"/>
      <w:textAlignment w:val="top"/>
    </w:pPr>
    <w:rPr>
      <w:rFonts w:cs="Arial"/>
      <w:b/>
      <w:bCs/>
      <w:color w:val="000000"/>
      <w:sz w:val="16"/>
      <w:szCs w:val="16"/>
    </w:rPr>
  </w:style>
  <w:style w:type="paragraph" w:customStyle="1" w:styleId="xl174">
    <w:name w:val="xl174"/>
    <w:basedOn w:val="Normal"/>
    <w:rsid w:val="00F84266"/>
    <w:pPr>
      <w:spacing w:before="100" w:beforeAutospacing="1" w:after="100" w:afterAutospacing="1"/>
      <w:textAlignment w:val="top"/>
    </w:pPr>
    <w:rPr>
      <w:rFonts w:cs="Arial"/>
      <w:color w:val="000000"/>
      <w:szCs w:val="18"/>
    </w:rPr>
  </w:style>
  <w:style w:type="paragraph" w:customStyle="1" w:styleId="xl175">
    <w:name w:val="xl175"/>
    <w:basedOn w:val="Normal"/>
    <w:rsid w:val="00F84266"/>
    <w:pPr>
      <w:spacing w:before="100" w:beforeAutospacing="1" w:after="100" w:afterAutospacing="1"/>
      <w:textAlignment w:val="top"/>
    </w:pPr>
    <w:rPr>
      <w:rFonts w:cs="Arial"/>
      <w:b/>
      <w:bCs/>
      <w:color w:val="000000"/>
      <w:szCs w:val="18"/>
    </w:rPr>
  </w:style>
  <w:style w:type="paragraph" w:customStyle="1" w:styleId="xl176">
    <w:name w:val="xl176"/>
    <w:basedOn w:val="Normal"/>
    <w:rsid w:val="00F84266"/>
    <w:pPr>
      <w:spacing w:before="100" w:beforeAutospacing="1" w:after="100" w:afterAutospacing="1"/>
      <w:textAlignment w:val="top"/>
    </w:pPr>
    <w:rPr>
      <w:rFonts w:cs="Arial"/>
      <w:color w:val="000000"/>
      <w:szCs w:val="18"/>
    </w:rPr>
  </w:style>
  <w:style w:type="paragraph" w:customStyle="1" w:styleId="xl177">
    <w:name w:val="xl177"/>
    <w:basedOn w:val="Normal"/>
    <w:rsid w:val="00F84266"/>
    <w:pPr>
      <w:pBdr>
        <w:bottom w:val="single" w:sz="4" w:space="0" w:color="auto"/>
      </w:pBdr>
      <w:spacing w:before="100" w:beforeAutospacing="1" w:after="100" w:afterAutospacing="1"/>
    </w:pPr>
    <w:rPr>
      <w:rFonts w:ascii="Times New Roman" w:hAnsi="Times New Roman" w:cs="Arial"/>
      <w:color w:val="000000"/>
      <w:sz w:val="24"/>
      <w:szCs w:val="22"/>
    </w:rPr>
  </w:style>
  <w:style w:type="paragraph" w:customStyle="1" w:styleId="xl178">
    <w:name w:val="xl178"/>
    <w:basedOn w:val="Normal"/>
    <w:rsid w:val="00F84266"/>
    <w:pPr>
      <w:spacing w:before="100" w:beforeAutospacing="1" w:after="100" w:afterAutospacing="1"/>
    </w:pPr>
    <w:rPr>
      <w:rFonts w:ascii="Times New Roman" w:hAnsi="Times New Roman" w:cs="Arial"/>
      <w:color w:val="000000"/>
      <w:szCs w:val="18"/>
    </w:rPr>
  </w:style>
  <w:style w:type="paragraph" w:customStyle="1" w:styleId="xl179">
    <w:name w:val="xl179"/>
    <w:basedOn w:val="Normal"/>
    <w:rsid w:val="00F84266"/>
    <w:pPr>
      <w:spacing w:before="100" w:beforeAutospacing="1" w:after="100" w:afterAutospacing="1"/>
    </w:pPr>
    <w:rPr>
      <w:rFonts w:cs="Arial"/>
      <w:color w:val="000000"/>
      <w:szCs w:val="18"/>
    </w:rPr>
  </w:style>
  <w:style w:type="paragraph" w:customStyle="1" w:styleId="xl180">
    <w:name w:val="xl180"/>
    <w:basedOn w:val="Normal"/>
    <w:rsid w:val="00F84266"/>
    <w:pPr>
      <w:pBdr>
        <w:top w:val="single" w:sz="4" w:space="0" w:color="auto"/>
        <w:bottom w:val="single" w:sz="8" w:space="0" w:color="auto"/>
      </w:pBdr>
      <w:spacing w:before="100" w:beforeAutospacing="1" w:after="100" w:afterAutospacing="1"/>
    </w:pPr>
    <w:rPr>
      <w:rFonts w:ascii="Times New Roman" w:hAnsi="Times New Roman" w:cs="Arial"/>
      <w:color w:val="000000"/>
      <w:szCs w:val="18"/>
    </w:rPr>
  </w:style>
  <w:style w:type="paragraph" w:customStyle="1" w:styleId="xl181">
    <w:name w:val="xl181"/>
    <w:basedOn w:val="Normal"/>
    <w:rsid w:val="00F84266"/>
    <w:pPr>
      <w:pBdr>
        <w:top w:val="single" w:sz="4" w:space="0" w:color="auto"/>
        <w:bottom w:val="single" w:sz="8" w:space="0" w:color="auto"/>
      </w:pBdr>
      <w:spacing w:before="100" w:beforeAutospacing="1" w:after="100" w:afterAutospacing="1"/>
    </w:pPr>
    <w:rPr>
      <w:rFonts w:cs="Arial"/>
      <w:color w:val="000000"/>
      <w:szCs w:val="18"/>
    </w:rPr>
  </w:style>
  <w:style w:type="paragraph" w:customStyle="1" w:styleId="xl182">
    <w:name w:val="xl182"/>
    <w:basedOn w:val="Normal"/>
    <w:rsid w:val="00F84266"/>
    <w:pPr>
      <w:spacing w:before="100" w:beforeAutospacing="1" w:after="100" w:afterAutospacing="1"/>
    </w:pPr>
    <w:rPr>
      <w:rFonts w:cs="Arial"/>
      <w:b/>
      <w:bCs/>
      <w:color w:val="000000"/>
      <w:sz w:val="24"/>
      <w:szCs w:val="22"/>
    </w:rPr>
  </w:style>
  <w:style w:type="paragraph" w:customStyle="1" w:styleId="xl183">
    <w:name w:val="xl183"/>
    <w:basedOn w:val="Normal"/>
    <w:rsid w:val="00F84266"/>
    <w:pPr>
      <w:pBdr>
        <w:bottom w:val="single" w:sz="4" w:space="0" w:color="auto"/>
      </w:pBdr>
      <w:spacing w:before="100" w:beforeAutospacing="1" w:after="100" w:afterAutospacing="1"/>
      <w:jc w:val="center"/>
    </w:pPr>
    <w:rPr>
      <w:rFonts w:cs="Arial"/>
      <w:color w:val="000000"/>
      <w:sz w:val="16"/>
      <w:szCs w:val="16"/>
    </w:rPr>
  </w:style>
  <w:style w:type="paragraph" w:customStyle="1" w:styleId="xl184">
    <w:name w:val="xl184"/>
    <w:basedOn w:val="Normal"/>
    <w:rsid w:val="00F84266"/>
    <w:pPr>
      <w:pBdr>
        <w:top w:val="single" w:sz="4" w:space="0" w:color="auto"/>
      </w:pBdr>
      <w:spacing w:before="100" w:beforeAutospacing="1" w:after="100" w:afterAutospacing="1"/>
      <w:textAlignment w:val="top"/>
    </w:pPr>
    <w:rPr>
      <w:rFonts w:cs="Arial"/>
      <w:color w:val="000000"/>
      <w:sz w:val="16"/>
      <w:szCs w:val="16"/>
    </w:rPr>
  </w:style>
  <w:style w:type="paragraph" w:customStyle="1" w:styleId="xl185">
    <w:name w:val="xl185"/>
    <w:basedOn w:val="Normal"/>
    <w:rsid w:val="00F84266"/>
    <w:pPr>
      <w:pBdr>
        <w:top w:val="single" w:sz="4" w:space="0" w:color="auto"/>
      </w:pBdr>
      <w:spacing w:before="100" w:beforeAutospacing="1" w:after="100" w:afterAutospacing="1"/>
      <w:textAlignment w:val="top"/>
    </w:pPr>
    <w:rPr>
      <w:rFonts w:cs="Arial"/>
      <w:color w:val="000000"/>
      <w:sz w:val="16"/>
      <w:szCs w:val="16"/>
    </w:rPr>
  </w:style>
  <w:style w:type="paragraph" w:customStyle="1" w:styleId="xl186">
    <w:name w:val="xl186"/>
    <w:basedOn w:val="Normal"/>
    <w:rsid w:val="00F84266"/>
    <w:pPr>
      <w:pBdr>
        <w:top w:val="single" w:sz="4" w:space="0" w:color="auto"/>
      </w:pBdr>
      <w:spacing w:before="100" w:beforeAutospacing="1" w:after="100" w:afterAutospacing="1"/>
      <w:textAlignment w:val="top"/>
    </w:pPr>
    <w:rPr>
      <w:rFonts w:cs="Arial"/>
      <w:color w:val="000000"/>
      <w:sz w:val="16"/>
      <w:szCs w:val="16"/>
    </w:rPr>
  </w:style>
  <w:style w:type="paragraph" w:customStyle="1" w:styleId="xl187">
    <w:name w:val="xl187"/>
    <w:basedOn w:val="Normal"/>
    <w:rsid w:val="00F84266"/>
    <w:pPr>
      <w:pBdr>
        <w:top w:val="single" w:sz="4" w:space="0" w:color="auto"/>
      </w:pBdr>
      <w:spacing w:before="100" w:beforeAutospacing="1" w:after="100" w:afterAutospacing="1"/>
      <w:textAlignment w:val="top"/>
    </w:pPr>
    <w:rPr>
      <w:rFonts w:cs="Arial"/>
      <w:b/>
      <w:bCs/>
      <w:color w:val="000000"/>
      <w:sz w:val="16"/>
      <w:szCs w:val="16"/>
    </w:rPr>
  </w:style>
  <w:style w:type="paragraph" w:customStyle="1" w:styleId="xl188">
    <w:name w:val="xl188"/>
    <w:basedOn w:val="Normal"/>
    <w:rsid w:val="00F84266"/>
    <w:pPr>
      <w:pBdr>
        <w:top w:val="single" w:sz="4" w:space="0" w:color="auto"/>
      </w:pBdr>
      <w:spacing w:before="100" w:beforeAutospacing="1" w:after="100" w:afterAutospacing="1"/>
      <w:textAlignment w:val="top"/>
    </w:pPr>
    <w:rPr>
      <w:rFonts w:cs="Arial"/>
      <w:b/>
      <w:bCs/>
      <w:color w:val="000000"/>
      <w:sz w:val="16"/>
      <w:szCs w:val="16"/>
    </w:rPr>
  </w:style>
  <w:style w:type="paragraph" w:customStyle="1" w:styleId="xl189">
    <w:name w:val="xl189"/>
    <w:basedOn w:val="Normal"/>
    <w:rsid w:val="00F84266"/>
    <w:pPr>
      <w:pBdr>
        <w:top w:val="single" w:sz="4" w:space="0" w:color="auto"/>
      </w:pBdr>
      <w:spacing w:before="100" w:beforeAutospacing="1" w:after="100" w:afterAutospacing="1"/>
      <w:textAlignment w:val="top"/>
    </w:pPr>
    <w:rPr>
      <w:rFonts w:cs="Arial"/>
      <w:b/>
      <w:bCs/>
      <w:color w:val="000000"/>
      <w:sz w:val="16"/>
      <w:szCs w:val="16"/>
    </w:rPr>
  </w:style>
  <w:style w:type="paragraph" w:customStyle="1" w:styleId="xl190">
    <w:name w:val="xl190"/>
    <w:basedOn w:val="Normal"/>
    <w:rsid w:val="00F84266"/>
    <w:pPr>
      <w:pBdr>
        <w:top w:val="single" w:sz="4" w:space="0" w:color="auto"/>
        <w:bottom w:val="single" w:sz="4" w:space="0" w:color="auto"/>
      </w:pBdr>
      <w:spacing w:before="100" w:beforeAutospacing="1" w:after="100" w:afterAutospacing="1"/>
    </w:pPr>
    <w:rPr>
      <w:rFonts w:cs="Arial"/>
      <w:b/>
      <w:bCs/>
      <w:color w:val="000000"/>
      <w:sz w:val="16"/>
      <w:szCs w:val="16"/>
    </w:rPr>
  </w:style>
  <w:style w:type="paragraph" w:customStyle="1" w:styleId="xl191">
    <w:name w:val="xl191"/>
    <w:basedOn w:val="Normal"/>
    <w:rsid w:val="00F84266"/>
    <w:pPr>
      <w:spacing w:before="100" w:beforeAutospacing="1" w:after="100" w:afterAutospacing="1"/>
      <w:jc w:val="center"/>
    </w:pPr>
    <w:rPr>
      <w:rFonts w:cs="Arial"/>
      <w:b/>
      <w:bCs/>
      <w:color w:val="000000"/>
      <w:sz w:val="16"/>
      <w:szCs w:val="16"/>
    </w:rPr>
  </w:style>
  <w:style w:type="paragraph" w:customStyle="1" w:styleId="xl192">
    <w:name w:val="xl192"/>
    <w:basedOn w:val="Normal"/>
    <w:rsid w:val="00F84266"/>
    <w:pPr>
      <w:spacing w:before="100" w:beforeAutospacing="1" w:after="100" w:afterAutospacing="1"/>
      <w:jc w:val="right"/>
    </w:pPr>
    <w:rPr>
      <w:rFonts w:cs="Arial"/>
      <w:b/>
      <w:bCs/>
      <w:color w:val="000000"/>
      <w:sz w:val="16"/>
      <w:szCs w:val="16"/>
    </w:rPr>
  </w:style>
  <w:style w:type="paragraph" w:customStyle="1" w:styleId="xl193">
    <w:name w:val="xl193"/>
    <w:basedOn w:val="Normal"/>
    <w:rsid w:val="00F84266"/>
    <w:pPr>
      <w:pBdr>
        <w:top w:val="single" w:sz="4" w:space="0" w:color="auto"/>
        <w:bottom w:val="single" w:sz="4" w:space="0" w:color="auto"/>
      </w:pBdr>
      <w:spacing w:before="100" w:beforeAutospacing="1" w:after="100" w:afterAutospacing="1"/>
    </w:pPr>
    <w:rPr>
      <w:rFonts w:cs="Arial"/>
      <w:b/>
      <w:bCs/>
      <w:color w:val="000000"/>
      <w:sz w:val="16"/>
      <w:szCs w:val="16"/>
    </w:rPr>
  </w:style>
  <w:style w:type="paragraph" w:customStyle="1" w:styleId="xl194">
    <w:name w:val="xl194"/>
    <w:basedOn w:val="Normal"/>
    <w:rsid w:val="00F84266"/>
    <w:pPr>
      <w:pBdr>
        <w:top w:val="single" w:sz="4" w:space="0" w:color="auto"/>
        <w:bottom w:val="single" w:sz="4" w:space="0" w:color="auto"/>
      </w:pBdr>
      <w:spacing w:before="100" w:beforeAutospacing="1" w:after="100" w:afterAutospacing="1"/>
    </w:pPr>
    <w:rPr>
      <w:rFonts w:cs="Arial"/>
      <w:b/>
      <w:bCs/>
      <w:color w:val="000000"/>
      <w:sz w:val="16"/>
      <w:szCs w:val="16"/>
    </w:rPr>
  </w:style>
  <w:style w:type="paragraph" w:customStyle="1" w:styleId="xl195">
    <w:name w:val="xl195"/>
    <w:basedOn w:val="Normal"/>
    <w:rsid w:val="00F84266"/>
    <w:pPr>
      <w:pBdr>
        <w:top w:val="single" w:sz="4" w:space="0" w:color="auto"/>
        <w:bottom w:val="single" w:sz="4" w:space="0" w:color="auto"/>
      </w:pBdr>
      <w:spacing w:before="100" w:beforeAutospacing="1" w:after="100" w:afterAutospacing="1"/>
      <w:jc w:val="center"/>
    </w:pPr>
    <w:rPr>
      <w:rFonts w:cs="Arial"/>
      <w:b/>
      <w:bCs/>
      <w:color w:val="000000"/>
      <w:sz w:val="16"/>
      <w:szCs w:val="16"/>
    </w:rPr>
  </w:style>
  <w:style w:type="paragraph" w:customStyle="1" w:styleId="xl196">
    <w:name w:val="xl196"/>
    <w:basedOn w:val="Normal"/>
    <w:rsid w:val="00F84266"/>
    <w:pPr>
      <w:pBdr>
        <w:top w:val="single" w:sz="4" w:space="0" w:color="auto"/>
        <w:bottom w:val="single" w:sz="4" w:space="0" w:color="auto"/>
      </w:pBdr>
      <w:spacing w:before="100" w:beforeAutospacing="1" w:after="100" w:afterAutospacing="1"/>
      <w:jc w:val="right"/>
    </w:pPr>
    <w:rPr>
      <w:rFonts w:cs="Arial"/>
      <w:b/>
      <w:bCs/>
      <w:color w:val="000000"/>
      <w:sz w:val="16"/>
      <w:szCs w:val="16"/>
    </w:rPr>
  </w:style>
  <w:style w:type="paragraph" w:customStyle="1" w:styleId="xl197">
    <w:name w:val="xl197"/>
    <w:basedOn w:val="Normal"/>
    <w:rsid w:val="00F84266"/>
    <w:pPr>
      <w:spacing w:before="100" w:beforeAutospacing="1" w:after="100" w:afterAutospacing="1"/>
    </w:pPr>
    <w:rPr>
      <w:rFonts w:cs="Arial"/>
      <w:b/>
      <w:bCs/>
      <w:color w:val="800000"/>
      <w:sz w:val="24"/>
      <w:szCs w:val="22"/>
    </w:rPr>
  </w:style>
  <w:style w:type="paragraph" w:customStyle="1" w:styleId="xl198">
    <w:name w:val="xl198"/>
    <w:basedOn w:val="Normal"/>
    <w:rsid w:val="00F84266"/>
    <w:pPr>
      <w:spacing w:before="100" w:beforeAutospacing="1" w:after="100" w:afterAutospacing="1"/>
    </w:pPr>
    <w:rPr>
      <w:rFonts w:cs="Arial"/>
      <w:b/>
      <w:bCs/>
      <w:color w:val="800000"/>
      <w:sz w:val="24"/>
      <w:szCs w:val="22"/>
    </w:rPr>
  </w:style>
  <w:style w:type="paragraph" w:customStyle="1" w:styleId="xl199">
    <w:name w:val="xl199"/>
    <w:basedOn w:val="Normal"/>
    <w:rsid w:val="00F84266"/>
    <w:pPr>
      <w:spacing w:before="100" w:beforeAutospacing="1" w:after="100" w:afterAutospacing="1"/>
    </w:pPr>
    <w:rPr>
      <w:rFonts w:cs="Arial"/>
      <w:b/>
      <w:bCs/>
      <w:color w:val="0000FF"/>
      <w:sz w:val="24"/>
      <w:szCs w:val="22"/>
    </w:rPr>
  </w:style>
  <w:style w:type="paragraph" w:customStyle="1" w:styleId="xl200">
    <w:name w:val="xl200"/>
    <w:basedOn w:val="Normal"/>
    <w:rsid w:val="00F84266"/>
    <w:pPr>
      <w:spacing w:before="100" w:beforeAutospacing="1" w:after="100" w:afterAutospacing="1"/>
    </w:pPr>
    <w:rPr>
      <w:rFonts w:cs="Arial"/>
      <w:b/>
      <w:bCs/>
      <w:color w:val="0000FF"/>
      <w:sz w:val="24"/>
      <w:szCs w:val="22"/>
    </w:rPr>
  </w:style>
  <w:style w:type="paragraph" w:customStyle="1" w:styleId="xl201">
    <w:name w:val="xl201"/>
    <w:basedOn w:val="Normal"/>
    <w:rsid w:val="00F84266"/>
    <w:pPr>
      <w:pBdr>
        <w:bottom w:val="single" w:sz="4" w:space="0" w:color="auto"/>
      </w:pBdr>
      <w:spacing w:before="100" w:beforeAutospacing="1" w:after="100" w:afterAutospacing="1"/>
      <w:jc w:val="right"/>
      <w:textAlignment w:val="top"/>
    </w:pPr>
    <w:rPr>
      <w:rFonts w:cs="Arial"/>
      <w:color w:val="000000"/>
      <w:sz w:val="16"/>
      <w:szCs w:val="16"/>
    </w:rPr>
  </w:style>
  <w:style w:type="paragraph" w:customStyle="1" w:styleId="xl202">
    <w:name w:val="xl202"/>
    <w:basedOn w:val="Normal"/>
    <w:rsid w:val="00F84266"/>
    <w:pPr>
      <w:pBdr>
        <w:top w:val="single" w:sz="4" w:space="0" w:color="auto"/>
      </w:pBdr>
      <w:spacing w:before="100" w:beforeAutospacing="1" w:after="100" w:afterAutospacing="1"/>
      <w:jc w:val="right"/>
      <w:textAlignment w:val="top"/>
    </w:pPr>
    <w:rPr>
      <w:rFonts w:cs="Arial"/>
      <w:color w:val="000000"/>
      <w:sz w:val="16"/>
      <w:szCs w:val="16"/>
    </w:rPr>
  </w:style>
  <w:style w:type="paragraph" w:customStyle="1" w:styleId="xl203">
    <w:name w:val="xl203"/>
    <w:basedOn w:val="Normal"/>
    <w:rsid w:val="00F84266"/>
    <w:pPr>
      <w:pBdr>
        <w:top w:val="single" w:sz="4" w:space="0" w:color="auto"/>
      </w:pBdr>
      <w:spacing w:before="100" w:beforeAutospacing="1" w:after="100" w:afterAutospacing="1"/>
      <w:jc w:val="right"/>
      <w:textAlignment w:val="top"/>
    </w:pPr>
    <w:rPr>
      <w:rFonts w:cs="Arial"/>
      <w:b/>
      <w:bCs/>
      <w:color w:val="000000"/>
      <w:sz w:val="16"/>
      <w:szCs w:val="16"/>
    </w:rPr>
  </w:style>
  <w:style w:type="paragraph" w:customStyle="1" w:styleId="xl204">
    <w:name w:val="xl204"/>
    <w:basedOn w:val="Normal"/>
    <w:rsid w:val="00F84266"/>
    <w:pPr>
      <w:spacing w:before="100" w:beforeAutospacing="1" w:after="100" w:afterAutospacing="1"/>
      <w:textAlignment w:val="top"/>
    </w:pPr>
    <w:rPr>
      <w:rFonts w:cs="Arial"/>
      <w:b/>
      <w:bCs/>
      <w:color w:val="0000FF"/>
      <w:sz w:val="24"/>
      <w:szCs w:val="22"/>
    </w:rPr>
  </w:style>
  <w:style w:type="paragraph" w:customStyle="1" w:styleId="xl205">
    <w:name w:val="xl205"/>
    <w:basedOn w:val="Normal"/>
    <w:rsid w:val="00F84266"/>
    <w:pPr>
      <w:spacing w:before="100" w:beforeAutospacing="1" w:after="100" w:afterAutospacing="1"/>
      <w:textAlignment w:val="top"/>
    </w:pPr>
    <w:rPr>
      <w:rFonts w:cs="Arial"/>
      <w:color w:val="0000FF"/>
      <w:sz w:val="24"/>
      <w:szCs w:val="22"/>
    </w:rPr>
  </w:style>
  <w:style w:type="paragraph" w:customStyle="1" w:styleId="xl206">
    <w:name w:val="xl206"/>
    <w:basedOn w:val="Normal"/>
    <w:rsid w:val="00F84266"/>
    <w:pPr>
      <w:spacing w:before="100" w:beforeAutospacing="1" w:after="100" w:afterAutospacing="1"/>
      <w:textAlignment w:val="top"/>
    </w:pPr>
    <w:rPr>
      <w:rFonts w:cs="Arial"/>
      <w:color w:val="000000"/>
      <w:sz w:val="16"/>
      <w:szCs w:val="16"/>
    </w:rPr>
  </w:style>
  <w:style w:type="paragraph" w:customStyle="1" w:styleId="xl207">
    <w:name w:val="xl207"/>
    <w:basedOn w:val="Normal"/>
    <w:rsid w:val="00F84266"/>
    <w:pPr>
      <w:pBdr>
        <w:bottom w:val="single" w:sz="4" w:space="0" w:color="auto"/>
      </w:pBdr>
      <w:spacing w:before="100" w:beforeAutospacing="1" w:after="100" w:afterAutospacing="1"/>
      <w:jc w:val="center"/>
    </w:pPr>
    <w:rPr>
      <w:rFonts w:cs="Arial"/>
      <w:b/>
      <w:bCs/>
      <w:color w:val="000000"/>
      <w:sz w:val="16"/>
      <w:szCs w:val="16"/>
    </w:rPr>
  </w:style>
  <w:style w:type="paragraph" w:customStyle="1" w:styleId="xl208">
    <w:name w:val="xl208"/>
    <w:basedOn w:val="Normal"/>
    <w:rsid w:val="00F84266"/>
    <w:pPr>
      <w:pBdr>
        <w:bottom w:val="single" w:sz="4" w:space="0" w:color="auto"/>
      </w:pBdr>
      <w:spacing w:before="100" w:beforeAutospacing="1" w:after="100" w:afterAutospacing="1"/>
    </w:pPr>
    <w:rPr>
      <w:rFonts w:cs="Arial"/>
      <w:b/>
      <w:bCs/>
      <w:color w:val="000000"/>
      <w:sz w:val="16"/>
      <w:szCs w:val="16"/>
    </w:rPr>
  </w:style>
  <w:style w:type="paragraph" w:customStyle="1" w:styleId="xl209">
    <w:name w:val="xl209"/>
    <w:basedOn w:val="Normal"/>
    <w:rsid w:val="00F84266"/>
    <w:pPr>
      <w:spacing w:before="100" w:beforeAutospacing="1" w:after="100" w:afterAutospacing="1"/>
      <w:textAlignment w:val="top"/>
    </w:pPr>
    <w:rPr>
      <w:rFonts w:cs="Arial"/>
      <w:color w:val="000000"/>
      <w:szCs w:val="18"/>
    </w:rPr>
  </w:style>
  <w:style w:type="paragraph" w:customStyle="1" w:styleId="xl210">
    <w:name w:val="xl210"/>
    <w:basedOn w:val="Normal"/>
    <w:rsid w:val="00F84266"/>
    <w:pPr>
      <w:spacing w:before="100" w:beforeAutospacing="1" w:after="100" w:afterAutospacing="1"/>
      <w:textAlignment w:val="top"/>
    </w:pPr>
    <w:rPr>
      <w:rFonts w:ascii="Times New Roman" w:hAnsi="Times New Roman" w:cs="Arial"/>
      <w:color w:val="000000"/>
      <w:sz w:val="24"/>
      <w:szCs w:val="22"/>
    </w:rPr>
  </w:style>
  <w:style w:type="paragraph" w:customStyle="1" w:styleId="xl211">
    <w:name w:val="xl211"/>
    <w:basedOn w:val="Normal"/>
    <w:rsid w:val="00F84266"/>
    <w:pPr>
      <w:spacing w:before="100" w:beforeAutospacing="1" w:after="100" w:afterAutospacing="1"/>
      <w:textAlignment w:val="top"/>
    </w:pPr>
    <w:rPr>
      <w:rFonts w:cs="Arial"/>
      <w:color w:val="000000"/>
      <w:szCs w:val="18"/>
    </w:rPr>
  </w:style>
  <w:style w:type="paragraph" w:customStyle="1" w:styleId="xl212">
    <w:name w:val="xl212"/>
    <w:basedOn w:val="Normal"/>
    <w:rsid w:val="00F84266"/>
    <w:pPr>
      <w:spacing w:before="100" w:beforeAutospacing="1" w:after="100" w:afterAutospacing="1"/>
      <w:textAlignment w:val="top"/>
    </w:pPr>
    <w:rPr>
      <w:rFonts w:cs="Arial"/>
      <w:color w:val="000000"/>
      <w:sz w:val="16"/>
      <w:szCs w:val="16"/>
    </w:rPr>
  </w:style>
  <w:style w:type="paragraph" w:customStyle="1" w:styleId="xl213">
    <w:name w:val="xl213"/>
    <w:basedOn w:val="Normal"/>
    <w:rsid w:val="00F84266"/>
    <w:pPr>
      <w:spacing w:before="100" w:beforeAutospacing="1" w:after="100" w:afterAutospacing="1"/>
    </w:pPr>
    <w:rPr>
      <w:rFonts w:ascii="Times New Roman" w:hAnsi="Times New Roman" w:cs="Arial"/>
      <w:sz w:val="24"/>
      <w:szCs w:val="22"/>
    </w:rPr>
  </w:style>
  <w:style w:type="paragraph" w:customStyle="1" w:styleId="Glossaryentry">
    <w:name w:val="Glossary entry"/>
    <w:basedOn w:val="Normal"/>
    <w:rsid w:val="00F84266"/>
    <w:pPr>
      <w:spacing w:before="40" w:after="20"/>
    </w:pPr>
    <w:rPr>
      <w:rFonts w:cs="Arial"/>
      <w:b/>
      <w:sz w:val="19"/>
      <w:szCs w:val="19"/>
    </w:rPr>
  </w:style>
  <w:style w:type="paragraph" w:customStyle="1" w:styleId="Glossarytext">
    <w:name w:val="Glossary text"/>
    <w:basedOn w:val="Normal"/>
    <w:rsid w:val="00F84266"/>
    <w:rPr>
      <w:rFonts w:cs="Arial"/>
      <w:spacing w:val="-4"/>
      <w:sz w:val="16"/>
      <w:szCs w:val="17"/>
    </w:rPr>
  </w:style>
  <w:style w:type="paragraph" w:customStyle="1" w:styleId="segbodytext0">
    <w:name w:val="segbodytext"/>
    <w:basedOn w:val="Normal"/>
    <w:rsid w:val="00F84266"/>
    <w:rPr>
      <w:rFonts w:cs="Arial"/>
      <w:szCs w:val="22"/>
    </w:rPr>
  </w:style>
  <w:style w:type="character" w:styleId="Emphasis">
    <w:name w:val="Emphasis"/>
    <w:qFormat/>
    <w:rsid w:val="00F84266"/>
    <w:rPr>
      <w:rFonts w:cs="Times New Roman"/>
      <w:i/>
      <w:iCs/>
    </w:rPr>
  </w:style>
  <w:style w:type="table" w:customStyle="1" w:styleId="TableNormal11">
    <w:name w:val="Table Normal11"/>
    <w:next w:val="TableNormal"/>
    <w:semiHidden/>
    <w:rsid w:val="00F84266"/>
    <w:rPr>
      <w:rFonts w:ascii="Courier" w:eastAsia="Times" w:hAnsi="Courier"/>
    </w:rPr>
    <w:tblPr>
      <w:tblInd w:w="0" w:type="dxa"/>
      <w:tblCellMar>
        <w:top w:w="0" w:type="dxa"/>
        <w:left w:w="108" w:type="dxa"/>
        <w:bottom w:w="0" w:type="dxa"/>
        <w:right w:w="108" w:type="dxa"/>
      </w:tblCellMar>
    </w:tblPr>
  </w:style>
  <w:style w:type="paragraph" w:customStyle="1" w:styleId="BodytextAfterTables">
    <w:name w:val="Bodytext AfterTables"/>
    <w:basedOn w:val="Bodytext0"/>
    <w:link w:val="BodytextAfterTablesChar"/>
    <w:rsid w:val="00F84266"/>
    <w:pPr>
      <w:spacing w:before="200"/>
    </w:pPr>
  </w:style>
  <w:style w:type="paragraph" w:customStyle="1" w:styleId="Tabletext">
    <w:name w:val="Tabletext"/>
    <w:basedOn w:val="Normal"/>
    <w:link w:val="TabletextChar"/>
    <w:qFormat/>
    <w:rsid w:val="005C4F92"/>
    <w:pPr>
      <w:tabs>
        <w:tab w:val="left" w:pos="142"/>
      </w:tabs>
      <w:spacing w:before="20" w:after="20"/>
    </w:pPr>
    <w:rPr>
      <w:sz w:val="18"/>
    </w:rPr>
  </w:style>
  <w:style w:type="character" w:customStyle="1" w:styleId="TabletextChar">
    <w:name w:val="Tabletext Char"/>
    <w:link w:val="Tabletext"/>
    <w:rsid w:val="005C4F92"/>
    <w:rPr>
      <w:rFonts w:ascii="Arial" w:hAnsi="Arial"/>
      <w:spacing w:val="-1"/>
      <w:sz w:val="18"/>
      <w:szCs w:val="24"/>
    </w:rPr>
  </w:style>
  <w:style w:type="character" w:customStyle="1" w:styleId="BodytextAfterTablesChar">
    <w:name w:val="Bodytext AfterTables Char"/>
    <w:basedOn w:val="BodytextChar0"/>
    <w:link w:val="BodytextAfterTables"/>
    <w:rsid w:val="00F84266"/>
    <w:rPr>
      <w:rFonts w:ascii="Arial" w:hAnsi="Arial"/>
      <w:spacing w:val="-1"/>
      <w:sz w:val="18"/>
      <w:szCs w:val="24"/>
      <w:lang w:val="en-GB" w:eastAsia="en-GB" w:bidi="ar-SA"/>
    </w:rPr>
  </w:style>
  <w:style w:type="paragraph" w:customStyle="1" w:styleId="NormalGrey">
    <w:name w:val="Normal Grey"/>
    <w:basedOn w:val="Normal"/>
    <w:rsid w:val="00F84266"/>
    <w:rPr>
      <w:color w:val="808080"/>
    </w:rPr>
  </w:style>
  <w:style w:type="paragraph" w:customStyle="1" w:styleId="Bodytext0">
    <w:name w:val="Bodytext"/>
    <w:basedOn w:val="Normal"/>
    <w:link w:val="BodytextChar0"/>
    <w:uiPriority w:val="99"/>
    <w:rsid w:val="00F84266"/>
  </w:style>
  <w:style w:type="character" w:customStyle="1" w:styleId="BodytextChar0">
    <w:name w:val="Bodytext Char"/>
    <w:link w:val="Bodytext0"/>
    <w:uiPriority w:val="99"/>
    <w:rsid w:val="00F84266"/>
    <w:rPr>
      <w:rFonts w:ascii="Arial" w:hAnsi="Arial"/>
      <w:spacing w:val="-1"/>
      <w:sz w:val="18"/>
      <w:szCs w:val="24"/>
      <w:lang w:val="en-GB" w:eastAsia="en-GB" w:bidi="ar-SA"/>
    </w:rPr>
  </w:style>
  <w:style w:type="paragraph" w:customStyle="1" w:styleId="BodytextIndent0">
    <w:name w:val="BodytextIndent"/>
    <w:basedOn w:val="BodytextAfterTables"/>
    <w:rsid w:val="00F84266"/>
    <w:pPr>
      <w:tabs>
        <w:tab w:val="left" w:pos="170"/>
      </w:tabs>
      <w:ind w:left="199" w:hanging="199"/>
    </w:pPr>
  </w:style>
  <w:style w:type="paragraph" w:customStyle="1" w:styleId="Bullets">
    <w:name w:val="Bullets"/>
    <w:basedOn w:val="Normal"/>
    <w:rsid w:val="00F84266"/>
    <w:pPr>
      <w:numPr>
        <w:numId w:val="1"/>
      </w:numPr>
    </w:pPr>
  </w:style>
  <w:style w:type="paragraph" w:customStyle="1" w:styleId="BulletsCondensed">
    <w:name w:val="Bullets Condensed"/>
    <w:basedOn w:val="Bullets"/>
    <w:rsid w:val="00F84266"/>
    <w:pPr>
      <w:numPr>
        <w:numId w:val="0"/>
      </w:numPr>
      <w:tabs>
        <w:tab w:val="left" w:pos="170"/>
      </w:tabs>
      <w:spacing w:after="60" w:line="190" w:lineRule="exact"/>
    </w:pPr>
    <w:rPr>
      <w:szCs w:val="20"/>
    </w:rPr>
  </w:style>
  <w:style w:type="paragraph" w:customStyle="1" w:styleId="Footnotes">
    <w:name w:val="Footnotes"/>
    <w:basedOn w:val="BodytextAfterTables"/>
    <w:link w:val="FootnotesChar"/>
    <w:uiPriority w:val="99"/>
    <w:rsid w:val="00F84266"/>
    <w:pPr>
      <w:tabs>
        <w:tab w:val="left" w:pos="199"/>
      </w:tabs>
      <w:spacing w:before="100" w:after="100" w:line="180" w:lineRule="exact"/>
      <w:ind w:left="199" w:hanging="199"/>
    </w:pPr>
    <w:rPr>
      <w:sz w:val="15"/>
    </w:rPr>
  </w:style>
  <w:style w:type="character" w:customStyle="1" w:styleId="FootnotesChar">
    <w:name w:val="Footnotes Char"/>
    <w:link w:val="Footnotes"/>
    <w:uiPriority w:val="99"/>
    <w:rsid w:val="00F84266"/>
    <w:rPr>
      <w:rFonts w:ascii="Arial" w:hAnsi="Arial"/>
      <w:spacing w:val="-1"/>
      <w:sz w:val="15"/>
      <w:szCs w:val="24"/>
      <w:lang w:val="en-GB" w:eastAsia="en-GB" w:bidi="ar-SA"/>
    </w:rPr>
  </w:style>
  <w:style w:type="paragraph" w:customStyle="1" w:styleId="FootnotesHeading">
    <w:name w:val="Footnotes Heading"/>
    <w:basedOn w:val="Footnotes"/>
    <w:link w:val="FootnotesHeadingChar"/>
    <w:rsid w:val="00F84266"/>
    <w:pPr>
      <w:spacing w:after="0"/>
    </w:pPr>
    <w:rPr>
      <w:b/>
    </w:rPr>
  </w:style>
  <w:style w:type="character" w:customStyle="1" w:styleId="FootnotesHeadingChar">
    <w:name w:val="Footnotes Heading Char"/>
    <w:link w:val="FootnotesHeading"/>
    <w:rsid w:val="00F84266"/>
    <w:rPr>
      <w:rFonts w:ascii="Arial" w:hAnsi="Arial"/>
      <w:b/>
      <w:spacing w:val="-1"/>
      <w:sz w:val="15"/>
      <w:szCs w:val="24"/>
      <w:lang w:val="en-GB" w:eastAsia="en-GB" w:bidi="ar-SA"/>
    </w:rPr>
  </w:style>
  <w:style w:type="paragraph" w:customStyle="1" w:styleId="FootnotesIndent">
    <w:name w:val="Footnotes Indent"/>
    <w:basedOn w:val="Footnotes"/>
    <w:link w:val="FootnotesIndentChar"/>
    <w:rsid w:val="00F84266"/>
    <w:pPr>
      <w:ind w:left="142" w:hanging="142"/>
    </w:pPr>
    <w:rPr>
      <w:szCs w:val="20"/>
    </w:rPr>
  </w:style>
  <w:style w:type="character" w:customStyle="1" w:styleId="FootnotesIndentChar">
    <w:name w:val="Footnotes Indent Char"/>
    <w:basedOn w:val="FootnotesChar"/>
    <w:link w:val="FootnotesIndent"/>
    <w:rsid w:val="00F84266"/>
    <w:rPr>
      <w:rFonts w:ascii="Arial" w:hAnsi="Arial"/>
      <w:spacing w:val="-1"/>
      <w:sz w:val="15"/>
      <w:szCs w:val="24"/>
      <w:lang w:val="en-GB" w:eastAsia="en-GB" w:bidi="ar-SA"/>
    </w:rPr>
  </w:style>
  <w:style w:type="paragraph" w:customStyle="1" w:styleId="FootnotesIndentNoSpace">
    <w:name w:val="Footnotes Indent NoSpace"/>
    <w:basedOn w:val="FootnotesIndent"/>
    <w:rsid w:val="00F84266"/>
    <w:pPr>
      <w:spacing w:after="0"/>
      <w:ind w:left="0" w:firstLine="0"/>
    </w:pPr>
  </w:style>
  <w:style w:type="paragraph" w:customStyle="1" w:styleId="FootnotesIndentSpaceBefore">
    <w:name w:val="Footnotes IndentSpaceBefore"/>
    <w:basedOn w:val="FootnotesIndent"/>
    <w:link w:val="FootnotesIndentSpaceBeforeChar"/>
    <w:rsid w:val="00F84266"/>
    <w:pPr>
      <w:spacing w:before="95" w:after="0"/>
      <w:ind w:left="0" w:firstLine="0"/>
    </w:pPr>
  </w:style>
  <w:style w:type="character" w:customStyle="1" w:styleId="FootnotesIndentSpaceBeforeChar">
    <w:name w:val="Footnotes IndentSpaceBefore Char"/>
    <w:basedOn w:val="FootnotesIndentChar"/>
    <w:link w:val="FootnotesIndentSpaceBefore"/>
    <w:rsid w:val="00F84266"/>
    <w:rPr>
      <w:rFonts w:ascii="Arial" w:hAnsi="Arial"/>
      <w:spacing w:val="-1"/>
      <w:sz w:val="15"/>
      <w:szCs w:val="24"/>
      <w:lang w:val="en-GB" w:eastAsia="en-GB" w:bidi="ar-SA"/>
    </w:rPr>
  </w:style>
  <w:style w:type="paragraph" w:customStyle="1" w:styleId="FootnotesNoSpace">
    <w:name w:val="Footnotes NoSpace"/>
    <w:basedOn w:val="BodytextAfterTables"/>
    <w:link w:val="FootnotesNoSpaceChar"/>
    <w:rsid w:val="000A5783"/>
    <w:pPr>
      <w:spacing w:before="0" w:after="80" w:line="160" w:lineRule="exact"/>
    </w:pPr>
    <w:rPr>
      <w:i/>
      <w:spacing w:val="0"/>
      <w:sz w:val="16"/>
    </w:rPr>
  </w:style>
  <w:style w:type="paragraph" w:customStyle="1" w:styleId="FootnotesSpaceBefore">
    <w:name w:val="Footnotes SpaceBefore"/>
    <w:basedOn w:val="Footnotes"/>
    <w:link w:val="FootnotesSpaceBeforeChar"/>
    <w:rsid w:val="00F84266"/>
    <w:pPr>
      <w:spacing w:before="95"/>
    </w:pPr>
    <w:rPr>
      <w:szCs w:val="20"/>
    </w:rPr>
  </w:style>
  <w:style w:type="character" w:customStyle="1" w:styleId="FootnotesSpaceBeforeChar">
    <w:name w:val="Footnotes SpaceBefore Char"/>
    <w:basedOn w:val="FootnotesChar"/>
    <w:link w:val="FootnotesSpaceBefore"/>
    <w:rsid w:val="00F84266"/>
    <w:rPr>
      <w:rFonts w:ascii="Arial" w:hAnsi="Arial"/>
      <w:spacing w:val="-1"/>
      <w:sz w:val="15"/>
      <w:szCs w:val="24"/>
      <w:lang w:val="en-GB" w:eastAsia="en-GB" w:bidi="ar-SA"/>
    </w:rPr>
  </w:style>
  <w:style w:type="paragraph" w:customStyle="1" w:styleId="Header2">
    <w:name w:val="Header 2"/>
    <w:rsid w:val="00F84266"/>
    <w:pPr>
      <w:spacing w:line="280" w:lineRule="exact"/>
    </w:pPr>
    <w:rPr>
      <w:rFonts w:ascii="Delta BQ Medium" w:hAnsi="Delta BQ Medium"/>
      <w:color w:val="000000"/>
      <w:sz w:val="26"/>
      <w:szCs w:val="24"/>
    </w:rPr>
  </w:style>
  <w:style w:type="paragraph" w:customStyle="1" w:styleId="HEADER20">
    <w:name w:val="HEADER2"/>
    <w:basedOn w:val="Header"/>
    <w:link w:val="HEADER2Char"/>
    <w:rsid w:val="00F84266"/>
    <w:pPr>
      <w:spacing w:before="400" w:after="400"/>
    </w:pPr>
    <w:rPr>
      <w:rFonts w:ascii="Arial" w:hAnsi="Arial"/>
      <w:b/>
      <w:color w:val="000000"/>
      <w:sz w:val="22"/>
    </w:rPr>
  </w:style>
  <w:style w:type="paragraph" w:customStyle="1" w:styleId="Header2Red">
    <w:name w:val="Header 2 Red"/>
    <w:basedOn w:val="HEADER20"/>
    <w:rsid w:val="00F84266"/>
    <w:rPr>
      <w:color w:val="FF0000"/>
    </w:rPr>
  </w:style>
  <w:style w:type="character" w:customStyle="1" w:styleId="HEADERCONTINUED">
    <w:name w:val="HEADER CONTINUED"/>
    <w:rsid w:val="00F84266"/>
    <w:rPr>
      <w:rFonts w:ascii="Delta BQ Light" w:hAnsi="Delta BQ Light"/>
    </w:rPr>
  </w:style>
  <w:style w:type="character" w:customStyle="1" w:styleId="HeaderContinued0">
    <w:name w:val="Header Continued"/>
    <w:rsid w:val="00F84266"/>
    <w:rPr>
      <w:rFonts w:ascii="Delta BQ Light" w:hAnsi="Delta BQ Light"/>
      <w:sz w:val="26"/>
      <w:szCs w:val="20"/>
    </w:rPr>
  </w:style>
  <w:style w:type="paragraph" w:customStyle="1" w:styleId="Heading50">
    <w:name w:val="Heading  5"/>
    <w:basedOn w:val="Heading3"/>
    <w:rsid w:val="00F84266"/>
    <w:rPr>
      <w:bCs w:val="0"/>
      <w:i/>
      <w:iCs/>
    </w:rPr>
  </w:style>
  <w:style w:type="character" w:customStyle="1" w:styleId="Heading1Char">
    <w:name w:val="Heading 1 Char"/>
    <w:link w:val="Heading1"/>
    <w:rsid w:val="006B4CCF"/>
    <w:rPr>
      <w:rFonts w:ascii="Arial" w:hAnsi="Arial" w:cs="Arial"/>
      <w:b/>
      <w:caps/>
      <w:spacing w:val="-4"/>
      <w:sz w:val="22"/>
      <w:szCs w:val="22"/>
    </w:rPr>
  </w:style>
  <w:style w:type="paragraph" w:customStyle="1" w:styleId="Heading1NoSpace">
    <w:name w:val="Heading 1 NoSpace"/>
    <w:basedOn w:val="Heading1"/>
    <w:link w:val="Heading1NoSpaceChar"/>
    <w:rsid w:val="00F84266"/>
    <w:pPr>
      <w:spacing w:before="0"/>
    </w:pPr>
  </w:style>
  <w:style w:type="character" w:customStyle="1" w:styleId="Heading1NoSpaceChar">
    <w:name w:val="Heading 1 NoSpace Char"/>
    <w:basedOn w:val="Heading1Char"/>
    <w:link w:val="Heading1NoSpace"/>
    <w:rsid w:val="00F84266"/>
    <w:rPr>
      <w:rFonts w:ascii="Arial" w:hAnsi="Arial" w:cs="Arial"/>
      <w:b/>
      <w:bCs w:val="0"/>
      <w:caps/>
      <w:color w:val="000000"/>
      <w:spacing w:val="-1"/>
      <w:kern w:val="32"/>
      <w:sz w:val="18"/>
      <w:szCs w:val="32"/>
      <w:lang w:val="en-GB" w:eastAsia="en-GB" w:bidi="ar-SA"/>
    </w:rPr>
  </w:style>
  <w:style w:type="paragraph" w:customStyle="1" w:styleId="Heading2NoRule">
    <w:name w:val="Heading 2 NoRule"/>
    <w:basedOn w:val="Heading2"/>
    <w:rsid w:val="00F84266"/>
    <w:rPr>
      <w:rFonts w:cs="Times New Roman"/>
      <w:bCs/>
      <w:iCs/>
      <w:szCs w:val="20"/>
    </w:rPr>
  </w:style>
  <w:style w:type="paragraph" w:customStyle="1" w:styleId="Heading2SpaceBefore">
    <w:name w:val="Heading 2 SpaceBefore"/>
    <w:basedOn w:val="Heading2"/>
    <w:rsid w:val="00F84266"/>
    <w:pPr>
      <w:spacing w:before="200"/>
    </w:pPr>
    <w:rPr>
      <w:rFonts w:cs="Times New Roman"/>
      <w:bCs/>
      <w:iCs/>
      <w:szCs w:val="20"/>
    </w:rPr>
  </w:style>
  <w:style w:type="paragraph" w:customStyle="1" w:styleId="Heading3NoSpace">
    <w:name w:val="Heading 3 NoSpace"/>
    <w:basedOn w:val="Heading3"/>
    <w:rsid w:val="00F84266"/>
    <w:pPr>
      <w:spacing w:line="220" w:lineRule="exact"/>
    </w:pPr>
    <w:rPr>
      <w:rFonts w:ascii="Delta BQ Medium" w:hAnsi="Delta BQ Medium" w:cs="Times New Roman"/>
      <w:b w:val="0"/>
      <w:bCs w:val="0"/>
      <w:color w:val="FF0000"/>
      <w:spacing w:val="0"/>
      <w:szCs w:val="20"/>
    </w:rPr>
  </w:style>
  <w:style w:type="paragraph" w:customStyle="1" w:styleId="Heading3SpaceBefore">
    <w:name w:val="Heading 3 SpaceBefore"/>
    <w:basedOn w:val="Heading3"/>
    <w:link w:val="Heading3SpaceBeforeChar"/>
    <w:rsid w:val="00F84266"/>
    <w:rPr>
      <w:rFonts w:cs="Times New Roman"/>
      <w:bCs w:val="0"/>
      <w:szCs w:val="20"/>
    </w:rPr>
  </w:style>
  <w:style w:type="paragraph" w:customStyle="1" w:styleId="Heading4SpaceBefore">
    <w:name w:val="Heading 4 SpaceBefore"/>
    <w:basedOn w:val="Heading4"/>
    <w:rsid w:val="00F84266"/>
    <w:pPr>
      <w:spacing w:before="100"/>
    </w:pPr>
    <w:rPr>
      <w:bCs w:val="0"/>
      <w:szCs w:val="20"/>
    </w:rPr>
  </w:style>
  <w:style w:type="character" w:customStyle="1" w:styleId="Heading5Char">
    <w:name w:val="Heading 5 Char"/>
    <w:link w:val="Heading5"/>
    <w:rsid w:val="00F84266"/>
    <w:rPr>
      <w:rFonts w:ascii="Arial" w:hAnsi="Arial" w:cs="Arial"/>
      <w:i/>
      <w:iCs/>
      <w:spacing w:val="-1"/>
      <w:sz w:val="18"/>
      <w:szCs w:val="26"/>
      <w:lang w:val="en-GB" w:eastAsia="en-GB" w:bidi="ar-SA"/>
    </w:rPr>
  </w:style>
  <w:style w:type="paragraph" w:customStyle="1" w:styleId="Lists">
    <w:name w:val="Lists"/>
    <w:basedOn w:val="Bullets"/>
    <w:rsid w:val="00F84266"/>
    <w:pPr>
      <w:numPr>
        <w:numId w:val="2"/>
      </w:numPr>
    </w:pPr>
  </w:style>
  <w:style w:type="paragraph" w:customStyle="1" w:styleId="NormalCondensed">
    <w:name w:val="Normal Condensed"/>
    <w:basedOn w:val="Normal"/>
    <w:rsid w:val="00F84266"/>
    <w:pPr>
      <w:spacing w:after="80" w:line="196" w:lineRule="exact"/>
    </w:pPr>
    <w:rPr>
      <w:szCs w:val="20"/>
    </w:rPr>
  </w:style>
  <w:style w:type="paragraph" w:styleId="NormalIndent">
    <w:name w:val="Normal Indent"/>
    <w:basedOn w:val="Normal"/>
    <w:rsid w:val="00F84266"/>
  </w:style>
  <w:style w:type="paragraph" w:customStyle="1" w:styleId="NormalSpaceBefore">
    <w:name w:val="Normal SpaceBefore"/>
    <w:basedOn w:val="Normal"/>
    <w:rsid w:val="00F84266"/>
    <w:pPr>
      <w:spacing w:before="100"/>
    </w:pPr>
    <w:rPr>
      <w:szCs w:val="20"/>
    </w:rPr>
  </w:style>
  <w:style w:type="paragraph" w:customStyle="1" w:styleId="NormalBold">
    <w:name w:val="NormalBold"/>
    <w:basedOn w:val="Normal"/>
    <w:link w:val="NormalBoldChar"/>
    <w:rsid w:val="00F84266"/>
    <w:rPr>
      <w:b/>
    </w:rPr>
  </w:style>
  <w:style w:type="paragraph" w:customStyle="1" w:styleId="NoSpace">
    <w:name w:val="NoSpace"/>
    <w:basedOn w:val="Normal"/>
    <w:rsid w:val="00F84266"/>
    <w:pPr>
      <w:spacing w:after="0" w:line="14" w:lineRule="exact"/>
    </w:pPr>
  </w:style>
  <w:style w:type="paragraph" w:customStyle="1" w:styleId="PageSubTitle">
    <w:name w:val="PageSubTitle"/>
    <w:basedOn w:val="Normal"/>
    <w:rsid w:val="00F84266"/>
  </w:style>
  <w:style w:type="paragraph" w:customStyle="1" w:styleId="PageTitle">
    <w:name w:val="PageTitle"/>
    <w:basedOn w:val="Normal"/>
    <w:rsid w:val="00F84266"/>
    <w:pPr>
      <w:spacing w:line="400" w:lineRule="exact"/>
    </w:pPr>
    <w:rPr>
      <w:b/>
      <w:sz w:val="36"/>
      <w:szCs w:val="36"/>
    </w:rPr>
  </w:style>
  <w:style w:type="paragraph" w:customStyle="1" w:styleId="Picture">
    <w:name w:val="Picture"/>
    <w:basedOn w:val="Normal"/>
    <w:rsid w:val="00F84266"/>
    <w:pPr>
      <w:spacing w:after="0" w:line="240" w:lineRule="auto"/>
    </w:pPr>
  </w:style>
  <w:style w:type="numbering" w:customStyle="1" w:styleId="StyleBulleted">
    <w:name w:val="Style Bulleted"/>
    <w:basedOn w:val="NoList"/>
    <w:rsid w:val="00F84266"/>
    <w:pPr>
      <w:numPr>
        <w:numId w:val="3"/>
      </w:numPr>
    </w:pPr>
  </w:style>
  <w:style w:type="numbering" w:customStyle="1" w:styleId="StyleBulleted1">
    <w:name w:val="Style Bulleted1"/>
    <w:basedOn w:val="NoList"/>
    <w:rsid w:val="00F84266"/>
    <w:pPr>
      <w:numPr>
        <w:numId w:val="4"/>
      </w:numPr>
    </w:pPr>
  </w:style>
  <w:style w:type="paragraph" w:customStyle="1" w:styleId="StyleTabletextCentered">
    <w:name w:val="Style Tabletext + Centered"/>
    <w:basedOn w:val="Tabletext"/>
    <w:rsid w:val="00F84266"/>
    <w:pPr>
      <w:jc w:val="center"/>
    </w:pPr>
    <w:rPr>
      <w:szCs w:val="20"/>
    </w:rPr>
  </w:style>
  <w:style w:type="paragraph" w:customStyle="1" w:styleId="TableColHeads">
    <w:name w:val="TableColHeads"/>
    <w:basedOn w:val="Normal"/>
    <w:link w:val="TableColHeadsChar"/>
    <w:uiPriority w:val="99"/>
    <w:qFormat/>
    <w:rsid w:val="00521B05"/>
    <w:pPr>
      <w:spacing w:before="10" w:after="10" w:line="160" w:lineRule="exact"/>
      <w:ind w:right="57"/>
      <w:jc w:val="right"/>
    </w:pPr>
    <w:rPr>
      <w:sz w:val="18"/>
    </w:rPr>
  </w:style>
  <w:style w:type="paragraph" w:customStyle="1" w:styleId="TableColHeadsBold0">
    <w:name w:val="TableColHeads Bold"/>
    <w:basedOn w:val="TableColHeads"/>
    <w:link w:val="TableColHeadsBoldChar"/>
    <w:qFormat/>
    <w:rsid w:val="00672264"/>
    <w:pPr>
      <w:spacing w:before="30" w:after="30" w:line="240" w:lineRule="auto"/>
    </w:pPr>
    <w:rPr>
      <w:b/>
      <w:bCs/>
      <w:szCs w:val="18"/>
    </w:rPr>
  </w:style>
  <w:style w:type="character" w:customStyle="1" w:styleId="TableColHeadsChar">
    <w:name w:val="TableColHeads Char"/>
    <w:link w:val="TableColHeads"/>
    <w:uiPriority w:val="99"/>
    <w:rsid w:val="00521B05"/>
    <w:rPr>
      <w:rFonts w:ascii="Arial" w:hAnsi="Arial"/>
      <w:spacing w:val="-1"/>
      <w:sz w:val="18"/>
      <w:szCs w:val="24"/>
    </w:rPr>
  </w:style>
  <w:style w:type="character" w:customStyle="1" w:styleId="TableColHeadsBoldChar">
    <w:name w:val="TableColHeads Bold Char"/>
    <w:link w:val="TableColHeadsBold0"/>
    <w:rsid w:val="00672264"/>
    <w:rPr>
      <w:rFonts w:ascii="Arial" w:hAnsi="Arial"/>
      <w:b/>
      <w:bCs/>
      <w:spacing w:val="-1"/>
      <w:sz w:val="18"/>
      <w:szCs w:val="18"/>
    </w:rPr>
  </w:style>
  <w:style w:type="paragraph" w:customStyle="1" w:styleId="TableColHeadsCentered">
    <w:name w:val="TableColHeads Centered"/>
    <w:basedOn w:val="TableColHeads"/>
    <w:autoRedefine/>
    <w:rsid w:val="00F84266"/>
    <w:pPr>
      <w:ind w:left="454" w:right="0"/>
      <w:jc w:val="center"/>
    </w:pPr>
    <w:rPr>
      <w:szCs w:val="20"/>
    </w:rPr>
  </w:style>
  <w:style w:type="paragraph" w:customStyle="1" w:styleId="TableColHeadsCenteredBold">
    <w:name w:val="TableColHeads CenteredBold"/>
    <w:basedOn w:val="TableColHeadsCentered"/>
    <w:link w:val="TableColHeadsCenteredBoldChar"/>
    <w:rsid w:val="00F84266"/>
    <w:rPr>
      <w:b/>
    </w:rPr>
  </w:style>
  <w:style w:type="paragraph" w:customStyle="1" w:styleId="TableColHeadsLeft">
    <w:name w:val="TableColHeads Left"/>
    <w:basedOn w:val="TableColHeads"/>
    <w:rsid w:val="00F84266"/>
    <w:pPr>
      <w:jc w:val="left"/>
    </w:pPr>
    <w:rPr>
      <w:szCs w:val="20"/>
    </w:rPr>
  </w:style>
  <w:style w:type="paragraph" w:customStyle="1" w:styleId="TableColHeadsLeftBold">
    <w:name w:val="TableColHeads LeftBold"/>
    <w:basedOn w:val="Normal"/>
    <w:rsid w:val="00F84266"/>
    <w:pPr>
      <w:spacing w:before="20" w:after="20" w:line="150" w:lineRule="exact"/>
      <w:ind w:right="57"/>
    </w:pPr>
    <w:rPr>
      <w:rFonts w:ascii="Delta BQ Medium" w:hAnsi="Delta BQ Medium"/>
      <w:spacing w:val="0"/>
      <w:sz w:val="13"/>
      <w:szCs w:val="20"/>
    </w:rPr>
  </w:style>
  <w:style w:type="paragraph" w:customStyle="1" w:styleId="TableFigures">
    <w:name w:val="TableFigures"/>
    <w:basedOn w:val="Tabletext"/>
    <w:link w:val="TableFiguresChar"/>
    <w:qFormat/>
    <w:rsid w:val="00506752"/>
    <w:pPr>
      <w:ind w:right="57"/>
      <w:jc w:val="right"/>
    </w:pPr>
  </w:style>
  <w:style w:type="paragraph" w:customStyle="1" w:styleId="TableFiguresBold0">
    <w:name w:val="TableFigures Bold"/>
    <w:basedOn w:val="Tabletext"/>
    <w:link w:val="TableFiguresBoldChar"/>
    <w:qFormat/>
    <w:rsid w:val="00506752"/>
    <w:pPr>
      <w:ind w:right="57"/>
      <w:jc w:val="right"/>
    </w:pPr>
    <w:rPr>
      <w:b/>
      <w:bCs/>
    </w:rPr>
  </w:style>
  <w:style w:type="paragraph" w:customStyle="1" w:styleId="TableFiguresBrackets">
    <w:name w:val="TableFigures Brackets"/>
    <w:basedOn w:val="TableFigures"/>
    <w:link w:val="TableFiguresBracketsChar"/>
    <w:qFormat/>
    <w:rsid w:val="00506752"/>
    <w:pPr>
      <w:ind w:right="17"/>
    </w:pPr>
  </w:style>
  <w:style w:type="paragraph" w:customStyle="1" w:styleId="TableFiguresBracketsBold">
    <w:name w:val="TableFigures Brackets Bold"/>
    <w:basedOn w:val="TableFiguresBrackets"/>
    <w:link w:val="TableFiguresBracketsBoldChar"/>
    <w:qFormat/>
    <w:rsid w:val="005803B3"/>
    <w:rPr>
      <w:b/>
      <w:bCs/>
    </w:rPr>
  </w:style>
  <w:style w:type="character" w:customStyle="1" w:styleId="TableFiguresChar">
    <w:name w:val="TableFigures Char"/>
    <w:basedOn w:val="TabletextChar"/>
    <w:link w:val="TableFigures"/>
    <w:rsid w:val="00506752"/>
    <w:rPr>
      <w:rFonts w:ascii="Arial" w:hAnsi="Arial"/>
      <w:spacing w:val="-1"/>
      <w:sz w:val="18"/>
      <w:szCs w:val="24"/>
    </w:rPr>
  </w:style>
  <w:style w:type="character" w:customStyle="1" w:styleId="TableFiguresBracketsChar">
    <w:name w:val="TableFigures Brackets Char"/>
    <w:basedOn w:val="TableFiguresChar"/>
    <w:link w:val="TableFiguresBrackets"/>
    <w:rsid w:val="00506752"/>
    <w:rPr>
      <w:rFonts w:ascii="Arial" w:hAnsi="Arial"/>
      <w:spacing w:val="-1"/>
      <w:sz w:val="18"/>
      <w:szCs w:val="24"/>
    </w:rPr>
  </w:style>
  <w:style w:type="paragraph" w:customStyle="1" w:styleId="TabletextBold">
    <w:name w:val="Tabletext Bold"/>
    <w:basedOn w:val="Tabletext"/>
    <w:link w:val="TabletextBoldChar"/>
    <w:qFormat/>
    <w:rsid w:val="00E437B2"/>
    <w:rPr>
      <w:b/>
      <w:bCs/>
    </w:rPr>
  </w:style>
  <w:style w:type="character" w:customStyle="1" w:styleId="TabletextBoldChar">
    <w:name w:val="Tabletext Bold Char"/>
    <w:link w:val="TabletextBold"/>
    <w:rsid w:val="00E437B2"/>
    <w:rPr>
      <w:rFonts w:ascii="Arial" w:hAnsi="Arial"/>
      <w:b/>
      <w:bCs/>
      <w:spacing w:val="-1"/>
      <w:sz w:val="18"/>
      <w:szCs w:val="24"/>
    </w:rPr>
  </w:style>
  <w:style w:type="paragraph" w:customStyle="1" w:styleId="TabletextCentered">
    <w:name w:val="Tabletext Centered"/>
    <w:basedOn w:val="Tabletext"/>
    <w:link w:val="TabletextCenteredChar"/>
    <w:rsid w:val="00F84266"/>
    <w:pPr>
      <w:jc w:val="center"/>
    </w:pPr>
    <w:rPr>
      <w:szCs w:val="20"/>
    </w:rPr>
  </w:style>
  <w:style w:type="paragraph" w:customStyle="1" w:styleId="TabletextCenteredBold">
    <w:name w:val="Tabletext CenteredBold"/>
    <w:basedOn w:val="TabletextCentered"/>
    <w:rsid w:val="00F84266"/>
    <w:rPr>
      <w:b/>
    </w:rPr>
  </w:style>
  <w:style w:type="paragraph" w:customStyle="1" w:styleId="TabletextIndent">
    <w:name w:val="Tabletext Indent"/>
    <w:basedOn w:val="Tabletext"/>
    <w:link w:val="TabletextIndentChar"/>
    <w:rsid w:val="00F84266"/>
    <w:pPr>
      <w:ind w:left="170"/>
    </w:pPr>
    <w:rPr>
      <w:szCs w:val="20"/>
    </w:rPr>
  </w:style>
  <w:style w:type="character" w:customStyle="1" w:styleId="Heading3Char">
    <w:name w:val="Heading 3 Char"/>
    <w:link w:val="Heading3"/>
    <w:rsid w:val="00F84266"/>
    <w:rPr>
      <w:rFonts w:ascii="Arial" w:hAnsi="Arial" w:cs="Arial"/>
      <w:b/>
      <w:bCs/>
      <w:spacing w:val="-1"/>
      <w:sz w:val="18"/>
      <w:szCs w:val="26"/>
      <w:lang w:val="en-GB" w:eastAsia="en-GB" w:bidi="ar-SA"/>
    </w:rPr>
  </w:style>
  <w:style w:type="paragraph" w:customStyle="1" w:styleId="BodyTextaftertables0">
    <w:name w:val="Body Text after tables"/>
    <w:basedOn w:val="Normal"/>
    <w:link w:val="BodyTextaftertablesChar0"/>
    <w:rsid w:val="00F84266"/>
    <w:pPr>
      <w:spacing w:before="100" w:after="100"/>
    </w:pPr>
    <w:rPr>
      <w:szCs w:val="20"/>
    </w:rPr>
  </w:style>
  <w:style w:type="character" w:customStyle="1" w:styleId="Heading3SpaceBeforeChar">
    <w:name w:val="Heading 3 SpaceBefore Char"/>
    <w:basedOn w:val="Heading3Char"/>
    <w:link w:val="Heading3SpaceBefore"/>
    <w:rsid w:val="00F84266"/>
    <w:rPr>
      <w:rFonts w:ascii="Arial" w:hAnsi="Arial" w:cs="Arial"/>
      <w:b/>
      <w:bCs/>
      <w:spacing w:val="-1"/>
      <w:sz w:val="18"/>
      <w:szCs w:val="26"/>
      <w:lang w:val="en-GB" w:eastAsia="en-GB" w:bidi="ar-SA"/>
    </w:rPr>
  </w:style>
  <w:style w:type="character" w:customStyle="1" w:styleId="BodyTextaftertablesChar0">
    <w:name w:val="Body Text after tables Char"/>
    <w:link w:val="BodyTextaftertables0"/>
    <w:rsid w:val="00F84266"/>
    <w:rPr>
      <w:rFonts w:ascii="Arial" w:hAnsi="Arial"/>
      <w:spacing w:val="-1"/>
      <w:sz w:val="18"/>
      <w:lang w:val="en-GB" w:eastAsia="en-GB" w:bidi="ar-SA"/>
    </w:rPr>
  </w:style>
  <w:style w:type="character" w:customStyle="1" w:styleId="TableFiguresBoldChar">
    <w:name w:val="TableFigures Bold Char"/>
    <w:link w:val="TableFiguresBold0"/>
    <w:rsid w:val="00506752"/>
    <w:rPr>
      <w:rFonts w:ascii="Arial" w:hAnsi="Arial"/>
      <w:b/>
      <w:bCs/>
      <w:spacing w:val="-1"/>
      <w:sz w:val="18"/>
      <w:szCs w:val="24"/>
    </w:rPr>
  </w:style>
  <w:style w:type="character" w:customStyle="1" w:styleId="TableFiguresBracketsBoldChar">
    <w:name w:val="TableFigures Brackets Bold Char"/>
    <w:link w:val="TableFiguresBracketsBold"/>
    <w:rsid w:val="005803B3"/>
    <w:rPr>
      <w:rFonts w:ascii="Arial" w:hAnsi="Arial"/>
      <w:b/>
      <w:bCs/>
      <w:spacing w:val="-1"/>
      <w:szCs w:val="24"/>
    </w:rPr>
  </w:style>
  <w:style w:type="character" w:customStyle="1" w:styleId="FootnotesNoSpaceChar">
    <w:name w:val="Footnotes NoSpace Char"/>
    <w:link w:val="FootnotesNoSpace"/>
    <w:rsid w:val="000A5783"/>
    <w:rPr>
      <w:rFonts w:ascii="Arial" w:hAnsi="Arial"/>
      <w:i/>
      <w:sz w:val="16"/>
      <w:szCs w:val="24"/>
    </w:rPr>
  </w:style>
  <w:style w:type="paragraph" w:customStyle="1" w:styleId="TabletextRed">
    <w:name w:val="Tabletext Red"/>
    <w:basedOn w:val="TableFiguresBold0"/>
    <w:rsid w:val="00F84266"/>
    <w:pPr>
      <w:tabs>
        <w:tab w:val="clear" w:pos="142"/>
      </w:tabs>
      <w:jc w:val="left"/>
    </w:pPr>
    <w:rPr>
      <w:rFonts w:ascii="Delta BQ Book" w:hAnsi="Delta BQ Book"/>
      <w:b w:val="0"/>
      <w:bCs w:val="0"/>
      <w:color w:val="FF0000"/>
      <w:spacing w:val="0"/>
      <w:sz w:val="16"/>
      <w:szCs w:val="20"/>
    </w:rPr>
  </w:style>
  <w:style w:type="paragraph" w:customStyle="1" w:styleId="TableheadBoldCondensed">
    <w:name w:val="Table head Bold Condensed"/>
    <w:basedOn w:val="TableColHeadsBold0"/>
    <w:link w:val="TableheadBoldCondensedChar"/>
    <w:rsid w:val="00F84266"/>
    <w:pPr>
      <w:spacing w:before="20" w:after="20" w:line="150" w:lineRule="exact"/>
    </w:pPr>
    <w:rPr>
      <w:rFonts w:ascii="Delta BQ Medium" w:hAnsi="Delta BQ Medium"/>
      <w:spacing w:val="-6"/>
      <w:sz w:val="13"/>
    </w:rPr>
  </w:style>
  <w:style w:type="character" w:customStyle="1" w:styleId="TableheadBoldCondensedChar">
    <w:name w:val="Table head Bold Condensed Char"/>
    <w:link w:val="TableheadBoldCondensed"/>
    <w:rsid w:val="00F84266"/>
    <w:rPr>
      <w:rFonts w:ascii="Delta BQ Medium" w:hAnsi="Delta BQ Medium"/>
      <w:b/>
      <w:bCs/>
      <w:spacing w:val="-6"/>
      <w:sz w:val="13"/>
      <w:szCs w:val="24"/>
      <w:lang w:val="en-GB" w:eastAsia="en-GB" w:bidi="ar-SA"/>
    </w:rPr>
  </w:style>
  <w:style w:type="character" w:customStyle="1" w:styleId="TableColHeadsCenteredBoldChar">
    <w:name w:val="TableColHeads CenteredBold Char"/>
    <w:link w:val="TableColHeadsCenteredBold"/>
    <w:rsid w:val="00F84266"/>
    <w:rPr>
      <w:rFonts w:ascii="Arial" w:hAnsi="Arial"/>
      <w:b/>
      <w:spacing w:val="-1"/>
      <w:sz w:val="14"/>
      <w:lang w:val="en-GB" w:eastAsia="en-GB" w:bidi="ar-SA"/>
    </w:rPr>
  </w:style>
  <w:style w:type="paragraph" w:customStyle="1" w:styleId="Heading1SpaceBefore">
    <w:name w:val="Heading 1 SpaceBefore"/>
    <w:basedOn w:val="Heading1"/>
    <w:rsid w:val="00F84266"/>
    <w:pPr>
      <w:spacing w:line="240" w:lineRule="exact"/>
    </w:pPr>
    <w:rPr>
      <w:rFonts w:ascii="Delta BQ Book" w:hAnsi="Delta BQ Book" w:cs="Times New Roman"/>
      <w:b w:val="0"/>
      <w:bCs/>
      <w:caps w:val="0"/>
      <w:spacing w:val="0"/>
      <w:szCs w:val="20"/>
    </w:rPr>
  </w:style>
  <w:style w:type="paragraph" w:customStyle="1" w:styleId="TableFiguresCondensed">
    <w:name w:val="TableFigures Condensed"/>
    <w:basedOn w:val="TableFigures"/>
    <w:rsid w:val="00F84266"/>
    <w:pPr>
      <w:tabs>
        <w:tab w:val="clear" w:pos="142"/>
      </w:tabs>
    </w:pPr>
    <w:rPr>
      <w:rFonts w:ascii="Delta BQ Light" w:hAnsi="Delta BQ Light"/>
      <w:spacing w:val="-2"/>
      <w:sz w:val="16"/>
    </w:rPr>
  </w:style>
  <w:style w:type="character" w:customStyle="1" w:styleId="emailstyle17">
    <w:name w:val="emailstyle17"/>
    <w:semiHidden/>
    <w:rsid w:val="00F926EC"/>
    <w:rPr>
      <w:rFonts w:ascii="Arial" w:hAnsi="Arial" w:cs="Arial" w:hint="default"/>
      <w:color w:val="auto"/>
      <w:sz w:val="20"/>
      <w:szCs w:val="20"/>
    </w:rPr>
  </w:style>
  <w:style w:type="character" w:customStyle="1" w:styleId="NormalBoldChar">
    <w:name w:val="NormalBold Char"/>
    <w:link w:val="NormalBold"/>
    <w:rsid w:val="005176D9"/>
    <w:rPr>
      <w:rFonts w:ascii="Arial" w:hAnsi="Arial"/>
      <w:b/>
      <w:spacing w:val="-1"/>
      <w:sz w:val="18"/>
      <w:szCs w:val="24"/>
      <w:lang w:val="en-GB" w:eastAsia="en-GB"/>
    </w:rPr>
  </w:style>
  <w:style w:type="character" w:styleId="CommentReference">
    <w:name w:val="annotation reference"/>
    <w:uiPriority w:val="99"/>
    <w:rsid w:val="002B20D9"/>
    <w:rPr>
      <w:sz w:val="16"/>
      <w:szCs w:val="16"/>
    </w:rPr>
  </w:style>
  <w:style w:type="paragraph" w:styleId="CommentText">
    <w:name w:val="annotation text"/>
    <w:basedOn w:val="Normal"/>
    <w:link w:val="CommentTextChar"/>
    <w:uiPriority w:val="99"/>
    <w:rsid w:val="002B20D9"/>
    <w:rPr>
      <w:szCs w:val="20"/>
    </w:rPr>
  </w:style>
  <w:style w:type="paragraph" w:styleId="CommentSubject">
    <w:name w:val="annotation subject"/>
    <w:basedOn w:val="CommentText"/>
    <w:next w:val="CommentText"/>
    <w:link w:val="CommentSubjectChar"/>
    <w:rsid w:val="002B20D9"/>
    <w:rPr>
      <w:b/>
      <w:bCs/>
    </w:rPr>
  </w:style>
  <w:style w:type="character" w:customStyle="1" w:styleId="FooterChar">
    <w:name w:val="Footer Char"/>
    <w:aliases w:val="Footer line 1 Char"/>
    <w:link w:val="Footer"/>
    <w:uiPriority w:val="99"/>
    <w:locked/>
    <w:rsid w:val="00CE6F08"/>
    <w:rPr>
      <w:rFonts w:ascii="Arial" w:hAnsi="Arial"/>
      <w:spacing w:val="-1"/>
      <w:sz w:val="15"/>
      <w:szCs w:val="24"/>
      <w:lang w:val="en-GB" w:eastAsia="en-GB" w:bidi="ar-SA"/>
    </w:rPr>
  </w:style>
  <w:style w:type="character" w:customStyle="1" w:styleId="TabletextIndentChar">
    <w:name w:val="Tabletext Indent Char"/>
    <w:basedOn w:val="TabletextChar"/>
    <w:link w:val="TabletextIndent"/>
    <w:rsid w:val="00B500BA"/>
    <w:rPr>
      <w:rFonts w:ascii="Arial" w:hAnsi="Arial"/>
      <w:spacing w:val="-1"/>
      <w:sz w:val="18"/>
      <w:szCs w:val="24"/>
    </w:rPr>
  </w:style>
  <w:style w:type="character" w:customStyle="1" w:styleId="Heading2Char">
    <w:name w:val="Heading 2 Char"/>
    <w:link w:val="Heading2"/>
    <w:rsid w:val="006B4CCF"/>
    <w:rPr>
      <w:rFonts w:ascii="Arial" w:hAnsi="Arial" w:cs="Arial"/>
      <w:b/>
      <w:spacing w:val="-4"/>
      <w:sz w:val="22"/>
      <w:szCs w:val="22"/>
    </w:rPr>
  </w:style>
  <w:style w:type="character" w:customStyle="1" w:styleId="TabletextCenteredChar">
    <w:name w:val="Tabletext Centered Char"/>
    <w:basedOn w:val="TabletextChar"/>
    <w:link w:val="TabletextCentered"/>
    <w:rsid w:val="00C4660F"/>
    <w:rPr>
      <w:rFonts w:ascii="Arial" w:hAnsi="Arial"/>
      <w:spacing w:val="-1"/>
      <w:sz w:val="18"/>
      <w:szCs w:val="24"/>
    </w:rPr>
  </w:style>
  <w:style w:type="character" w:customStyle="1" w:styleId="Heading4Char">
    <w:name w:val="Heading 4 Char"/>
    <w:link w:val="Heading4"/>
    <w:rsid w:val="00544A4C"/>
    <w:rPr>
      <w:rFonts w:ascii="Arial" w:hAnsi="Arial" w:cs="Arial"/>
      <w:b/>
      <w:bCs/>
      <w:spacing w:val="-1"/>
      <w:sz w:val="18"/>
      <w:szCs w:val="26"/>
      <w:lang w:val="en-GB" w:eastAsia="en-GB" w:bidi="ar-SA"/>
    </w:rPr>
  </w:style>
  <w:style w:type="character" w:customStyle="1" w:styleId="HeaderChar">
    <w:name w:val="Header Char"/>
    <w:link w:val="Header"/>
    <w:uiPriority w:val="99"/>
    <w:rsid w:val="00D324C7"/>
    <w:rPr>
      <w:rFonts w:ascii="Delta BQ Book" w:hAnsi="Delta BQ Book"/>
      <w:caps/>
      <w:spacing w:val="-1"/>
      <w:sz w:val="15"/>
      <w:szCs w:val="24"/>
      <w:lang w:val="en-GB" w:eastAsia="en-GB" w:bidi="ar-SA"/>
    </w:rPr>
  </w:style>
  <w:style w:type="character" w:customStyle="1" w:styleId="HEADER2Char">
    <w:name w:val="HEADER2 Char"/>
    <w:link w:val="HEADER20"/>
    <w:rsid w:val="00D324C7"/>
    <w:rPr>
      <w:rFonts w:ascii="Arial" w:hAnsi="Arial"/>
      <w:b/>
      <w:caps/>
      <w:color w:val="000000"/>
      <w:spacing w:val="-1"/>
      <w:sz w:val="22"/>
      <w:szCs w:val="24"/>
      <w:lang w:val="en-GB" w:eastAsia="en-GB" w:bidi="ar-SA"/>
    </w:rPr>
  </w:style>
  <w:style w:type="paragraph" w:customStyle="1" w:styleId="FooterBook">
    <w:name w:val="Footer Book"/>
    <w:basedOn w:val="Footer"/>
    <w:link w:val="FooterBookChar"/>
    <w:rsid w:val="00D324C7"/>
    <w:pPr>
      <w:tabs>
        <w:tab w:val="clear" w:pos="4153"/>
        <w:tab w:val="clear" w:pos="8306"/>
        <w:tab w:val="left" w:pos="680"/>
      </w:tabs>
      <w:spacing w:line="140" w:lineRule="exact"/>
    </w:pPr>
    <w:rPr>
      <w:rFonts w:ascii="Delta BQ Book" w:hAnsi="Delta BQ Book"/>
      <w:sz w:val="12"/>
    </w:rPr>
  </w:style>
  <w:style w:type="character" w:customStyle="1" w:styleId="FooterBookChar">
    <w:name w:val="Footer Book Char"/>
    <w:link w:val="FooterBook"/>
    <w:rsid w:val="00D324C7"/>
    <w:rPr>
      <w:rFonts w:ascii="Delta BQ Book" w:hAnsi="Delta BQ Book"/>
      <w:spacing w:val="-1"/>
      <w:sz w:val="12"/>
      <w:szCs w:val="24"/>
      <w:lang w:val="en-GB" w:eastAsia="en-GB" w:bidi="ar-SA"/>
    </w:rPr>
  </w:style>
  <w:style w:type="paragraph" w:customStyle="1" w:styleId="Footerrightpage">
    <w:name w:val="Footer right page"/>
    <w:basedOn w:val="Footer"/>
    <w:rsid w:val="00D324C7"/>
    <w:pPr>
      <w:tabs>
        <w:tab w:val="clear" w:pos="4153"/>
        <w:tab w:val="clear" w:pos="8306"/>
        <w:tab w:val="right" w:pos="9271"/>
      </w:tabs>
      <w:spacing w:line="140" w:lineRule="exact"/>
    </w:pPr>
    <w:rPr>
      <w:rFonts w:ascii="Delta BQ Light" w:hAnsi="Delta BQ Light"/>
      <w:spacing w:val="0"/>
      <w:sz w:val="12"/>
    </w:rPr>
  </w:style>
  <w:style w:type="paragraph" w:customStyle="1" w:styleId="1bullets">
    <w:name w:val="1 bullets"/>
    <w:basedOn w:val="Normal"/>
    <w:rsid w:val="00803BEB"/>
    <w:pPr>
      <w:spacing w:after="240" w:line="240" w:lineRule="auto"/>
      <w:ind w:left="181" w:hanging="181"/>
      <w:jc w:val="both"/>
    </w:pPr>
    <w:rPr>
      <w:szCs w:val="20"/>
    </w:rPr>
  </w:style>
  <w:style w:type="paragraph" w:customStyle="1" w:styleId="StyleTabletext10pt">
    <w:name w:val="Style Tabletext + 10 pt"/>
    <w:basedOn w:val="Tabletext"/>
    <w:rsid w:val="00803BEB"/>
    <w:pPr>
      <w:spacing w:line="240" w:lineRule="exact"/>
    </w:pPr>
  </w:style>
  <w:style w:type="paragraph" w:customStyle="1" w:styleId="StyleTabletext10pt1">
    <w:name w:val="Style Tabletext + 10 pt1"/>
    <w:basedOn w:val="Tabletext"/>
    <w:rsid w:val="00803BEB"/>
    <w:pPr>
      <w:spacing w:line="240" w:lineRule="exact"/>
    </w:pPr>
  </w:style>
  <w:style w:type="paragraph" w:customStyle="1" w:styleId="StyleTabletext10pt2">
    <w:name w:val="Style Tabletext + 10 pt2"/>
    <w:basedOn w:val="Tabletext"/>
    <w:rsid w:val="00B36CB5"/>
    <w:pPr>
      <w:spacing w:line="240" w:lineRule="exact"/>
    </w:pPr>
  </w:style>
  <w:style w:type="paragraph" w:customStyle="1" w:styleId="1FiguresBoldBrackets">
    <w:name w:val="1 Figures Bold Brackets"/>
    <w:basedOn w:val="TableFigures"/>
    <w:rsid w:val="00EF0A7B"/>
    <w:pPr>
      <w:ind w:right="0"/>
    </w:pPr>
    <w:rPr>
      <w:b/>
      <w:bCs/>
    </w:rPr>
  </w:style>
  <w:style w:type="paragraph" w:customStyle="1" w:styleId="1FiguresBrackets">
    <w:name w:val="1 Figures Brackets"/>
    <w:basedOn w:val="1FiguresBoldBrackets"/>
    <w:rsid w:val="00EF0A7B"/>
    <w:rPr>
      <w:b w:val="0"/>
      <w:bCs w:val="0"/>
    </w:rPr>
  </w:style>
  <w:style w:type="paragraph" w:customStyle="1" w:styleId="ColorfulShading-Accent11">
    <w:name w:val="Colorful Shading - Accent 11"/>
    <w:hidden/>
    <w:uiPriority w:val="99"/>
    <w:semiHidden/>
    <w:rsid w:val="002E283F"/>
    <w:rPr>
      <w:rFonts w:ascii="Arial" w:hAnsi="Arial"/>
      <w:spacing w:val="-1"/>
      <w:sz w:val="18"/>
      <w:szCs w:val="24"/>
    </w:rPr>
  </w:style>
  <w:style w:type="character" w:customStyle="1" w:styleId="CommentTextChar">
    <w:name w:val="Comment Text Char"/>
    <w:link w:val="CommentText"/>
    <w:uiPriority w:val="99"/>
    <w:rsid w:val="00320208"/>
    <w:rPr>
      <w:rFonts w:ascii="Arial" w:hAnsi="Arial"/>
      <w:spacing w:val="-1"/>
    </w:rPr>
  </w:style>
  <w:style w:type="character" w:customStyle="1" w:styleId="CommentSubjectChar">
    <w:name w:val="Comment Subject Char"/>
    <w:link w:val="CommentSubject"/>
    <w:rsid w:val="00320208"/>
    <w:rPr>
      <w:rFonts w:ascii="Arial" w:hAnsi="Arial"/>
      <w:b/>
      <w:bCs/>
      <w:spacing w:val="-1"/>
    </w:rPr>
  </w:style>
  <w:style w:type="paragraph" w:customStyle="1" w:styleId="Heading2NoSpacebefore">
    <w:name w:val="Heading 2 NoSpace before"/>
    <w:basedOn w:val="Heading2"/>
    <w:rsid w:val="00720B26"/>
    <w:pPr>
      <w:spacing w:after="0" w:line="240" w:lineRule="exact"/>
    </w:pPr>
    <w:rPr>
      <w:rFonts w:ascii="Delta BQ Book" w:hAnsi="Delta BQ Book" w:cs="Times New Roman"/>
      <w:b w:val="0"/>
      <w:bCs/>
      <w:iCs/>
      <w:caps/>
      <w:color w:val="FF0000"/>
      <w:spacing w:val="0"/>
      <w:szCs w:val="20"/>
    </w:rPr>
  </w:style>
  <w:style w:type="paragraph" w:styleId="ListParagraph">
    <w:name w:val="List Paragraph"/>
    <w:basedOn w:val="Normal"/>
    <w:uiPriority w:val="1"/>
    <w:qFormat/>
    <w:rsid w:val="00DE4B2F"/>
    <w:pPr>
      <w:spacing w:after="0" w:line="240" w:lineRule="auto"/>
      <w:ind w:left="720"/>
      <w:contextualSpacing/>
    </w:pPr>
    <w:rPr>
      <w:rFonts w:eastAsia="Calibri"/>
      <w:spacing w:val="0"/>
      <w:szCs w:val="22"/>
      <w:lang w:eastAsia="en-US"/>
    </w:rPr>
  </w:style>
  <w:style w:type="character" w:styleId="FootnoteReference">
    <w:name w:val="footnote reference"/>
    <w:rsid w:val="00DE4B2F"/>
    <w:rPr>
      <w:vertAlign w:val="superscript"/>
    </w:rPr>
  </w:style>
  <w:style w:type="paragraph" w:customStyle="1" w:styleId="TabletextBold0">
    <w:name w:val="TabletextBold"/>
    <w:basedOn w:val="Tabletext"/>
    <w:link w:val="TabletextBoldChar0"/>
    <w:uiPriority w:val="99"/>
    <w:rsid w:val="003B61C1"/>
    <w:pPr>
      <w:tabs>
        <w:tab w:val="clear" w:pos="142"/>
      </w:tabs>
      <w:spacing w:before="40" w:after="40" w:line="190" w:lineRule="exact"/>
    </w:pPr>
    <w:rPr>
      <w:rFonts w:ascii="Delta BQ Book" w:hAnsi="Delta BQ Book"/>
      <w:bCs/>
      <w:caps/>
      <w:spacing w:val="0"/>
      <w:sz w:val="16"/>
    </w:rPr>
  </w:style>
  <w:style w:type="paragraph" w:customStyle="1" w:styleId="TableFiguresBrackets0">
    <w:name w:val="TableFiguresBrackets"/>
    <w:basedOn w:val="TableFigures"/>
    <w:uiPriority w:val="99"/>
    <w:rsid w:val="003B61C1"/>
    <w:pPr>
      <w:tabs>
        <w:tab w:val="clear" w:pos="142"/>
      </w:tabs>
      <w:spacing w:before="40" w:after="40" w:line="190" w:lineRule="exact"/>
      <w:ind w:right="17"/>
    </w:pPr>
    <w:rPr>
      <w:rFonts w:ascii="Delta BQ Light" w:hAnsi="Delta BQ Light"/>
      <w:spacing w:val="0"/>
      <w:sz w:val="16"/>
    </w:rPr>
  </w:style>
  <w:style w:type="paragraph" w:customStyle="1" w:styleId="TableFiguresBracketsBold0">
    <w:name w:val="TableFiguresBracketsBold"/>
    <w:basedOn w:val="TableFiguresBrackets0"/>
    <w:uiPriority w:val="99"/>
    <w:rsid w:val="003B61C1"/>
    <w:rPr>
      <w:b/>
      <w:bCs/>
    </w:rPr>
  </w:style>
  <w:style w:type="paragraph" w:customStyle="1" w:styleId="TabletextIndent0">
    <w:name w:val="Tabletext_Indent"/>
    <w:basedOn w:val="Tabletext"/>
    <w:uiPriority w:val="99"/>
    <w:qFormat/>
    <w:rsid w:val="003B61C1"/>
    <w:pPr>
      <w:tabs>
        <w:tab w:val="clear" w:pos="142"/>
      </w:tabs>
      <w:spacing w:before="40" w:after="40" w:line="190" w:lineRule="exact"/>
      <w:ind w:left="144"/>
    </w:pPr>
    <w:rPr>
      <w:rFonts w:ascii="Delta BQ Light" w:hAnsi="Delta BQ Light"/>
      <w:spacing w:val="0"/>
      <w:sz w:val="16"/>
    </w:rPr>
  </w:style>
  <w:style w:type="character" w:customStyle="1" w:styleId="TabletextBoldChar0">
    <w:name w:val="TabletextBold Char"/>
    <w:link w:val="TabletextBold0"/>
    <w:uiPriority w:val="99"/>
    <w:locked/>
    <w:rsid w:val="003B61C1"/>
    <w:rPr>
      <w:rFonts w:ascii="Delta BQ Book" w:hAnsi="Delta BQ Book"/>
      <w:bCs/>
      <w:caps/>
      <w:sz w:val="16"/>
      <w:szCs w:val="24"/>
    </w:rPr>
  </w:style>
  <w:style w:type="paragraph" w:customStyle="1" w:styleId="ColorfulShading-Accent12">
    <w:name w:val="Colorful Shading - Accent 12"/>
    <w:hidden/>
    <w:uiPriority w:val="99"/>
    <w:semiHidden/>
    <w:rsid w:val="00C42C31"/>
    <w:rPr>
      <w:rFonts w:ascii="Arial" w:hAnsi="Arial"/>
      <w:spacing w:val="-1"/>
      <w:sz w:val="18"/>
      <w:szCs w:val="24"/>
    </w:rPr>
  </w:style>
  <w:style w:type="paragraph" w:customStyle="1" w:styleId="ColorfulShading-Accent110">
    <w:name w:val="Colorful Shading - Accent 11"/>
    <w:hidden/>
    <w:uiPriority w:val="99"/>
    <w:semiHidden/>
    <w:rsid w:val="00C42C31"/>
    <w:rPr>
      <w:rFonts w:ascii="Arial" w:hAnsi="Arial"/>
      <w:spacing w:val="-1"/>
      <w:sz w:val="18"/>
      <w:szCs w:val="24"/>
    </w:rPr>
  </w:style>
  <w:style w:type="paragraph" w:customStyle="1" w:styleId="Normal1">
    <w:name w:val="Normal1"/>
    <w:basedOn w:val="Normal"/>
    <w:qFormat/>
    <w:rsid w:val="00C42C31"/>
    <w:pPr>
      <w:spacing w:after="120" w:line="276" w:lineRule="auto"/>
      <w:jc w:val="both"/>
    </w:pPr>
  </w:style>
  <w:style w:type="paragraph" w:customStyle="1" w:styleId="Style1">
    <w:name w:val="Style1"/>
    <w:basedOn w:val="TabletextBold0"/>
    <w:qFormat/>
    <w:rsid w:val="00C42C31"/>
    <w:rPr>
      <w:spacing w:val="-1"/>
    </w:rPr>
  </w:style>
  <w:style w:type="paragraph" w:customStyle="1" w:styleId="TableColHeadsBoldCentre">
    <w:name w:val="TableColHeadsBold_Centre"/>
    <w:basedOn w:val="TableColHeadsBold"/>
    <w:uiPriority w:val="99"/>
    <w:qFormat/>
    <w:rsid w:val="00C42C31"/>
    <w:pPr>
      <w:jc w:val="center"/>
    </w:pPr>
  </w:style>
  <w:style w:type="character" w:customStyle="1" w:styleId="Superscript">
    <w:name w:val="Superscript"/>
    <w:uiPriority w:val="99"/>
    <w:qFormat/>
    <w:rsid w:val="00C42C31"/>
    <w:rPr>
      <w:vertAlign w:val="superscript"/>
    </w:rPr>
  </w:style>
  <w:style w:type="paragraph" w:customStyle="1" w:styleId="TableColHeadsBoldLeft">
    <w:name w:val="TableColHeadsBold_Left"/>
    <w:basedOn w:val="TableColHeadsBoldCentre"/>
    <w:qFormat/>
    <w:rsid w:val="00C42C31"/>
    <w:pPr>
      <w:jc w:val="left"/>
    </w:pPr>
  </w:style>
  <w:style w:type="paragraph" w:customStyle="1" w:styleId="TableColHeadsCentre">
    <w:name w:val="TableColHeads_Centre"/>
    <w:basedOn w:val="TableColHeads"/>
    <w:uiPriority w:val="99"/>
    <w:qFormat/>
    <w:rsid w:val="00C42C31"/>
    <w:pPr>
      <w:spacing w:before="40" w:after="40"/>
      <w:jc w:val="center"/>
    </w:pPr>
    <w:rPr>
      <w:rFonts w:ascii="Delta BQ Book" w:hAnsi="Delta BQ Book"/>
      <w:color w:val="7ACCC8"/>
      <w:spacing w:val="0"/>
      <w:sz w:val="16"/>
    </w:rPr>
  </w:style>
  <w:style w:type="paragraph" w:customStyle="1" w:styleId="Normalspacebefore0">
    <w:name w:val="Normal space before"/>
    <w:basedOn w:val="Normal"/>
    <w:uiPriority w:val="99"/>
    <w:rsid w:val="00C42C31"/>
    <w:pPr>
      <w:tabs>
        <w:tab w:val="left" w:pos="283"/>
      </w:tabs>
      <w:suppressAutoHyphens/>
      <w:autoSpaceDE w:val="0"/>
      <w:autoSpaceDN w:val="0"/>
      <w:adjustRightInd w:val="0"/>
      <w:spacing w:before="113" w:after="113" w:line="190" w:lineRule="atLeast"/>
      <w:textAlignment w:val="center"/>
    </w:pPr>
    <w:rPr>
      <w:rFonts w:ascii="DeltaBQ-Light" w:hAnsi="DeltaBQ-Light"/>
      <w:color w:val="000000"/>
      <w:spacing w:val="0"/>
      <w:sz w:val="16"/>
      <w:szCs w:val="20"/>
    </w:rPr>
  </w:style>
  <w:style w:type="paragraph" w:customStyle="1" w:styleId="Heading1nospace0">
    <w:name w:val="Heading 1_nospace"/>
    <w:basedOn w:val="Heading1"/>
    <w:uiPriority w:val="99"/>
    <w:rsid w:val="00C42C31"/>
    <w:pPr>
      <w:spacing w:before="0" w:after="0" w:line="190" w:lineRule="exact"/>
    </w:pPr>
    <w:rPr>
      <w:rFonts w:ascii="Delta BQ Book" w:hAnsi="Delta BQ Book"/>
      <w:b w:val="0"/>
      <w:spacing w:val="0"/>
      <w:szCs w:val="20"/>
    </w:rPr>
  </w:style>
  <w:style w:type="character" w:customStyle="1" w:styleId="MainHeadcontinued">
    <w:name w:val="MainHead continued"/>
    <w:uiPriority w:val="99"/>
    <w:qFormat/>
    <w:rsid w:val="00C42C31"/>
    <w:rPr>
      <w:color w:val="7ACCC8"/>
    </w:rPr>
  </w:style>
  <w:style w:type="paragraph" w:styleId="Bibliography">
    <w:name w:val="Bibliography"/>
    <w:basedOn w:val="Normal"/>
    <w:next w:val="Normal"/>
    <w:uiPriority w:val="37"/>
    <w:semiHidden/>
    <w:unhideWhenUsed/>
    <w:rsid w:val="00C42C31"/>
  </w:style>
  <w:style w:type="paragraph" w:styleId="BodyTextFirstIndent">
    <w:name w:val="Body Text First Indent"/>
    <w:basedOn w:val="BodyText"/>
    <w:link w:val="BodyTextFirstIndentChar"/>
    <w:rsid w:val="00C42C31"/>
    <w:pPr>
      <w:tabs>
        <w:tab w:val="clear" w:pos="702"/>
      </w:tabs>
      <w:ind w:firstLine="360"/>
    </w:pPr>
    <w:rPr>
      <w:rFonts w:ascii="Arial" w:hAnsi="Arial" w:cs="Times New Roman"/>
      <w:b w:val="0"/>
    </w:rPr>
  </w:style>
  <w:style w:type="character" w:customStyle="1" w:styleId="BodyTextChar">
    <w:name w:val="Body Text Char"/>
    <w:link w:val="BodyText"/>
    <w:rsid w:val="00C42C31"/>
    <w:rPr>
      <w:rFonts w:ascii="Book Antiqua" w:hAnsi="Book Antiqua" w:cs="Arial"/>
      <w:b/>
      <w:spacing w:val="-1"/>
      <w:szCs w:val="24"/>
    </w:rPr>
  </w:style>
  <w:style w:type="character" w:customStyle="1" w:styleId="BodyTextFirstIndentChar">
    <w:name w:val="Body Text First Indent Char"/>
    <w:link w:val="BodyTextFirstIndent"/>
    <w:rsid w:val="00C42C31"/>
    <w:rPr>
      <w:rFonts w:ascii="Arial" w:hAnsi="Arial" w:cs="Arial"/>
      <w:b w:val="0"/>
      <w:spacing w:val="-1"/>
      <w:szCs w:val="24"/>
    </w:rPr>
  </w:style>
  <w:style w:type="paragraph" w:styleId="BodyTextFirstIndent2">
    <w:name w:val="Body Text First Indent 2"/>
    <w:basedOn w:val="BodyTextIndent"/>
    <w:link w:val="BodyTextFirstIndent2Char"/>
    <w:rsid w:val="00C42C31"/>
    <w:pPr>
      <w:tabs>
        <w:tab w:val="clear" w:pos="450"/>
      </w:tabs>
      <w:ind w:left="360" w:firstLine="360"/>
    </w:pPr>
    <w:rPr>
      <w:rFonts w:ascii="Arial" w:hAnsi="Arial" w:cs="Times New Roman"/>
      <w:sz w:val="20"/>
    </w:rPr>
  </w:style>
  <w:style w:type="character" w:customStyle="1" w:styleId="BodyTextIndentChar">
    <w:name w:val="Body Text Indent Char"/>
    <w:link w:val="BodyTextIndent"/>
    <w:rsid w:val="00C42C31"/>
    <w:rPr>
      <w:rFonts w:ascii="Book Antiqua" w:hAnsi="Book Antiqua" w:cs="Arial"/>
      <w:spacing w:val="-1"/>
      <w:sz w:val="22"/>
      <w:szCs w:val="24"/>
    </w:rPr>
  </w:style>
  <w:style w:type="character" w:customStyle="1" w:styleId="BodyTextFirstIndent2Char">
    <w:name w:val="Body Text First Indent 2 Char"/>
    <w:link w:val="BodyTextFirstIndent2"/>
    <w:rsid w:val="00C42C31"/>
    <w:rPr>
      <w:rFonts w:ascii="Arial" w:hAnsi="Arial" w:cs="Arial"/>
      <w:spacing w:val="-1"/>
      <w:sz w:val="22"/>
      <w:szCs w:val="24"/>
    </w:rPr>
  </w:style>
  <w:style w:type="paragraph" w:styleId="Caption">
    <w:name w:val="caption"/>
    <w:basedOn w:val="Normal"/>
    <w:next w:val="Normal"/>
    <w:semiHidden/>
    <w:unhideWhenUsed/>
    <w:qFormat/>
    <w:rsid w:val="00C42C31"/>
    <w:pPr>
      <w:spacing w:line="240" w:lineRule="auto"/>
    </w:pPr>
    <w:rPr>
      <w:b/>
      <w:bCs/>
      <w:color w:val="4F81BD"/>
      <w:sz w:val="18"/>
      <w:szCs w:val="18"/>
    </w:rPr>
  </w:style>
  <w:style w:type="paragraph" w:styleId="Closing">
    <w:name w:val="Closing"/>
    <w:basedOn w:val="Normal"/>
    <w:link w:val="ClosingChar"/>
    <w:rsid w:val="00C42C31"/>
    <w:pPr>
      <w:spacing w:after="0" w:line="240" w:lineRule="auto"/>
      <w:ind w:left="4252"/>
    </w:pPr>
  </w:style>
  <w:style w:type="character" w:customStyle="1" w:styleId="ClosingChar">
    <w:name w:val="Closing Char"/>
    <w:link w:val="Closing"/>
    <w:rsid w:val="00C42C31"/>
    <w:rPr>
      <w:rFonts w:ascii="Arial" w:hAnsi="Arial"/>
      <w:spacing w:val="-1"/>
      <w:szCs w:val="24"/>
    </w:rPr>
  </w:style>
  <w:style w:type="paragraph" w:styleId="Date">
    <w:name w:val="Date"/>
    <w:basedOn w:val="Normal"/>
    <w:next w:val="Normal"/>
    <w:link w:val="DateChar"/>
    <w:rsid w:val="00C42C31"/>
  </w:style>
  <w:style w:type="character" w:customStyle="1" w:styleId="DateChar">
    <w:name w:val="Date Char"/>
    <w:link w:val="Date"/>
    <w:rsid w:val="00C42C31"/>
    <w:rPr>
      <w:rFonts w:ascii="Arial" w:hAnsi="Arial"/>
      <w:spacing w:val="-1"/>
      <w:szCs w:val="24"/>
    </w:rPr>
  </w:style>
  <w:style w:type="paragraph" w:styleId="DocumentMap">
    <w:name w:val="Document Map"/>
    <w:basedOn w:val="Normal"/>
    <w:link w:val="DocumentMapChar"/>
    <w:rsid w:val="00C42C31"/>
    <w:pPr>
      <w:spacing w:after="0" w:line="240" w:lineRule="auto"/>
    </w:pPr>
    <w:rPr>
      <w:rFonts w:ascii="Tahoma" w:hAnsi="Tahoma" w:cs="Tahoma"/>
      <w:sz w:val="16"/>
      <w:szCs w:val="16"/>
    </w:rPr>
  </w:style>
  <w:style w:type="character" w:customStyle="1" w:styleId="DocumentMapChar">
    <w:name w:val="Document Map Char"/>
    <w:link w:val="DocumentMap"/>
    <w:rsid w:val="00C42C31"/>
    <w:rPr>
      <w:rFonts w:ascii="Tahoma" w:hAnsi="Tahoma" w:cs="Tahoma"/>
      <w:spacing w:val="-1"/>
      <w:sz w:val="16"/>
      <w:szCs w:val="16"/>
    </w:rPr>
  </w:style>
  <w:style w:type="paragraph" w:styleId="E-mailSignature">
    <w:name w:val="E-mail Signature"/>
    <w:basedOn w:val="Normal"/>
    <w:link w:val="E-mailSignatureChar"/>
    <w:rsid w:val="00C42C31"/>
    <w:pPr>
      <w:spacing w:after="0" w:line="240" w:lineRule="auto"/>
    </w:pPr>
  </w:style>
  <w:style w:type="character" w:customStyle="1" w:styleId="E-mailSignatureChar">
    <w:name w:val="E-mail Signature Char"/>
    <w:link w:val="E-mailSignature"/>
    <w:rsid w:val="00C42C31"/>
    <w:rPr>
      <w:rFonts w:ascii="Arial" w:hAnsi="Arial"/>
      <w:spacing w:val="-1"/>
      <w:szCs w:val="24"/>
    </w:rPr>
  </w:style>
  <w:style w:type="paragraph" w:styleId="EndnoteText">
    <w:name w:val="endnote text"/>
    <w:basedOn w:val="Normal"/>
    <w:link w:val="EndnoteTextChar"/>
    <w:rsid w:val="00C42C31"/>
    <w:pPr>
      <w:spacing w:after="0" w:line="240" w:lineRule="auto"/>
    </w:pPr>
    <w:rPr>
      <w:szCs w:val="20"/>
    </w:rPr>
  </w:style>
  <w:style w:type="character" w:customStyle="1" w:styleId="EndnoteTextChar">
    <w:name w:val="Endnote Text Char"/>
    <w:link w:val="EndnoteText"/>
    <w:rsid w:val="00C42C31"/>
    <w:rPr>
      <w:rFonts w:ascii="Arial" w:hAnsi="Arial"/>
      <w:spacing w:val="-1"/>
    </w:rPr>
  </w:style>
  <w:style w:type="paragraph" w:styleId="FootnoteText">
    <w:name w:val="footnote text"/>
    <w:basedOn w:val="Normal"/>
    <w:link w:val="FootnoteTextChar"/>
    <w:rsid w:val="00C42C31"/>
    <w:pPr>
      <w:spacing w:after="0" w:line="240" w:lineRule="auto"/>
    </w:pPr>
    <w:rPr>
      <w:szCs w:val="20"/>
    </w:rPr>
  </w:style>
  <w:style w:type="character" w:customStyle="1" w:styleId="FootnoteTextChar">
    <w:name w:val="Footnote Text Char"/>
    <w:link w:val="FootnoteText"/>
    <w:rsid w:val="00C42C31"/>
    <w:rPr>
      <w:rFonts w:ascii="Arial" w:hAnsi="Arial"/>
      <w:spacing w:val="-1"/>
    </w:rPr>
  </w:style>
  <w:style w:type="paragraph" w:styleId="HTMLAddress">
    <w:name w:val="HTML Address"/>
    <w:basedOn w:val="Normal"/>
    <w:link w:val="HTMLAddressChar"/>
    <w:rsid w:val="00C42C31"/>
    <w:pPr>
      <w:spacing w:after="0" w:line="240" w:lineRule="auto"/>
    </w:pPr>
    <w:rPr>
      <w:i/>
      <w:iCs/>
    </w:rPr>
  </w:style>
  <w:style w:type="character" w:customStyle="1" w:styleId="HTMLAddressChar">
    <w:name w:val="HTML Address Char"/>
    <w:link w:val="HTMLAddress"/>
    <w:rsid w:val="00C42C31"/>
    <w:rPr>
      <w:rFonts w:ascii="Arial" w:hAnsi="Arial"/>
      <w:i/>
      <w:iCs/>
      <w:spacing w:val="-1"/>
      <w:szCs w:val="24"/>
    </w:rPr>
  </w:style>
  <w:style w:type="paragraph" w:styleId="Index1">
    <w:name w:val="index 1"/>
    <w:basedOn w:val="Normal"/>
    <w:next w:val="Normal"/>
    <w:autoRedefine/>
    <w:rsid w:val="00C42C31"/>
    <w:pPr>
      <w:spacing w:after="0" w:line="240" w:lineRule="auto"/>
      <w:ind w:left="200" w:hanging="200"/>
    </w:pPr>
  </w:style>
  <w:style w:type="paragraph" w:styleId="Index2">
    <w:name w:val="index 2"/>
    <w:basedOn w:val="Normal"/>
    <w:next w:val="Normal"/>
    <w:autoRedefine/>
    <w:rsid w:val="00C42C31"/>
    <w:pPr>
      <w:spacing w:after="0" w:line="240" w:lineRule="auto"/>
      <w:ind w:left="400" w:hanging="200"/>
    </w:pPr>
  </w:style>
  <w:style w:type="paragraph" w:styleId="Index3">
    <w:name w:val="index 3"/>
    <w:basedOn w:val="Normal"/>
    <w:next w:val="Normal"/>
    <w:autoRedefine/>
    <w:rsid w:val="00C42C31"/>
    <w:pPr>
      <w:spacing w:after="0" w:line="240" w:lineRule="auto"/>
      <w:ind w:left="600" w:hanging="200"/>
    </w:pPr>
  </w:style>
  <w:style w:type="paragraph" w:styleId="Index4">
    <w:name w:val="index 4"/>
    <w:basedOn w:val="Normal"/>
    <w:next w:val="Normal"/>
    <w:autoRedefine/>
    <w:rsid w:val="00C42C31"/>
    <w:pPr>
      <w:spacing w:after="0" w:line="240" w:lineRule="auto"/>
      <w:ind w:left="800" w:hanging="200"/>
    </w:pPr>
  </w:style>
  <w:style w:type="paragraph" w:styleId="Index5">
    <w:name w:val="index 5"/>
    <w:basedOn w:val="Normal"/>
    <w:next w:val="Normal"/>
    <w:autoRedefine/>
    <w:rsid w:val="00C42C31"/>
    <w:pPr>
      <w:spacing w:after="0" w:line="240" w:lineRule="auto"/>
      <w:ind w:left="1000" w:hanging="200"/>
    </w:pPr>
  </w:style>
  <w:style w:type="paragraph" w:styleId="Index6">
    <w:name w:val="index 6"/>
    <w:basedOn w:val="Normal"/>
    <w:next w:val="Normal"/>
    <w:autoRedefine/>
    <w:rsid w:val="00C42C31"/>
    <w:pPr>
      <w:spacing w:after="0" w:line="240" w:lineRule="auto"/>
      <w:ind w:left="1200" w:hanging="200"/>
    </w:pPr>
  </w:style>
  <w:style w:type="paragraph" w:styleId="Index7">
    <w:name w:val="index 7"/>
    <w:basedOn w:val="Normal"/>
    <w:next w:val="Normal"/>
    <w:autoRedefine/>
    <w:rsid w:val="00C42C31"/>
    <w:pPr>
      <w:spacing w:after="0" w:line="240" w:lineRule="auto"/>
      <w:ind w:left="1400" w:hanging="200"/>
    </w:pPr>
  </w:style>
  <w:style w:type="paragraph" w:styleId="Index8">
    <w:name w:val="index 8"/>
    <w:basedOn w:val="Normal"/>
    <w:next w:val="Normal"/>
    <w:autoRedefine/>
    <w:rsid w:val="00C42C31"/>
    <w:pPr>
      <w:spacing w:after="0" w:line="240" w:lineRule="auto"/>
      <w:ind w:left="1600" w:hanging="200"/>
    </w:pPr>
  </w:style>
  <w:style w:type="paragraph" w:styleId="Index9">
    <w:name w:val="index 9"/>
    <w:basedOn w:val="Normal"/>
    <w:next w:val="Normal"/>
    <w:autoRedefine/>
    <w:rsid w:val="00C42C31"/>
    <w:pPr>
      <w:spacing w:after="0" w:line="240" w:lineRule="auto"/>
      <w:ind w:left="1800" w:hanging="200"/>
    </w:pPr>
  </w:style>
  <w:style w:type="paragraph" w:styleId="IndexHeading">
    <w:name w:val="index heading"/>
    <w:basedOn w:val="Normal"/>
    <w:next w:val="Index1"/>
    <w:rsid w:val="00C42C31"/>
    <w:rPr>
      <w:rFonts w:ascii="Cambria" w:hAnsi="Cambria"/>
      <w:b/>
      <w:bCs/>
    </w:rPr>
  </w:style>
  <w:style w:type="paragraph" w:styleId="IntenseQuote">
    <w:name w:val="Intense Quote"/>
    <w:basedOn w:val="Normal"/>
    <w:next w:val="Normal"/>
    <w:link w:val="IntenseQuoteChar"/>
    <w:uiPriority w:val="30"/>
    <w:qFormat/>
    <w:rsid w:val="00C42C3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2C31"/>
    <w:rPr>
      <w:rFonts w:ascii="Arial" w:hAnsi="Arial"/>
      <w:b/>
      <w:bCs/>
      <w:i/>
      <w:iCs/>
      <w:color w:val="4F81BD"/>
      <w:spacing w:val="-1"/>
      <w:szCs w:val="24"/>
    </w:rPr>
  </w:style>
  <w:style w:type="paragraph" w:styleId="List">
    <w:name w:val="List"/>
    <w:basedOn w:val="Normal"/>
    <w:rsid w:val="00C42C31"/>
    <w:pPr>
      <w:ind w:left="283" w:hanging="283"/>
      <w:contextualSpacing/>
    </w:pPr>
  </w:style>
  <w:style w:type="paragraph" w:styleId="List2">
    <w:name w:val="List 2"/>
    <w:basedOn w:val="Normal"/>
    <w:rsid w:val="00C42C31"/>
    <w:pPr>
      <w:ind w:left="566" w:hanging="283"/>
      <w:contextualSpacing/>
    </w:pPr>
  </w:style>
  <w:style w:type="paragraph" w:styleId="List3">
    <w:name w:val="List 3"/>
    <w:basedOn w:val="Normal"/>
    <w:rsid w:val="00C42C31"/>
    <w:pPr>
      <w:ind w:left="849" w:hanging="283"/>
      <w:contextualSpacing/>
    </w:pPr>
  </w:style>
  <w:style w:type="paragraph" w:styleId="List4">
    <w:name w:val="List 4"/>
    <w:basedOn w:val="Normal"/>
    <w:rsid w:val="00C42C31"/>
    <w:pPr>
      <w:ind w:left="1132" w:hanging="283"/>
      <w:contextualSpacing/>
    </w:pPr>
  </w:style>
  <w:style w:type="paragraph" w:styleId="List5">
    <w:name w:val="List 5"/>
    <w:basedOn w:val="Normal"/>
    <w:rsid w:val="00C42C31"/>
    <w:pPr>
      <w:ind w:left="1415" w:hanging="283"/>
      <w:contextualSpacing/>
    </w:pPr>
  </w:style>
  <w:style w:type="paragraph" w:styleId="ListBullet">
    <w:name w:val="List Bullet"/>
    <w:basedOn w:val="Normal"/>
    <w:rsid w:val="00C42C31"/>
    <w:pPr>
      <w:numPr>
        <w:numId w:val="5"/>
      </w:numPr>
      <w:contextualSpacing/>
    </w:pPr>
  </w:style>
  <w:style w:type="paragraph" w:styleId="ListBullet2">
    <w:name w:val="List Bullet 2"/>
    <w:basedOn w:val="Normal"/>
    <w:rsid w:val="00C42C31"/>
    <w:pPr>
      <w:numPr>
        <w:numId w:val="6"/>
      </w:numPr>
      <w:contextualSpacing/>
    </w:pPr>
  </w:style>
  <w:style w:type="paragraph" w:styleId="ListBullet3">
    <w:name w:val="List Bullet 3"/>
    <w:basedOn w:val="Normal"/>
    <w:rsid w:val="00C42C31"/>
    <w:pPr>
      <w:numPr>
        <w:numId w:val="7"/>
      </w:numPr>
      <w:contextualSpacing/>
    </w:pPr>
  </w:style>
  <w:style w:type="paragraph" w:styleId="ListBullet4">
    <w:name w:val="List Bullet 4"/>
    <w:basedOn w:val="Normal"/>
    <w:rsid w:val="00C42C31"/>
    <w:pPr>
      <w:numPr>
        <w:numId w:val="8"/>
      </w:numPr>
      <w:contextualSpacing/>
    </w:pPr>
  </w:style>
  <w:style w:type="paragraph" w:styleId="ListBullet5">
    <w:name w:val="List Bullet 5"/>
    <w:basedOn w:val="Normal"/>
    <w:rsid w:val="00C42C31"/>
    <w:pPr>
      <w:numPr>
        <w:numId w:val="9"/>
      </w:numPr>
      <w:contextualSpacing/>
    </w:pPr>
  </w:style>
  <w:style w:type="paragraph" w:styleId="ListContinue">
    <w:name w:val="List Continue"/>
    <w:basedOn w:val="Normal"/>
    <w:rsid w:val="00C42C31"/>
    <w:pPr>
      <w:spacing w:after="120"/>
      <w:ind w:left="283"/>
      <w:contextualSpacing/>
    </w:pPr>
  </w:style>
  <w:style w:type="paragraph" w:styleId="ListContinue2">
    <w:name w:val="List Continue 2"/>
    <w:basedOn w:val="Normal"/>
    <w:rsid w:val="00C42C31"/>
    <w:pPr>
      <w:spacing w:after="120"/>
      <w:ind w:left="566"/>
      <w:contextualSpacing/>
    </w:pPr>
  </w:style>
  <w:style w:type="paragraph" w:styleId="ListContinue3">
    <w:name w:val="List Continue 3"/>
    <w:basedOn w:val="Normal"/>
    <w:rsid w:val="00C42C31"/>
    <w:pPr>
      <w:spacing w:after="120"/>
      <w:ind w:left="849"/>
      <w:contextualSpacing/>
    </w:pPr>
  </w:style>
  <w:style w:type="paragraph" w:styleId="ListContinue4">
    <w:name w:val="List Continue 4"/>
    <w:basedOn w:val="Normal"/>
    <w:rsid w:val="00C42C31"/>
    <w:pPr>
      <w:spacing w:after="120"/>
      <w:ind w:left="1132"/>
      <w:contextualSpacing/>
    </w:pPr>
  </w:style>
  <w:style w:type="paragraph" w:styleId="ListContinue5">
    <w:name w:val="List Continue 5"/>
    <w:basedOn w:val="Normal"/>
    <w:rsid w:val="00C42C31"/>
    <w:pPr>
      <w:spacing w:after="120"/>
      <w:ind w:left="1415"/>
      <w:contextualSpacing/>
    </w:pPr>
  </w:style>
  <w:style w:type="paragraph" w:styleId="ListNumber">
    <w:name w:val="List Number"/>
    <w:basedOn w:val="Normal"/>
    <w:rsid w:val="00C42C31"/>
    <w:pPr>
      <w:numPr>
        <w:numId w:val="10"/>
      </w:numPr>
      <w:contextualSpacing/>
    </w:pPr>
  </w:style>
  <w:style w:type="paragraph" w:styleId="ListNumber2">
    <w:name w:val="List Number 2"/>
    <w:basedOn w:val="Normal"/>
    <w:rsid w:val="00C42C31"/>
    <w:pPr>
      <w:numPr>
        <w:numId w:val="11"/>
      </w:numPr>
      <w:contextualSpacing/>
    </w:pPr>
  </w:style>
  <w:style w:type="paragraph" w:styleId="ListNumber3">
    <w:name w:val="List Number 3"/>
    <w:basedOn w:val="Normal"/>
    <w:rsid w:val="00C42C31"/>
    <w:pPr>
      <w:numPr>
        <w:numId w:val="12"/>
      </w:numPr>
      <w:contextualSpacing/>
    </w:pPr>
  </w:style>
  <w:style w:type="paragraph" w:styleId="ListNumber4">
    <w:name w:val="List Number 4"/>
    <w:basedOn w:val="Normal"/>
    <w:rsid w:val="00C42C31"/>
    <w:pPr>
      <w:numPr>
        <w:numId w:val="13"/>
      </w:numPr>
      <w:contextualSpacing/>
    </w:pPr>
  </w:style>
  <w:style w:type="paragraph" w:styleId="ListNumber5">
    <w:name w:val="List Number 5"/>
    <w:basedOn w:val="Normal"/>
    <w:rsid w:val="00C42C31"/>
    <w:pPr>
      <w:numPr>
        <w:numId w:val="14"/>
      </w:numPr>
      <w:contextualSpacing/>
    </w:pPr>
  </w:style>
  <w:style w:type="paragraph" w:styleId="MacroText">
    <w:name w:val="macro"/>
    <w:link w:val="MacroTextChar"/>
    <w:rsid w:val="00C42C31"/>
    <w:pPr>
      <w:tabs>
        <w:tab w:val="left" w:pos="480"/>
        <w:tab w:val="left" w:pos="960"/>
        <w:tab w:val="left" w:pos="1440"/>
        <w:tab w:val="left" w:pos="1920"/>
        <w:tab w:val="left" w:pos="2400"/>
        <w:tab w:val="left" w:pos="2880"/>
        <w:tab w:val="left" w:pos="3360"/>
        <w:tab w:val="left" w:pos="3840"/>
        <w:tab w:val="left" w:pos="4320"/>
      </w:tabs>
      <w:spacing w:line="200" w:lineRule="exact"/>
    </w:pPr>
    <w:rPr>
      <w:rFonts w:ascii="Consolas" w:hAnsi="Consolas"/>
      <w:spacing w:val="-1"/>
    </w:rPr>
  </w:style>
  <w:style w:type="character" w:customStyle="1" w:styleId="MacroTextChar">
    <w:name w:val="Macro Text Char"/>
    <w:link w:val="MacroText"/>
    <w:rsid w:val="00C42C31"/>
    <w:rPr>
      <w:rFonts w:ascii="Consolas" w:hAnsi="Consolas"/>
      <w:spacing w:val="-1"/>
    </w:rPr>
  </w:style>
  <w:style w:type="paragraph" w:styleId="MessageHeader">
    <w:name w:val="Message Header"/>
    <w:basedOn w:val="Normal"/>
    <w:link w:val="MessageHeaderChar"/>
    <w:rsid w:val="00C42C3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 w:val="24"/>
    </w:rPr>
  </w:style>
  <w:style w:type="character" w:customStyle="1" w:styleId="MessageHeaderChar">
    <w:name w:val="Message Header Char"/>
    <w:link w:val="MessageHeader"/>
    <w:rsid w:val="00C42C31"/>
    <w:rPr>
      <w:rFonts w:ascii="Cambria" w:hAnsi="Cambria"/>
      <w:spacing w:val="-1"/>
      <w:sz w:val="24"/>
      <w:szCs w:val="24"/>
      <w:shd w:val="pct20" w:color="auto" w:fill="auto"/>
    </w:rPr>
  </w:style>
  <w:style w:type="paragraph" w:styleId="NoSpacing">
    <w:name w:val="No Spacing"/>
    <w:uiPriority w:val="1"/>
    <w:qFormat/>
    <w:rsid w:val="00C42C31"/>
    <w:rPr>
      <w:rFonts w:ascii="Arial" w:hAnsi="Arial"/>
      <w:spacing w:val="-1"/>
      <w:szCs w:val="24"/>
    </w:rPr>
  </w:style>
  <w:style w:type="paragraph" w:styleId="NoteHeading">
    <w:name w:val="Note Heading"/>
    <w:basedOn w:val="Normal"/>
    <w:next w:val="Normal"/>
    <w:link w:val="NoteHeadingChar"/>
    <w:rsid w:val="00C42C31"/>
    <w:pPr>
      <w:spacing w:after="0" w:line="240" w:lineRule="auto"/>
    </w:pPr>
  </w:style>
  <w:style w:type="character" w:customStyle="1" w:styleId="NoteHeadingChar">
    <w:name w:val="Note Heading Char"/>
    <w:link w:val="NoteHeading"/>
    <w:rsid w:val="00C42C31"/>
    <w:rPr>
      <w:rFonts w:ascii="Arial" w:hAnsi="Arial"/>
      <w:spacing w:val="-1"/>
      <w:szCs w:val="24"/>
    </w:rPr>
  </w:style>
  <w:style w:type="paragraph" w:styleId="PlainText">
    <w:name w:val="Plain Text"/>
    <w:basedOn w:val="Normal"/>
    <w:link w:val="PlainTextChar"/>
    <w:rsid w:val="00C42C31"/>
    <w:pPr>
      <w:spacing w:after="0" w:line="240" w:lineRule="auto"/>
    </w:pPr>
    <w:rPr>
      <w:rFonts w:ascii="Consolas" w:hAnsi="Consolas"/>
      <w:sz w:val="21"/>
      <w:szCs w:val="21"/>
    </w:rPr>
  </w:style>
  <w:style w:type="character" w:customStyle="1" w:styleId="PlainTextChar">
    <w:name w:val="Plain Text Char"/>
    <w:link w:val="PlainText"/>
    <w:rsid w:val="00C42C31"/>
    <w:rPr>
      <w:rFonts w:ascii="Consolas" w:hAnsi="Consolas"/>
      <w:spacing w:val="-1"/>
      <w:sz w:val="21"/>
      <w:szCs w:val="21"/>
    </w:rPr>
  </w:style>
  <w:style w:type="paragraph" w:styleId="Quote">
    <w:name w:val="Quote"/>
    <w:basedOn w:val="Normal"/>
    <w:next w:val="Normal"/>
    <w:link w:val="QuoteChar"/>
    <w:uiPriority w:val="29"/>
    <w:qFormat/>
    <w:rsid w:val="00C42C31"/>
    <w:rPr>
      <w:i/>
      <w:iCs/>
      <w:color w:val="000000"/>
    </w:rPr>
  </w:style>
  <w:style w:type="character" w:customStyle="1" w:styleId="QuoteChar">
    <w:name w:val="Quote Char"/>
    <w:link w:val="Quote"/>
    <w:uiPriority w:val="29"/>
    <w:rsid w:val="00C42C31"/>
    <w:rPr>
      <w:rFonts w:ascii="Arial" w:hAnsi="Arial"/>
      <w:i/>
      <w:iCs/>
      <w:color w:val="000000"/>
      <w:spacing w:val="-1"/>
      <w:szCs w:val="24"/>
    </w:rPr>
  </w:style>
  <w:style w:type="paragraph" w:styleId="Salutation">
    <w:name w:val="Salutation"/>
    <w:basedOn w:val="Normal"/>
    <w:next w:val="Normal"/>
    <w:link w:val="SalutationChar"/>
    <w:rsid w:val="00C42C31"/>
  </w:style>
  <w:style w:type="character" w:customStyle="1" w:styleId="SalutationChar">
    <w:name w:val="Salutation Char"/>
    <w:link w:val="Salutation"/>
    <w:rsid w:val="00C42C31"/>
    <w:rPr>
      <w:rFonts w:ascii="Arial" w:hAnsi="Arial"/>
      <w:spacing w:val="-1"/>
      <w:szCs w:val="24"/>
    </w:rPr>
  </w:style>
  <w:style w:type="paragraph" w:styleId="Signature">
    <w:name w:val="Signature"/>
    <w:basedOn w:val="Normal"/>
    <w:link w:val="SignatureChar"/>
    <w:rsid w:val="00C42C31"/>
    <w:pPr>
      <w:spacing w:after="0" w:line="240" w:lineRule="auto"/>
      <w:ind w:left="4252"/>
    </w:pPr>
  </w:style>
  <w:style w:type="character" w:customStyle="1" w:styleId="SignatureChar">
    <w:name w:val="Signature Char"/>
    <w:link w:val="Signature"/>
    <w:rsid w:val="00C42C31"/>
    <w:rPr>
      <w:rFonts w:ascii="Arial" w:hAnsi="Arial"/>
      <w:spacing w:val="-1"/>
      <w:szCs w:val="24"/>
    </w:rPr>
  </w:style>
  <w:style w:type="paragraph" w:styleId="TableofAuthorities">
    <w:name w:val="table of authorities"/>
    <w:basedOn w:val="Normal"/>
    <w:next w:val="Normal"/>
    <w:rsid w:val="00C42C31"/>
    <w:pPr>
      <w:spacing w:after="0"/>
      <w:ind w:left="200" w:hanging="200"/>
    </w:pPr>
  </w:style>
  <w:style w:type="paragraph" w:styleId="TableofFigures">
    <w:name w:val="table of figures"/>
    <w:basedOn w:val="Normal"/>
    <w:next w:val="Normal"/>
    <w:rsid w:val="00C42C31"/>
    <w:pPr>
      <w:spacing w:after="0"/>
    </w:pPr>
  </w:style>
  <w:style w:type="paragraph" w:styleId="TOAHeading">
    <w:name w:val="toa heading"/>
    <w:basedOn w:val="Normal"/>
    <w:next w:val="Normal"/>
    <w:rsid w:val="00C42C31"/>
    <w:pPr>
      <w:spacing w:before="120"/>
    </w:pPr>
    <w:rPr>
      <w:rFonts w:ascii="Cambria" w:hAnsi="Cambria"/>
      <w:b/>
      <w:bCs/>
      <w:sz w:val="24"/>
    </w:rPr>
  </w:style>
  <w:style w:type="paragraph" w:styleId="TOC1">
    <w:name w:val="toc 1"/>
    <w:basedOn w:val="Normal"/>
    <w:next w:val="Normal"/>
    <w:autoRedefine/>
    <w:rsid w:val="00C42C31"/>
    <w:pPr>
      <w:spacing w:after="100"/>
    </w:pPr>
  </w:style>
  <w:style w:type="paragraph" w:styleId="TOC2">
    <w:name w:val="toc 2"/>
    <w:basedOn w:val="Normal"/>
    <w:next w:val="Normal"/>
    <w:autoRedefine/>
    <w:rsid w:val="00C42C31"/>
    <w:pPr>
      <w:spacing w:after="100"/>
      <w:ind w:left="200"/>
    </w:pPr>
  </w:style>
  <w:style w:type="paragraph" w:styleId="TOC3">
    <w:name w:val="toc 3"/>
    <w:basedOn w:val="Normal"/>
    <w:next w:val="Normal"/>
    <w:autoRedefine/>
    <w:rsid w:val="00C42C31"/>
    <w:pPr>
      <w:spacing w:after="100"/>
      <w:ind w:left="400"/>
    </w:pPr>
  </w:style>
  <w:style w:type="paragraph" w:styleId="TOC4">
    <w:name w:val="toc 4"/>
    <w:basedOn w:val="Normal"/>
    <w:next w:val="Normal"/>
    <w:autoRedefine/>
    <w:rsid w:val="00C42C31"/>
    <w:pPr>
      <w:spacing w:after="100"/>
      <w:ind w:left="600"/>
    </w:pPr>
  </w:style>
  <w:style w:type="paragraph" w:styleId="TOC5">
    <w:name w:val="toc 5"/>
    <w:basedOn w:val="Normal"/>
    <w:next w:val="Normal"/>
    <w:autoRedefine/>
    <w:rsid w:val="00C42C31"/>
    <w:pPr>
      <w:spacing w:after="100"/>
      <w:ind w:left="800"/>
    </w:pPr>
  </w:style>
  <w:style w:type="paragraph" w:styleId="TOC6">
    <w:name w:val="toc 6"/>
    <w:basedOn w:val="Normal"/>
    <w:next w:val="Normal"/>
    <w:autoRedefine/>
    <w:rsid w:val="00C42C31"/>
    <w:pPr>
      <w:spacing w:after="100"/>
      <w:ind w:left="1000"/>
    </w:pPr>
  </w:style>
  <w:style w:type="paragraph" w:styleId="TOC7">
    <w:name w:val="toc 7"/>
    <w:basedOn w:val="Normal"/>
    <w:next w:val="Normal"/>
    <w:autoRedefine/>
    <w:rsid w:val="00C42C31"/>
    <w:pPr>
      <w:spacing w:after="100"/>
      <w:ind w:left="1200"/>
    </w:pPr>
  </w:style>
  <w:style w:type="paragraph" w:styleId="TOC8">
    <w:name w:val="toc 8"/>
    <w:basedOn w:val="Normal"/>
    <w:next w:val="Normal"/>
    <w:autoRedefine/>
    <w:rsid w:val="00C42C31"/>
    <w:pPr>
      <w:spacing w:after="100"/>
      <w:ind w:left="1400"/>
    </w:pPr>
  </w:style>
  <w:style w:type="paragraph" w:styleId="TOC9">
    <w:name w:val="toc 9"/>
    <w:basedOn w:val="Normal"/>
    <w:next w:val="Normal"/>
    <w:autoRedefine/>
    <w:rsid w:val="00C42C31"/>
    <w:pPr>
      <w:spacing w:after="100"/>
      <w:ind w:left="1600"/>
    </w:pPr>
  </w:style>
  <w:style w:type="paragraph" w:styleId="TOCHeading">
    <w:name w:val="TOC Heading"/>
    <w:basedOn w:val="Heading1"/>
    <w:next w:val="Normal"/>
    <w:uiPriority w:val="39"/>
    <w:semiHidden/>
    <w:unhideWhenUsed/>
    <w:qFormat/>
    <w:rsid w:val="00C42C31"/>
    <w:pPr>
      <w:keepLines/>
      <w:spacing w:before="480" w:after="0"/>
      <w:outlineLvl w:val="9"/>
    </w:pPr>
    <w:rPr>
      <w:rFonts w:ascii="Cambria" w:hAnsi="Cambria" w:cs="Times New Roman"/>
      <w:caps w:val="0"/>
      <w:color w:val="365F91"/>
      <w:sz w:val="28"/>
      <w:szCs w:val="28"/>
    </w:rPr>
  </w:style>
  <w:style w:type="paragraph" w:customStyle="1" w:styleId="BodytextMainstyles">
    <w:name w:val="Bodytext (Main styles)"/>
    <w:basedOn w:val="Normal"/>
    <w:uiPriority w:val="99"/>
    <w:rsid w:val="00C42C31"/>
    <w:pPr>
      <w:tabs>
        <w:tab w:val="left" w:pos="142"/>
        <w:tab w:val="left" w:pos="227"/>
      </w:tabs>
      <w:suppressAutoHyphens/>
      <w:autoSpaceDE w:val="0"/>
      <w:autoSpaceDN w:val="0"/>
      <w:adjustRightInd w:val="0"/>
      <w:spacing w:after="115" w:line="210" w:lineRule="atLeast"/>
      <w:textAlignment w:val="center"/>
    </w:pPr>
    <w:rPr>
      <w:rFonts w:ascii="Delta BQ Light" w:hAnsi="Delta BQ Light" w:cs="Delta BQ Light"/>
      <w:color w:val="000000"/>
      <w:spacing w:val="-3"/>
      <w:sz w:val="17"/>
      <w:szCs w:val="17"/>
    </w:rPr>
  </w:style>
  <w:style w:type="paragraph" w:customStyle="1" w:styleId="Heading3Mainstyles">
    <w:name w:val="Heading 3 (Main styles)"/>
    <w:basedOn w:val="Normal"/>
    <w:uiPriority w:val="99"/>
    <w:rsid w:val="00C42C31"/>
    <w:pPr>
      <w:tabs>
        <w:tab w:val="left" w:pos="142"/>
        <w:tab w:val="left" w:pos="227"/>
      </w:tabs>
      <w:suppressAutoHyphens/>
      <w:autoSpaceDE w:val="0"/>
      <w:autoSpaceDN w:val="0"/>
      <w:adjustRightInd w:val="0"/>
      <w:spacing w:before="115" w:after="57" w:line="230" w:lineRule="atLeast"/>
      <w:textAlignment w:val="center"/>
    </w:pPr>
    <w:rPr>
      <w:rFonts w:ascii="Delta BQ Light" w:hAnsi="Delta BQ Light" w:cs="Delta BQ Light"/>
      <w:color w:val="007298"/>
      <w:spacing w:val="-4"/>
      <w:szCs w:val="20"/>
    </w:rPr>
  </w:style>
  <w:style w:type="paragraph" w:customStyle="1" w:styleId="FRBodytextMainstyles">
    <w:name w:val="FR Bodytext (Main styles)"/>
    <w:basedOn w:val="Normal"/>
    <w:uiPriority w:val="99"/>
    <w:rsid w:val="00C42C31"/>
    <w:pPr>
      <w:tabs>
        <w:tab w:val="left" w:pos="142"/>
        <w:tab w:val="left" w:pos="227"/>
      </w:tabs>
      <w:suppressAutoHyphens/>
      <w:autoSpaceDE w:val="0"/>
      <w:autoSpaceDN w:val="0"/>
      <w:adjustRightInd w:val="0"/>
      <w:spacing w:after="96" w:line="210" w:lineRule="atLeast"/>
      <w:textAlignment w:val="center"/>
    </w:pPr>
    <w:rPr>
      <w:rFonts w:ascii="Delta BQ Light" w:eastAsia="Calibri" w:hAnsi="Delta BQ Light" w:cs="Delta BQ Light"/>
      <w:color w:val="000000"/>
      <w:spacing w:val="-3"/>
      <w:sz w:val="17"/>
      <w:szCs w:val="17"/>
      <w:lang w:eastAsia="en-US"/>
    </w:rPr>
  </w:style>
  <w:style w:type="paragraph" w:customStyle="1" w:styleId="BodytextFootnotesMainstyles">
    <w:name w:val="Bodytext_Footnotes (Main styles)"/>
    <w:basedOn w:val="FRBodytextMainstyles"/>
    <w:uiPriority w:val="99"/>
    <w:rsid w:val="00C42C31"/>
    <w:pPr>
      <w:spacing w:after="28" w:line="140" w:lineRule="atLeast"/>
    </w:pPr>
    <w:rPr>
      <w:spacing w:val="-2"/>
      <w:sz w:val="12"/>
      <w:szCs w:val="12"/>
    </w:rPr>
  </w:style>
  <w:style w:type="character" w:styleId="EndnoteReference">
    <w:name w:val="endnote reference"/>
    <w:rsid w:val="00C42C31"/>
    <w:rPr>
      <w:vertAlign w:val="superscript"/>
    </w:rPr>
  </w:style>
  <w:style w:type="paragraph" w:customStyle="1" w:styleId="NoParagraphStyle">
    <w:name w:val="[No Paragraph Style]"/>
    <w:rsid w:val="009A5BED"/>
    <w:pPr>
      <w:autoSpaceDE w:val="0"/>
      <w:autoSpaceDN w:val="0"/>
      <w:adjustRightInd w:val="0"/>
      <w:spacing w:line="288" w:lineRule="auto"/>
      <w:textAlignment w:val="center"/>
    </w:pPr>
    <w:rPr>
      <w:rFonts w:ascii="Times Regular" w:hAnsi="Times Regular" w:cs="Times Regular"/>
      <w:color w:val="000000"/>
      <w:sz w:val="24"/>
      <w:szCs w:val="24"/>
    </w:rPr>
  </w:style>
  <w:style w:type="paragraph" w:customStyle="1" w:styleId="BodyIntro">
    <w:name w:val="BodyIntro"/>
    <w:basedOn w:val="NoParagraphStyle"/>
    <w:uiPriority w:val="99"/>
    <w:rsid w:val="009A5BED"/>
    <w:pPr>
      <w:tabs>
        <w:tab w:val="left" w:pos="142"/>
        <w:tab w:val="left" w:pos="227"/>
      </w:tabs>
      <w:suppressAutoHyphens/>
      <w:spacing w:after="227" w:line="280" w:lineRule="atLeast"/>
    </w:pPr>
    <w:rPr>
      <w:rFonts w:ascii="Delta BQ Light" w:hAnsi="Delta BQ Light" w:cs="Delta BQ Light"/>
      <w:color w:val="0089FA"/>
      <w:spacing w:val="-5"/>
    </w:rPr>
  </w:style>
  <w:style w:type="paragraph" w:customStyle="1" w:styleId="BodyText1">
    <w:name w:val="BodyText"/>
    <w:basedOn w:val="NoParagraphStyle"/>
    <w:uiPriority w:val="99"/>
    <w:rsid w:val="009A5BED"/>
    <w:pPr>
      <w:tabs>
        <w:tab w:val="left" w:pos="142"/>
        <w:tab w:val="left" w:pos="227"/>
      </w:tabs>
      <w:suppressAutoHyphens/>
      <w:spacing w:after="120" w:line="210" w:lineRule="atLeast"/>
    </w:pPr>
    <w:rPr>
      <w:rFonts w:ascii="Delta BQ Light" w:hAnsi="Delta BQ Light" w:cs="Delta BQ Light"/>
      <w:color w:val="0F2331"/>
      <w:spacing w:val="-3"/>
      <w:sz w:val="17"/>
      <w:szCs w:val="17"/>
    </w:rPr>
  </w:style>
  <w:style w:type="character" w:customStyle="1" w:styleId="Book">
    <w:name w:val="Book"/>
    <w:uiPriority w:val="99"/>
    <w:rsid w:val="009A5BED"/>
  </w:style>
  <w:style w:type="paragraph" w:customStyle="1" w:styleId="Heading18ptLeft">
    <w:name w:val="Heading18ptLeft"/>
    <w:basedOn w:val="Normal"/>
    <w:uiPriority w:val="99"/>
    <w:rsid w:val="009A5BED"/>
    <w:pPr>
      <w:suppressAutoHyphens/>
      <w:autoSpaceDE w:val="0"/>
      <w:autoSpaceDN w:val="0"/>
      <w:adjustRightInd w:val="0"/>
      <w:spacing w:after="0" w:line="400" w:lineRule="atLeast"/>
      <w:textAlignment w:val="center"/>
    </w:pPr>
    <w:rPr>
      <w:rFonts w:ascii="Delta BQ Light" w:hAnsi="Delta BQ Light" w:cs="Delta BQ Light"/>
      <w:color w:val="0089FA"/>
      <w:spacing w:val="-4"/>
      <w:sz w:val="36"/>
      <w:szCs w:val="36"/>
    </w:rPr>
  </w:style>
  <w:style w:type="character" w:customStyle="1" w:styleId="RedColours">
    <w:name w:val="Red (Colours)"/>
    <w:uiPriority w:val="99"/>
    <w:rsid w:val="009A5BED"/>
    <w:rPr>
      <w:color w:val="D60000"/>
    </w:rPr>
  </w:style>
  <w:style w:type="paragraph" w:customStyle="1" w:styleId="Heading10">
    <w:name w:val="Heading1"/>
    <w:basedOn w:val="NoParagraphStyle"/>
    <w:uiPriority w:val="99"/>
    <w:rsid w:val="009A5BED"/>
    <w:pPr>
      <w:tabs>
        <w:tab w:val="left" w:pos="142"/>
        <w:tab w:val="left" w:pos="227"/>
      </w:tabs>
      <w:suppressAutoHyphens/>
      <w:spacing w:before="115" w:after="57" w:line="230" w:lineRule="atLeast"/>
    </w:pPr>
    <w:rPr>
      <w:rFonts w:ascii="Delta BQ Light" w:hAnsi="Delta BQ Light" w:cs="Delta BQ Light"/>
      <w:color w:val="0089FA"/>
      <w:spacing w:val="-4"/>
      <w:sz w:val="20"/>
      <w:szCs w:val="20"/>
    </w:rPr>
  </w:style>
  <w:style w:type="paragraph" w:customStyle="1" w:styleId="TitleContinued">
    <w:name w:val="TitleContinued"/>
    <w:basedOn w:val="NoParagraphStyle"/>
    <w:uiPriority w:val="99"/>
    <w:rsid w:val="009A5BED"/>
    <w:pPr>
      <w:suppressAutoHyphens/>
      <w:spacing w:after="170" w:line="480" w:lineRule="atLeast"/>
      <w:jc w:val="center"/>
    </w:pPr>
    <w:rPr>
      <w:rFonts w:ascii="Delta BQ Light" w:hAnsi="Delta BQ Light" w:cs="Delta BQ Light"/>
      <w:color w:val="0089FA"/>
      <w:spacing w:val="-4"/>
      <w:sz w:val="44"/>
      <w:szCs w:val="44"/>
    </w:rPr>
  </w:style>
  <w:style w:type="paragraph" w:customStyle="1" w:styleId="Heading12ptLeft">
    <w:name w:val="Heading12ptLeft"/>
    <w:basedOn w:val="NoParagraphStyle"/>
    <w:uiPriority w:val="99"/>
    <w:rsid w:val="009A5BED"/>
    <w:pPr>
      <w:tabs>
        <w:tab w:val="left" w:pos="142"/>
        <w:tab w:val="left" w:pos="227"/>
      </w:tabs>
      <w:suppressAutoHyphens/>
      <w:spacing w:after="113" w:line="280" w:lineRule="atLeast"/>
    </w:pPr>
    <w:rPr>
      <w:rFonts w:ascii="Delta BQ Light" w:hAnsi="Delta BQ Light" w:cs="Delta BQ Light"/>
      <w:color w:val="0089FA"/>
      <w:spacing w:val="-5"/>
    </w:rPr>
  </w:style>
  <w:style w:type="character" w:customStyle="1" w:styleId="7474Colours">
    <w:name w:val="7474 (Colours)"/>
    <w:uiPriority w:val="99"/>
    <w:rsid w:val="009A5BED"/>
    <w:rPr>
      <w:color w:val="297380"/>
    </w:rPr>
  </w:style>
  <w:style w:type="paragraph" w:customStyle="1" w:styleId="Bullet">
    <w:name w:val="Bullet"/>
    <w:basedOn w:val="NoParagraphStyle"/>
    <w:link w:val="BulletChar"/>
    <w:qFormat/>
    <w:rsid w:val="009A5BED"/>
    <w:pPr>
      <w:tabs>
        <w:tab w:val="left" w:pos="397"/>
      </w:tabs>
      <w:suppressAutoHyphens/>
      <w:spacing w:after="115" w:line="210" w:lineRule="atLeast"/>
      <w:ind w:left="170" w:hanging="170"/>
    </w:pPr>
    <w:rPr>
      <w:rFonts w:ascii="Delta BQ Light" w:hAnsi="Delta BQ Light" w:cs="Delta BQ Light"/>
      <w:color w:val="0F2331"/>
      <w:spacing w:val="-3"/>
      <w:sz w:val="17"/>
      <w:szCs w:val="17"/>
    </w:rPr>
  </w:style>
  <w:style w:type="character" w:customStyle="1" w:styleId="TitleChar">
    <w:name w:val="Title Char"/>
    <w:basedOn w:val="DefaultParagraphFont"/>
    <w:link w:val="Title"/>
    <w:rsid w:val="009A5BED"/>
    <w:rPr>
      <w:rFonts w:ascii="Book Antiqua" w:hAnsi="Book Antiqua" w:cs="Arial"/>
      <w:b/>
      <w:spacing w:val="-1"/>
      <w:sz w:val="22"/>
      <w:szCs w:val="24"/>
    </w:rPr>
  </w:style>
  <w:style w:type="paragraph" w:customStyle="1" w:styleId="Heading20">
    <w:name w:val="Heading2"/>
    <w:basedOn w:val="NoParagraphStyle"/>
    <w:uiPriority w:val="99"/>
    <w:rsid w:val="009A5BED"/>
    <w:pPr>
      <w:keepNext/>
      <w:tabs>
        <w:tab w:val="left" w:pos="142"/>
        <w:tab w:val="left" w:pos="227"/>
      </w:tabs>
      <w:suppressAutoHyphens/>
      <w:spacing w:before="115" w:after="57" w:line="210" w:lineRule="atLeast"/>
    </w:pPr>
    <w:rPr>
      <w:rFonts w:ascii="Delta BQ Light" w:hAnsi="Delta BQ Light" w:cs="Delta BQ Light"/>
      <w:color w:val="0089FA"/>
      <w:spacing w:val="-3"/>
      <w:sz w:val="17"/>
      <w:szCs w:val="17"/>
    </w:rPr>
  </w:style>
  <w:style w:type="paragraph" w:customStyle="1" w:styleId="FootnoteNumber">
    <w:name w:val="FootnoteNumber"/>
    <w:basedOn w:val="NoParagraphStyle"/>
    <w:uiPriority w:val="99"/>
    <w:rsid w:val="009A5BED"/>
    <w:pPr>
      <w:tabs>
        <w:tab w:val="left" w:pos="227"/>
      </w:tabs>
      <w:suppressAutoHyphens/>
      <w:spacing w:after="57" w:line="140" w:lineRule="atLeast"/>
      <w:ind w:left="142" w:hanging="142"/>
    </w:pPr>
    <w:rPr>
      <w:rFonts w:ascii="Delta BQ Light" w:hAnsi="Delta BQ Light" w:cs="Delta BQ Light"/>
      <w:color w:val="0F2331"/>
      <w:spacing w:val="-2"/>
      <w:sz w:val="12"/>
      <w:szCs w:val="12"/>
    </w:rPr>
  </w:style>
  <w:style w:type="paragraph" w:customStyle="1" w:styleId="SignOffName">
    <w:name w:val="SignOffName"/>
    <w:basedOn w:val="NoParagraphStyle"/>
    <w:uiPriority w:val="99"/>
    <w:rsid w:val="005D6309"/>
    <w:pPr>
      <w:pBdr>
        <w:top w:val="single" w:sz="2" w:space="11" w:color="0F2331"/>
      </w:pBdr>
      <w:tabs>
        <w:tab w:val="left" w:pos="142"/>
        <w:tab w:val="left" w:pos="227"/>
      </w:tabs>
      <w:suppressAutoHyphens/>
      <w:spacing w:before="345" w:line="210" w:lineRule="atLeast"/>
    </w:pPr>
    <w:rPr>
      <w:rFonts w:ascii="Delta BQ Light" w:hAnsi="Delta BQ Light" w:cs="Delta BQ Light"/>
      <w:color w:val="0089FA"/>
      <w:spacing w:val="-2"/>
      <w:sz w:val="17"/>
      <w:szCs w:val="17"/>
    </w:rPr>
  </w:style>
  <w:style w:type="paragraph" w:customStyle="1" w:styleId="SignOffTitle">
    <w:name w:val="SignOffTitle"/>
    <w:basedOn w:val="BodyText1"/>
    <w:uiPriority w:val="99"/>
    <w:rsid w:val="005D6309"/>
  </w:style>
  <w:style w:type="character" w:customStyle="1" w:styleId="TabletextBook">
    <w:name w:val="TabletextBook"/>
    <w:basedOn w:val="DefaultParagraphFont"/>
    <w:uiPriority w:val="1"/>
    <w:qFormat/>
    <w:rsid w:val="009420C8"/>
    <w:rPr>
      <w:rFonts w:ascii="Delta BQ Book" w:hAnsi="Delta BQ Book"/>
      <w:caps/>
      <w:smallCaps w:val="0"/>
      <w:color w:val="000000" w:themeColor="text1"/>
      <w:sz w:val="17"/>
    </w:rPr>
  </w:style>
  <w:style w:type="paragraph" w:customStyle="1" w:styleId="TableColHeadsBoldLeft0">
    <w:name w:val="TableColHeadsBoldLeft"/>
    <w:basedOn w:val="TableColHeadsBold"/>
    <w:qFormat/>
    <w:rsid w:val="009420C8"/>
    <w:pPr>
      <w:jc w:val="left"/>
    </w:pPr>
    <w:rPr>
      <w:b w:val="0"/>
      <w:sz w:val="14"/>
    </w:rPr>
  </w:style>
  <w:style w:type="paragraph" w:customStyle="1" w:styleId="TableColHeadsTableStyles">
    <w:name w:val="TableColHeads (TableStyles)"/>
    <w:basedOn w:val="NoParagraphStyle"/>
    <w:uiPriority w:val="99"/>
    <w:rsid w:val="002A0121"/>
    <w:pPr>
      <w:suppressAutoHyphens/>
      <w:spacing w:line="160" w:lineRule="atLeast"/>
      <w:ind w:right="42"/>
      <w:jc w:val="right"/>
    </w:pPr>
    <w:rPr>
      <w:rFonts w:ascii="Delta BQ Book" w:hAnsi="Delta BQ Book" w:cs="Delta BQ Book"/>
      <w:color w:val="297380"/>
      <w:sz w:val="15"/>
      <w:szCs w:val="15"/>
    </w:rPr>
  </w:style>
  <w:style w:type="paragraph" w:customStyle="1" w:styleId="TableTextTableStyles">
    <w:name w:val="TableText (TableStyles)"/>
    <w:basedOn w:val="NoParagraphStyle"/>
    <w:uiPriority w:val="99"/>
    <w:rsid w:val="002A0121"/>
    <w:pPr>
      <w:suppressAutoHyphens/>
      <w:spacing w:after="57" w:line="170" w:lineRule="atLeast"/>
    </w:pPr>
    <w:rPr>
      <w:rFonts w:ascii="Delta BQ Light" w:hAnsi="Delta BQ Light" w:cs="Delta BQ Light"/>
      <w:color w:val="0F2331"/>
      <w:sz w:val="14"/>
      <w:szCs w:val="14"/>
    </w:rPr>
  </w:style>
  <w:style w:type="paragraph" w:customStyle="1" w:styleId="TableFiguresTableStyles">
    <w:name w:val="TableFigures (TableStyles)"/>
    <w:basedOn w:val="NoParagraphStyle"/>
    <w:uiPriority w:val="99"/>
    <w:rsid w:val="002A0121"/>
    <w:pPr>
      <w:suppressAutoHyphens/>
      <w:spacing w:line="170" w:lineRule="atLeast"/>
      <w:ind w:right="42"/>
      <w:jc w:val="right"/>
    </w:pPr>
    <w:rPr>
      <w:rFonts w:ascii="Delta BQ Light" w:hAnsi="Delta BQ Light" w:cs="Delta BQ Light"/>
      <w:color w:val="0F2331"/>
      <w:sz w:val="14"/>
      <w:szCs w:val="14"/>
    </w:rPr>
  </w:style>
  <w:style w:type="paragraph" w:customStyle="1" w:styleId="TableFiguresBoldTableStyles">
    <w:name w:val="TableFiguresBold (TableStyles)"/>
    <w:basedOn w:val="TableFiguresTableStyles"/>
    <w:uiPriority w:val="99"/>
    <w:rsid w:val="002A0121"/>
    <w:rPr>
      <w:rFonts w:ascii="Delta BQ Book" w:hAnsi="Delta BQ Book" w:cs="Delta BQ Book"/>
    </w:rPr>
  </w:style>
  <w:style w:type="paragraph" w:customStyle="1" w:styleId="TableFiguresBracketsTableStyles">
    <w:name w:val="TableFiguresBrackets (TableStyles)"/>
    <w:basedOn w:val="NoParagraphStyle"/>
    <w:uiPriority w:val="99"/>
    <w:rsid w:val="002A0121"/>
    <w:pPr>
      <w:suppressAutoHyphens/>
      <w:spacing w:line="170" w:lineRule="atLeast"/>
      <w:jc w:val="right"/>
    </w:pPr>
    <w:rPr>
      <w:rFonts w:ascii="Delta BQ Light" w:hAnsi="Delta BQ Light" w:cs="Delta BQ Light"/>
      <w:color w:val="0F2331"/>
      <w:sz w:val="14"/>
      <w:szCs w:val="14"/>
    </w:rPr>
  </w:style>
  <w:style w:type="paragraph" w:customStyle="1" w:styleId="TitleFinancials">
    <w:name w:val="TitleFinancials"/>
    <w:basedOn w:val="NoParagraphStyle"/>
    <w:uiPriority w:val="99"/>
    <w:rsid w:val="002A0121"/>
    <w:pPr>
      <w:suppressAutoHyphens/>
      <w:spacing w:before="170" w:after="170" w:line="480" w:lineRule="atLeast"/>
      <w:jc w:val="center"/>
    </w:pPr>
    <w:rPr>
      <w:rFonts w:ascii="Delta BQ Light" w:hAnsi="Delta BQ Light" w:cs="Delta BQ Light"/>
      <w:color w:val="297380"/>
      <w:spacing w:val="-4"/>
      <w:sz w:val="44"/>
      <w:szCs w:val="44"/>
    </w:rPr>
  </w:style>
  <w:style w:type="paragraph" w:customStyle="1" w:styleId="ForTheYearContinuedFinancials">
    <w:name w:val="ForTheYear_ContinuedFinancials"/>
    <w:basedOn w:val="NoParagraphStyle"/>
    <w:uiPriority w:val="99"/>
    <w:rsid w:val="002A0121"/>
    <w:pPr>
      <w:suppressAutoHyphens/>
      <w:spacing w:after="170" w:line="240" w:lineRule="atLeast"/>
      <w:jc w:val="center"/>
    </w:pPr>
    <w:rPr>
      <w:rFonts w:ascii="Delta BQ Light" w:hAnsi="Delta BQ Light" w:cs="Delta BQ Light"/>
      <w:color w:val="0F2331"/>
      <w:sz w:val="20"/>
      <w:szCs w:val="20"/>
    </w:rPr>
  </w:style>
  <w:style w:type="paragraph" w:customStyle="1" w:styleId="BodyTextFinancials">
    <w:name w:val="BodyTextFinancials"/>
    <w:basedOn w:val="NoParagraphStyle"/>
    <w:uiPriority w:val="99"/>
    <w:rsid w:val="002A0121"/>
    <w:pPr>
      <w:tabs>
        <w:tab w:val="left" w:pos="142"/>
        <w:tab w:val="left" w:pos="227"/>
      </w:tabs>
      <w:suppressAutoHyphens/>
      <w:spacing w:after="80" w:line="200" w:lineRule="atLeast"/>
    </w:pPr>
    <w:rPr>
      <w:rFonts w:ascii="Delta BQ Light" w:hAnsi="Delta BQ Light" w:cs="Delta BQ Light"/>
      <w:color w:val="0F2331"/>
      <w:spacing w:val="-3"/>
      <w:sz w:val="16"/>
      <w:szCs w:val="16"/>
    </w:rPr>
  </w:style>
  <w:style w:type="paragraph" w:customStyle="1" w:styleId="TableTextGreenTableStyles">
    <w:name w:val="TableTextGreen (TableStyles)"/>
    <w:basedOn w:val="NoParagraphStyle"/>
    <w:uiPriority w:val="99"/>
    <w:rsid w:val="002A0121"/>
    <w:pPr>
      <w:suppressAutoHyphens/>
      <w:spacing w:line="170" w:lineRule="atLeast"/>
    </w:pPr>
    <w:rPr>
      <w:rFonts w:ascii="Delta BQ Book" w:hAnsi="Delta BQ Book" w:cs="Delta BQ Book"/>
      <w:color w:val="297380"/>
      <w:sz w:val="14"/>
      <w:szCs w:val="14"/>
    </w:rPr>
  </w:style>
  <w:style w:type="paragraph" w:customStyle="1" w:styleId="TableColHeadsLeftTableStyles">
    <w:name w:val="TableColHeadsLeft (TableStyles)"/>
    <w:basedOn w:val="TableColHeadsTableStyles"/>
    <w:uiPriority w:val="99"/>
    <w:rsid w:val="002A0121"/>
    <w:pPr>
      <w:jc w:val="left"/>
    </w:pPr>
  </w:style>
  <w:style w:type="paragraph" w:customStyle="1" w:styleId="TableFiguresBracketsBoldTableStyles">
    <w:name w:val="TableFiguresBracketsBold (TableStyles)"/>
    <w:basedOn w:val="Normal"/>
    <w:uiPriority w:val="99"/>
    <w:rsid w:val="002A0121"/>
    <w:pPr>
      <w:suppressAutoHyphens/>
      <w:autoSpaceDE w:val="0"/>
      <w:autoSpaceDN w:val="0"/>
      <w:adjustRightInd w:val="0"/>
      <w:spacing w:after="57" w:line="170" w:lineRule="atLeast"/>
      <w:jc w:val="right"/>
      <w:textAlignment w:val="center"/>
    </w:pPr>
    <w:rPr>
      <w:rFonts w:ascii="Delta BQ Book" w:hAnsi="Delta BQ Book" w:cs="Delta BQ Book"/>
      <w:color w:val="0F2331"/>
      <w:spacing w:val="0"/>
      <w:sz w:val="14"/>
      <w:szCs w:val="14"/>
    </w:rPr>
  </w:style>
  <w:style w:type="paragraph" w:customStyle="1" w:styleId="FootnoteNumberContinue">
    <w:name w:val="FootnoteNumber_Continue"/>
    <w:basedOn w:val="NoParagraphStyle"/>
    <w:uiPriority w:val="99"/>
    <w:rsid w:val="002A0121"/>
    <w:pPr>
      <w:tabs>
        <w:tab w:val="left" w:pos="227"/>
      </w:tabs>
      <w:suppressAutoHyphens/>
      <w:spacing w:after="57" w:line="140" w:lineRule="atLeast"/>
      <w:ind w:left="142" w:hanging="142"/>
    </w:pPr>
    <w:rPr>
      <w:rFonts w:ascii="Delta BQ Light" w:hAnsi="Delta BQ Light" w:cs="Delta BQ Light"/>
      <w:color w:val="0F2331"/>
      <w:spacing w:val="-2"/>
      <w:sz w:val="12"/>
      <w:szCs w:val="12"/>
    </w:rPr>
  </w:style>
  <w:style w:type="paragraph" w:customStyle="1" w:styleId="Heading1Financials">
    <w:name w:val="Heading1Financials"/>
    <w:basedOn w:val="NoParagraphStyle"/>
    <w:uiPriority w:val="99"/>
    <w:rsid w:val="002A0121"/>
    <w:pPr>
      <w:tabs>
        <w:tab w:val="left" w:pos="142"/>
        <w:tab w:val="left" w:pos="227"/>
      </w:tabs>
      <w:suppressAutoHyphens/>
      <w:spacing w:before="115" w:line="230" w:lineRule="atLeast"/>
    </w:pPr>
    <w:rPr>
      <w:rFonts w:ascii="Delta BQ Light" w:hAnsi="Delta BQ Light" w:cs="Delta BQ Light"/>
      <w:color w:val="297380"/>
      <w:spacing w:val="-4"/>
      <w:sz w:val="20"/>
      <w:szCs w:val="20"/>
    </w:rPr>
  </w:style>
  <w:style w:type="paragraph" w:customStyle="1" w:styleId="Heading2Financials">
    <w:name w:val="Heading2Financials"/>
    <w:basedOn w:val="NoParagraphStyle"/>
    <w:uiPriority w:val="99"/>
    <w:rsid w:val="002A0121"/>
    <w:pPr>
      <w:tabs>
        <w:tab w:val="left" w:pos="142"/>
        <w:tab w:val="left" w:pos="227"/>
      </w:tabs>
      <w:suppressAutoHyphens/>
      <w:spacing w:before="60" w:line="210" w:lineRule="atLeast"/>
    </w:pPr>
    <w:rPr>
      <w:rFonts w:ascii="Delta BQ Light" w:hAnsi="Delta BQ Light" w:cs="Delta BQ Light"/>
      <w:color w:val="297380"/>
      <w:spacing w:val="-3"/>
      <w:sz w:val="17"/>
      <w:szCs w:val="17"/>
    </w:rPr>
  </w:style>
  <w:style w:type="paragraph" w:customStyle="1" w:styleId="TableColHeadsBoldTableStyles">
    <w:name w:val="TableColHeadsBold (TableStyles)"/>
    <w:basedOn w:val="TableColHeadsTableStyles"/>
    <w:uiPriority w:val="99"/>
    <w:rsid w:val="002A0121"/>
    <w:pPr>
      <w:ind w:right="57"/>
    </w:pPr>
    <w:rPr>
      <w:rFonts w:ascii="Delta BQ Medium" w:hAnsi="Delta BQ Medium" w:cs="Delta BQ Medium"/>
    </w:rPr>
  </w:style>
  <w:style w:type="character" w:customStyle="1" w:styleId="Continued">
    <w:name w:val="Continued"/>
    <w:uiPriority w:val="99"/>
    <w:rsid w:val="003F7682"/>
    <w:rPr>
      <w:rFonts w:ascii="Delta BQ Light" w:hAnsi="Delta BQ Light" w:cs="Delta BQ Light"/>
    </w:rPr>
  </w:style>
  <w:style w:type="paragraph" w:customStyle="1" w:styleId="TableTextBookTableStyles">
    <w:name w:val="TableTextBook (TableStyles)"/>
    <w:basedOn w:val="TableTextTableStyles"/>
    <w:uiPriority w:val="99"/>
    <w:rsid w:val="003C3A70"/>
    <w:rPr>
      <w:rFonts w:ascii="Delta BQ Book" w:hAnsi="Delta BQ Book" w:cs="Delta BQ Book"/>
    </w:rPr>
  </w:style>
  <w:style w:type="paragraph" w:customStyle="1" w:styleId="Bodycopy">
    <w:name w:val="Body copy"/>
    <w:basedOn w:val="Normal"/>
    <w:qFormat/>
    <w:rsid w:val="000223FF"/>
    <w:pPr>
      <w:spacing w:after="120" w:line="240" w:lineRule="exact"/>
    </w:pPr>
    <w:rPr>
      <w:rFonts w:eastAsia="Calibri"/>
      <w:spacing w:val="0"/>
      <w:szCs w:val="22"/>
      <w:lang w:val="en-AU" w:eastAsia="en-US"/>
    </w:rPr>
  </w:style>
  <w:style w:type="paragraph" w:styleId="Revision">
    <w:name w:val="Revision"/>
    <w:hidden/>
    <w:uiPriority w:val="99"/>
    <w:semiHidden/>
    <w:rsid w:val="000F5BAF"/>
    <w:rPr>
      <w:rFonts w:ascii="Arial" w:hAnsi="Arial"/>
      <w:spacing w:val="-1"/>
      <w:szCs w:val="24"/>
    </w:rPr>
  </w:style>
  <w:style w:type="paragraph" w:customStyle="1" w:styleId="BodySingle">
    <w:name w:val="Body Single"/>
    <w:basedOn w:val="BodyText"/>
    <w:link w:val="BodySingleChar"/>
    <w:uiPriority w:val="1"/>
    <w:qFormat/>
    <w:rsid w:val="00227574"/>
    <w:pPr>
      <w:tabs>
        <w:tab w:val="clear" w:pos="702"/>
      </w:tabs>
      <w:spacing w:after="0" w:line="240" w:lineRule="auto"/>
    </w:pPr>
    <w:rPr>
      <w:rFonts w:ascii="Georgia" w:eastAsiaTheme="minorEastAsia" w:hAnsi="Georgia"/>
      <w:b w:val="0"/>
      <w:sz w:val="18"/>
      <w:lang w:eastAsia="en-US"/>
    </w:rPr>
  </w:style>
  <w:style w:type="character" w:customStyle="1" w:styleId="BodySingleChar">
    <w:name w:val="Body Single Char"/>
    <w:basedOn w:val="BodyTextChar"/>
    <w:link w:val="BodySingle"/>
    <w:uiPriority w:val="1"/>
    <w:locked/>
    <w:rsid w:val="00227574"/>
    <w:rPr>
      <w:rFonts w:ascii="Georgia" w:eastAsiaTheme="minorEastAsia" w:hAnsi="Georgia" w:cs="Arial"/>
      <w:b w:val="0"/>
      <w:spacing w:val="-1"/>
      <w:sz w:val="18"/>
      <w:szCs w:val="24"/>
      <w:lang w:eastAsia="en-US"/>
    </w:rPr>
  </w:style>
  <w:style w:type="paragraph" w:customStyle="1" w:styleId="LetteredFootnote">
    <w:name w:val="LetteredFootnote"/>
    <w:basedOn w:val="BodyText"/>
    <w:autoRedefine/>
    <w:qFormat/>
    <w:rsid w:val="00227574"/>
    <w:pPr>
      <w:tabs>
        <w:tab w:val="clear" w:pos="702"/>
        <w:tab w:val="num" w:pos="360"/>
      </w:tabs>
      <w:spacing w:after="120" w:line="240" w:lineRule="auto"/>
      <w:ind w:left="720" w:hanging="360"/>
    </w:pPr>
    <w:rPr>
      <w:rFonts w:ascii="Georgia" w:eastAsiaTheme="minorEastAsia" w:hAnsi="Georgia" w:cs="Times New Roman"/>
      <w:b w:val="0"/>
      <w:spacing w:val="0"/>
      <w:sz w:val="18"/>
      <w:szCs w:val="20"/>
      <w:lang w:eastAsia="en-US"/>
    </w:rPr>
  </w:style>
  <w:style w:type="paragraph" w:customStyle="1" w:styleId="Heading1First">
    <w:name w:val="Heading 1 First"/>
    <w:basedOn w:val="Heading1"/>
    <w:qFormat/>
    <w:rsid w:val="00227574"/>
    <w:pPr>
      <w:keepNext/>
      <w:keepLines/>
      <w:suppressAutoHyphens w:val="0"/>
      <w:autoSpaceDE/>
      <w:autoSpaceDN/>
      <w:adjustRightInd/>
      <w:spacing w:before="0" w:line="240" w:lineRule="auto"/>
      <w:textAlignment w:val="auto"/>
    </w:pPr>
    <w:rPr>
      <w:rFonts w:ascii="Georgia" w:eastAsiaTheme="majorEastAsia" w:hAnsi="Georgia" w:cs="Times New Roman"/>
      <w:bCs/>
      <w:caps w:val="0"/>
      <w:spacing w:val="0"/>
      <w:sz w:val="28"/>
      <w:szCs w:val="28"/>
      <w:lang w:eastAsia="en-US"/>
    </w:rPr>
  </w:style>
  <w:style w:type="paragraph" w:customStyle="1" w:styleId="StyleTableColHeadsBold85pt">
    <w:name w:val="Style TableColHeads Bold + 8.5 pt"/>
    <w:basedOn w:val="TableColHeadsBold0"/>
    <w:rsid w:val="004F240E"/>
    <w:pPr>
      <w:spacing w:before="10" w:after="10"/>
    </w:pPr>
    <w:rPr>
      <w:sz w:val="17"/>
    </w:rPr>
  </w:style>
  <w:style w:type="paragraph" w:customStyle="1" w:styleId="StyleTableColHeadsBold85ptNotBold">
    <w:name w:val="Style TableColHeads Bold + 8.5 pt Not Bold"/>
    <w:basedOn w:val="TableColHeadsBold0"/>
    <w:rsid w:val="004F240E"/>
    <w:pPr>
      <w:spacing w:before="10" w:after="10"/>
    </w:pPr>
    <w:rPr>
      <w:b w:val="0"/>
      <w:bCs w:val="0"/>
      <w:sz w:val="17"/>
    </w:rPr>
  </w:style>
  <w:style w:type="character" w:styleId="UnresolvedMention">
    <w:name w:val="Unresolved Mention"/>
    <w:basedOn w:val="DefaultParagraphFont"/>
    <w:uiPriority w:val="99"/>
    <w:semiHidden/>
    <w:unhideWhenUsed/>
    <w:rsid w:val="006E0653"/>
    <w:rPr>
      <w:color w:val="808080"/>
      <w:shd w:val="clear" w:color="auto" w:fill="E6E6E6"/>
    </w:rPr>
  </w:style>
  <w:style w:type="character" w:customStyle="1" w:styleId="bumpedfont15">
    <w:name w:val="bumpedfont15"/>
    <w:basedOn w:val="DefaultParagraphFont"/>
    <w:rsid w:val="00B20285"/>
  </w:style>
  <w:style w:type="character" w:customStyle="1" w:styleId="Heading6Char">
    <w:name w:val="Heading 6 Char"/>
    <w:basedOn w:val="DefaultParagraphFont"/>
    <w:link w:val="Heading6"/>
    <w:rsid w:val="005E793C"/>
    <w:rPr>
      <w:rFonts w:ascii="Book Antiqua" w:hAnsi="Book Antiqua" w:cs="Arial"/>
      <w:b/>
      <w:snapToGrid w:val="0"/>
      <w:color w:val="000000"/>
      <w:spacing w:val="-1"/>
      <w:sz w:val="22"/>
      <w:szCs w:val="24"/>
      <w:u w:val="single"/>
    </w:rPr>
  </w:style>
  <w:style w:type="character" w:customStyle="1" w:styleId="Heading7Char">
    <w:name w:val="Heading 7 Char"/>
    <w:basedOn w:val="DefaultParagraphFont"/>
    <w:link w:val="Heading7"/>
    <w:rsid w:val="005E793C"/>
    <w:rPr>
      <w:rFonts w:ascii="Book Antiqua" w:hAnsi="Book Antiqua" w:cs="Arial"/>
      <w:b/>
      <w:snapToGrid w:val="0"/>
      <w:color w:val="000000"/>
      <w:spacing w:val="-1"/>
      <w:sz w:val="22"/>
      <w:szCs w:val="24"/>
    </w:rPr>
  </w:style>
  <w:style w:type="character" w:customStyle="1" w:styleId="Heading8Char">
    <w:name w:val="Heading 8 Char"/>
    <w:basedOn w:val="DefaultParagraphFont"/>
    <w:link w:val="Heading8"/>
    <w:rsid w:val="005E793C"/>
    <w:rPr>
      <w:rFonts w:ascii="Book Antiqua" w:hAnsi="Book Antiqua" w:cs="Arial"/>
      <w:b/>
      <w:snapToGrid w:val="0"/>
      <w:color w:val="000000"/>
      <w:spacing w:val="-1"/>
      <w:sz w:val="22"/>
      <w:szCs w:val="24"/>
      <w:u w:val="single"/>
    </w:rPr>
  </w:style>
  <w:style w:type="character" w:customStyle="1" w:styleId="Heading9Char">
    <w:name w:val="Heading 9 Char"/>
    <w:basedOn w:val="DefaultParagraphFont"/>
    <w:link w:val="Heading9"/>
    <w:rsid w:val="005E793C"/>
    <w:rPr>
      <w:rFonts w:ascii="Book Antiqua" w:hAnsi="Book Antiqua" w:cs="Arial"/>
      <w:b/>
      <w:spacing w:val="-1"/>
      <w:sz w:val="22"/>
      <w:szCs w:val="24"/>
    </w:rPr>
  </w:style>
  <w:style w:type="character" w:customStyle="1" w:styleId="BalloonTextChar">
    <w:name w:val="Balloon Text Char"/>
    <w:basedOn w:val="DefaultParagraphFont"/>
    <w:link w:val="BalloonText"/>
    <w:semiHidden/>
    <w:rsid w:val="005E793C"/>
    <w:rPr>
      <w:rFonts w:ascii="Tahoma" w:hAnsi="Tahoma" w:cs="Tahoma"/>
      <w:spacing w:val="-1"/>
      <w:sz w:val="16"/>
      <w:szCs w:val="16"/>
      <w:lang w:eastAsia="en-US"/>
    </w:rPr>
  </w:style>
  <w:style w:type="character" w:customStyle="1" w:styleId="BodyTextIndent2Char">
    <w:name w:val="Body Text Indent 2 Char"/>
    <w:basedOn w:val="DefaultParagraphFont"/>
    <w:link w:val="BodyTextIndent2"/>
    <w:rsid w:val="005E793C"/>
    <w:rPr>
      <w:rFonts w:ascii="Book Antiqua" w:hAnsi="Book Antiqua" w:cs="Arial"/>
      <w:spacing w:val="-1"/>
      <w:sz w:val="22"/>
      <w:szCs w:val="24"/>
    </w:rPr>
  </w:style>
  <w:style w:type="character" w:customStyle="1" w:styleId="BodyText2Char">
    <w:name w:val="Body Text 2 Char"/>
    <w:basedOn w:val="DefaultParagraphFont"/>
    <w:link w:val="BodyText2"/>
    <w:rsid w:val="005E793C"/>
    <w:rPr>
      <w:rFonts w:ascii="Book Antiqua" w:hAnsi="Book Antiqua" w:cs="Arial"/>
      <w:spacing w:val="-1"/>
      <w:sz w:val="22"/>
      <w:szCs w:val="24"/>
    </w:rPr>
  </w:style>
  <w:style w:type="character" w:customStyle="1" w:styleId="BodyTextIndent3Char">
    <w:name w:val="Body Text Indent 3 Char"/>
    <w:basedOn w:val="DefaultParagraphFont"/>
    <w:link w:val="BodyTextIndent3"/>
    <w:rsid w:val="005E793C"/>
    <w:rPr>
      <w:rFonts w:ascii="Book Antiqua" w:hAnsi="Book Antiqua" w:cs="Arial"/>
      <w:spacing w:val="-1"/>
      <w:sz w:val="22"/>
      <w:szCs w:val="24"/>
    </w:rPr>
  </w:style>
  <w:style w:type="character" w:customStyle="1" w:styleId="BodyText3Char">
    <w:name w:val="Body Text 3 Char"/>
    <w:basedOn w:val="DefaultParagraphFont"/>
    <w:link w:val="BodyText3"/>
    <w:rsid w:val="005E793C"/>
    <w:rPr>
      <w:rFonts w:ascii="Book Antiqua" w:hAnsi="Book Antiqua" w:cs="Arial"/>
      <w:spacing w:val="-1"/>
      <w:sz w:val="22"/>
      <w:szCs w:val="24"/>
    </w:rPr>
  </w:style>
  <w:style w:type="character" w:customStyle="1" w:styleId="SubtitleChar">
    <w:name w:val="Subtitle Char"/>
    <w:basedOn w:val="DefaultParagraphFont"/>
    <w:link w:val="Subtitle"/>
    <w:rsid w:val="005E793C"/>
    <w:rPr>
      <w:rFonts w:ascii="Book Antiqua" w:hAnsi="Book Antiqua" w:cs="Arial"/>
      <w:b/>
      <w:bCs/>
      <w:spacing w:val="-1"/>
      <w:sz w:val="22"/>
      <w:szCs w:val="22"/>
    </w:rPr>
  </w:style>
  <w:style w:type="character" w:customStyle="1" w:styleId="HTMLPreformattedChar">
    <w:name w:val="HTML Preformatted Char"/>
    <w:basedOn w:val="DefaultParagraphFont"/>
    <w:link w:val="HTMLPreformatted"/>
    <w:rsid w:val="005E793C"/>
    <w:rPr>
      <w:rFonts w:ascii="Courier New" w:hAnsi="Courier New" w:cs="Courier New"/>
      <w:spacing w:val="-1"/>
      <w:sz w:val="22"/>
      <w:szCs w:val="24"/>
    </w:rPr>
  </w:style>
  <w:style w:type="paragraph" w:customStyle="1" w:styleId="TableParagraph">
    <w:name w:val="Table Paragraph"/>
    <w:basedOn w:val="Normal"/>
    <w:uiPriority w:val="1"/>
    <w:qFormat/>
    <w:rsid w:val="005B7F66"/>
    <w:pPr>
      <w:widowControl w:val="0"/>
      <w:autoSpaceDE w:val="0"/>
      <w:autoSpaceDN w:val="0"/>
      <w:spacing w:after="0" w:line="240" w:lineRule="auto"/>
      <w:jc w:val="right"/>
    </w:pPr>
    <w:rPr>
      <w:rFonts w:ascii="Delta BQ Light" w:eastAsia="Delta BQ Light" w:hAnsi="Delta BQ Light" w:cs="Delta BQ Light"/>
      <w:spacing w:val="0"/>
      <w:szCs w:val="22"/>
      <w:lang w:val="en-US" w:eastAsia="en-US"/>
    </w:rPr>
  </w:style>
  <w:style w:type="character" w:customStyle="1" w:styleId="TextChar">
    <w:name w:val="Text Char"/>
    <w:basedOn w:val="DefaultParagraphFont"/>
    <w:link w:val="Text"/>
    <w:locked/>
    <w:rsid w:val="006733A8"/>
    <w:rPr>
      <w:rFonts w:ascii="Arial" w:hAnsi="Arial" w:cs="Arial"/>
      <w:sz w:val="17"/>
      <w:szCs w:val="18"/>
      <w:lang w:eastAsia="en-US"/>
    </w:rPr>
  </w:style>
  <w:style w:type="paragraph" w:customStyle="1" w:styleId="Text">
    <w:name w:val="Text"/>
    <w:link w:val="TextChar"/>
    <w:qFormat/>
    <w:rsid w:val="006733A8"/>
    <w:pPr>
      <w:spacing w:after="240" w:line="240" w:lineRule="atLeast"/>
    </w:pPr>
    <w:rPr>
      <w:rFonts w:ascii="Arial" w:hAnsi="Arial" w:cs="Arial"/>
      <w:sz w:val="17"/>
      <w:szCs w:val="18"/>
      <w:lang w:eastAsia="en-US"/>
    </w:rPr>
  </w:style>
  <w:style w:type="character" w:customStyle="1" w:styleId="HeadingChar">
    <w:name w:val="Heading Char"/>
    <w:basedOn w:val="TextChar"/>
    <w:link w:val="Heading"/>
    <w:locked/>
    <w:rsid w:val="006733A8"/>
    <w:rPr>
      <w:rFonts w:ascii="Arial" w:hAnsi="Arial" w:cs="Arial"/>
      <w:b/>
      <w:sz w:val="24"/>
      <w:szCs w:val="18"/>
      <w:lang w:eastAsia="en-US"/>
    </w:rPr>
  </w:style>
  <w:style w:type="paragraph" w:customStyle="1" w:styleId="Heading">
    <w:name w:val="Heading"/>
    <w:basedOn w:val="Text"/>
    <w:link w:val="HeadingChar"/>
    <w:qFormat/>
    <w:rsid w:val="006733A8"/>
    <w:pPr>
      <w:keepNext/>
      <w:spacing w:after="0"/>
      <w:contextualSpacing/>
    </w:pPr>
    <w:rPr>
      <w:b/>
      <w:sz w:val="24"/>
    </w:rPr>
  </w:style>
  <w:style w:type="character" w:customStyle="1" w:styleId="BulletChar">
    <w:name w:val="Bullet Char"/>
    <w:basedOn w:val="TextChar"/>
    <w:link w:val="Bullet"/>
    <w:locked/>
    <w:rsid w:val="006733A8"/>
    <w:rPr>
      <w:rFonts w:ascii="Delta BQ Light" w:hAnsi="Delta BQ Light" w:cs="Delta BQ Light"/>
      <w:color w:val="0F2331"/>
      <w:spacing w:val="-3"/>
      <w:sz w:val="17"/>
      <w:szCs w:val="17"/>
      <w:lang w:eastAsia="en-US"/>
    </w:rPr>
  </w:style>
  <w:style w:type="paragraph" w:customStyle="1" w:styleId="Bodytext03Bodytext">
    <w:name w:val="Bodytext (03_Bodytext)"/>
    <w:basedOn w:val="Normal"/>
    <w:uiPriority w:val="99"/>
    <w:rsid w:val="008C16E2"/>
    <w:pPr>
      <w:suppressAutoHyphens/>
      <w:autoSpaceDE w:val="0"/>
      <w:autoSpaceDN w:val="0"/>
      <w:adjustRightInd w:val="0"/>
      <w:spacing w:after="100" w:line="200" w:lineRule="atLeast"/>
      <w:textAlignment w:val="center"/>
    </w:pPr>
    <w:rPr>
      <w:rFonts w:ascii="Delta BQ Light" w:eastAsiaTheme="minorHAnsi" w:hAnsi="Delta BQ Light" w:cs="Delta BQ Light"/>
      <w:color w:val="000000"/>
      <w:spacing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0534">
      <w:bodyDiv w:val="1"/>
      <w:marLeft w:val="0"/>
      <w:marRight w:val="0"/>
      <w:marTop w:val="0"/>
      <w:marBottom w:val="0"/>
      <w:divBdr>
        <w:top w:val="none" w:sz="0" w:space="0" w:color="auto"/>
        <w:left w:val="none" w:sz="0" w:space="0" w:color="auto"/>
        <w:bottom w:val="none" w:sz="0" w:space="0" w:color="auto"/>
        <w:right w:val="none" w:sz="0" w:space="0" w:color="auto"/>
      </w:divBdr>
    </w:div>
    <w:div w:id="264122800">
      <w:bodyDiv w:val="1"/>
      <w:marLeft w:val="0"/>
      <w:marRight w:val="0"/>
      <w:marTop w:val="0"/>
      <w:marBottom w:val="0"/>
      <w:divBdr>
        <w:top w:val="none" w:sz="0" w:space="0" w:color="auto"/>
        <w:left w:val="none" w:sz="0" w:space="0" w:color="auto"/>
        <w:bottom w:val="none" w:sz="0" w:space="0" w:color="auto"/>
        <w:right w:val="none" w:sz="0" w:space="0" w:color="auto"/>
      </w:divBdr>
    </w:div>
    <w:div w:id="385181507">
      <w:bodyDiv w:val="1"/>
      <w:marLeft w:val="0"/>
      <w:marRight w:val="0"/>
      <w:marTop w:val="0"/>
      <w:marBottom w:val="0"/>
      <w:divBdr>
        <w:top w:val="none" w:sz="0" w:space="0" w:color="auto"/>
        <w:left w:val="none" w:sz="0" w:space="0" w:color="auto"/>
        <w:bottom w:val="none" w:sz="0" w:space="0" w:color="auto"/>
        <w:right w:val="none" w:sz="0" w:space="0" w:color="auto"/>
      </w:divBdr>
    </w:div>
    <w:div w:id="427315508">
      <w:bodyDiv w:val="1"/>
      <w:marLeft w:val="0"/>
      <w:marRight w:val="0"/>
      <w:marTop w:val="0"/>
      <w:marBottom w:val="0"/>
      <w:divBdr>
        <w:top w:val="none" w:sz="0" w:space="0" w:color="auto"/>
        <w:left w:val="none" w:sz="0" w:space="0" w:color="auto"/>
        <w:bottom w:val="none" w:sz="0" w:space="0" w:color="auto"/>
        <w:right w:val="none" w:sz="0" w:space="0" w:color="auto"/>
      </w:divBdr>
    </w:div>
    <w:div w:id="429862971">
      <w:bodyDiv w:val="1"/>
      <w:marLeft w:val="0"/>
      <w:marRight w:val="0"/>
      <w:marTop w:val="0"/>
      <w:marBottom w:val="0"/>
      <w:divBdr>
        <w:top w:val="none" w:sz="0" w:space="0" w:color="auto"/>
        <w:left w:val="none" w:sz="0" w:space="0" w:color="auto"/>
        <w:bottom w:val="none" w:sz="0" w:space="0" w:color="auto"/>
        <w:right w:val="none" w:sz="0" w:space="0" w:color="auto"/>
      </w:divBdr>
    </w:div>
    <w:div w:id="464928497">
      <w:bodyDiv w:val="1"/>
      <w:marLeft w:val="0"/>
      <w:marRight w:val="0"/>
      <w:marTop w:val="0"/>
      <w:marBottom w:val="0"/>
      <w:divBdr>
        <w:top w:val="none" w:sz="0" w:space="0" w:color="auto"/>
        <w:left w:val="none" w:sz="0" w:space="0" w:color="auto"/>
        <w:bottom w:val="none" w:sz="0" w:space="0" w:color="auto"/>
        <w:right w:val="none" w:sz="0" w:space="0" w:color="auto"/>
      </w:divBdr>
    </w:div>
    <w:div w:id="494151229">
      <w:bodyDiv w:val="1"/>
      <w:marLeft w:val="0"/>
      <w:marRight w:val="0"/>
      <w:marTop w:val="0"/>
      <w:marBottom w:val="0"/>
      <w:divBdr>
        <w:top w:val="none" w:sz="0" w:space="0" w:color="auto"/>
        <w:left w:val="none" w:sz="0" w:space="0" w:color="auto"/>
        <w:bottom w:val="none" w:sz="0" w:space="0" w:color="auto"/>
        <w:right w:val="none" w:sz="0" w:space="0" w:color="auto"/>
      </w:divBdr>
    </w:div>
    <w:div w:id="733091326">
      <w:bodyDiv w:val="1"/>
      <w:marLeft w:val="0"/>
      <w:marRight w:val="0"/>
      <w:marTop w:val="0"/>
      <w:marBottom w:val="0"/>
      <w:divBdr>
        <w:top w:val="none" w:sz="0" w:space="0" w:color="auto"/>
        <w:left w:val="none" w:sz="0" w:space="0" w:color="auto"/>
        <w:bottom w:val="none" w:sz="0" w:space="0" w:color="auto"/>
        <w:right w:val="none" w:sz="0" w:space="0" w:color="auto"/>
      </w:divBdr>
      <w:divsChild>
        <w:div w:id="1703091813">
          <w:marLeft w:val="0"/>
          <w:marRight w:val="0"/>
          <w:marTop w:val="0"/>
          <w:marBottom w:val="0"/>
          <w:divBdr>
            <w:top w:val="none" w:sz="0" w:space="0" w:color="auto"/>
            <w:left w:val="none" w:sz="0" w:space="0" w:color="auto"/>
            <w:bottom w:val="none" w:sz="0" w:space="0" w:color="auto"/>
            <w:right w:val="none" w:sz="0" w:space="0" w:color="auto"/>
          </w:divBdr>
          <w:divsChild>
            <w:div w:id="554851030">
              <w:marLeft w:val="45"/>
              <w:marRight w:val="0"/>
              <w:marTop w:val="0"/>
              <w:marBottom w:val="0"/>
              <w:divBdr>
                <w:top w:val="none" w:sz="0" w:space="0" w:color="auto"/>
                <w:left w:val="none" w:sz="0" w:space="0" w:color="auto"/>
                <w:bottom w:val="none" w:sz="0" w:space="0" w:color="auto"/>
                <w:right w:val="none" w:sz="0" w:space="0" w:color="auto"/>
              </w:divBdr>
              <w:divsChild>
                <w:div w:id="5572080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48582803">
      <w:bodyDiv w:val="1"/>
      <w:marLeft w:val="0"/>
      <w:marRight w:val="0"/>
      <w:marTop w:val="0"/>
      <w:marBottom w:val="0"/>
      <w:divBdr>
        <w:top w:val="none" w:sz="0" w:space="0" w:color="auto"/>
        <w:left w:val="none" w:sz="0" w:space="0" w:color="auto"/>
        <w:bottom w:val="none" w:sz="0" w:space="0" w:color="auto"/>
        <w:right w:val="none" w:sz="0" w:space="0" w:color="auto"/>
      </w:divBdr>
    </w:div>
    <w:div w:id="774330356">
      <w:bodyDiv w:val="1"/>
      <w:marLeft w:val="0"/>
      <w:marRight w:val="0"/>
      <w:marTop w:val="0"/>
      <w:marBottom w:val="0"/>
      <w:divBdr>
        <w:top w:val="none" w:sz="0" w:space="0" w:color="auto"/>
        <w:left w:val="none" w:sz="0" w:space="0" w:color="auto"/>
        <w:bottom w:val="none" w:sz="0" w:space="0" w:color="auto"/>
        <w:right w:val="none" w:sz="0" w:space="0" w:color="auto"/>
      </w:divBdr>
    </w:div>
    <w:div w:id="846748872">
      <w:bodyDiv w:val="1"/>
      <w:marLeft w:val="0"/>
      <w:marRight w:val="0"/>
      <w:marTop w:val="0"/>
      <w:marBottom w:val="0"/>
      <w:divBdr>
        <w:top w:val="none" w:sz="0" w:space="0" w:color="auto"/>
        <w:left w:val="none" w:sz="0" w:space="0" w:color="auto"/>
        <w:bottom w:val="none" w:sz="0" w:space="0" w:color="auto"/>
        <w:right w:val="none" w:sz="0" w:space="0" w:color="auto"/>
      </w:divBdr>
    </w:div>
    <w:div w:id="906067401">
      <w:bodyDiv w:val="1"/>
      <w:marLeft w:val="0"/>
      <w:marRight w:val="0"/>
      <w:marTop w:val="0"/>
      <w:marBottom w:val="0"/>
      <w:divBdr>
        <w:top w:val="none" w:sz="0" w:space="0" w:color="auto"/>
        <w:left w:val="none" w:sz="0" w:space="0" w:color="auto"/>
        <w:bottom w:val="none" w:sz="0" w:space="0" w:color="auto"/>
        <w:right w:val="none" w:sz="0" w:space="0" w:color="auto"/>
      </w:divBdr>
    </w:div>
    <w:div w:id="1031032964">
      <w:bodyDiv w:val="1"/>
      <w:marLeft w:val="0"/>
      <w:marRight w:val="0"/>
      <w:marTop w:val="0"/>
      <w:marBottom w:val="0"/>
      <w:divBdr>
        <w:top w:val="none" w:sz="0" w:space="0" w:color="auto"/>
        <w:left w:val="none" w:sz="0" w:space="0" w:color="auto"/>
        <w:bottom w:val="none" w:sz="0" w:space="0" w:color="auto"/>
        <w:right w:val="none" w:sz="0" w:space="0" w:color="auto"/>
      </w:divBdr>
    </w:div>
    <w:div w:id="1142499316">
      <w:bodyDiv w:val="1"/>
      <w:marLeft w:val="0"/>
      <w:marRight w:val="0"/>
      <w:marTop w:val="0"/>
      <w:marBottom w:val="0"/>
      <w:divBdr>
        <w:top w:val="none" w:sz="0" w:space="0" w:color="auto"/>
        <w:left w:val="none" w:sz="0" w:space="0" w:color="auto"/>
        <w:bottom w:val="none" w:sz="0" w:space="0" w:color="auto"/>
        <w:right w:val="none" w:sz="0" w:space="0" w:color="auto"/>
      </w:divBdr>
    </w:div>
    <w:div w:id="1338341700">
      <w:bodyDiv w:val="1"/>
      <w:marLeft w:val="0"/>
      <w:marRight w:val="0"/>
      <w:marTop w:val="0"/>
      <w:marBottom w:val="0"/>
      <w:divBdr>
        <w:top w:val="none" w:sz="0" w:space="0" w:color="auto"/>
        <w:left w:val="none" w:sz="0" w:space="0" w:color="auto"/>
        <w:bottom w:val="none" w:sz="0" w:space="0" w:color="auto"/>
        <w:right w:val="none" w:sz="0" w:space="0" w:color="auto"/>
      </w:divBdr>
    </w:div>
    <w:div w:id="1430126774">
      <w:bodyDiv w:val="1"/>
      <w:marLeft w:val="0"/>
      <w:marRight w:val="0"/>
      <w:marTop w:val="0"/>
      <w:marBottom w:val="0"/>
      <w:divBdr>
        <w:top w:val="none" w:sz="0" w:space="0" w:color="auto"/>
        <w:left w:val="none" w:sz="0" w:space="0" w:color="auto"/>
        <w:bottom w:val="none" w:sz="0" w:space="0" w:color="auto"/>
        <w:right w:val="none" w:sz="0" w:space="0" w:color="auto"/>
      </w:divBdr>
    </w:div>
    <w:div w:id="1448812750">
      <w:bodyDiv w:val="1"/>
      <w:marLeft w:val="0"/>
      <w:marRight w:val="0"/>
      <w:marTop w:val="0"/>
      <w:marBottom w:val="0"/>
      <w:divBdr>
        <w:top w:val="none" w:sz="0" w:space="0" w:color="auto"/>
        <w:left w:val="none" w:sz="0" w:space="0" w:color="auto"/>
        <w:bottom w:val="none" w:sz="0" w:space="0" w:color="auto"/>
        <w:right w:val="none" w:sz="0" w:space="0" w:color="auto"/>
      </w:divBdr>
    </w:div>
    <w:div w:id="1453862808">
      <w:bodyDiv w:val="1"/>
      <w:marLeft w:val="0"/>
      <w:marRight w:val="0"/>
      <w:marTop w:val="0"/>
      <w:marBottom w:val="0"/>
      <w:divBdr>
        <w:top w:val="none" w:sz="0" w:space="0" w:color="auto"/>
        <w:left w:val="none" w:sz="0" w:space="0" w:color="auto"/>
        <w:bottom w:val="none" w:sz="0" w:space="0" w:color="auto"/>
        <w:right w:val="none" w:sz="0" w:space="0" w:color="auto"/>
      </w:divBdr>
    </w:div>
    <w:div w:id="1506631885">
      <w:bodyDiv w:val="1"/>
      <w:marLeft w:val="0"/>
      <w:marRight w:val="0"/>
      <w:marTop w:val="0"/>
      <w:marBottom w:val="0"/>
      <w:divBdr>
        <w:top w:val="none" w:sz="0" w:space="0" w:color="auto"/>
        <w:left w:val="none" w:sz="0" w:space="0" w:color="auto"/>
        <w:bottom w:val="none" w:sz="0" w:space="0" w:color="auto"/>
        <w:right w:val="none" w:sz="0" w:space="0" w:color="auto"/>
      </w:divBdr>
    </w:div>
    <w:div w:id="1571041956">
      <w:bodyDiv w:val="1"/>
      <w:marLeft w:val="0"/>
      <w:marRight w:val="0"/>
      <w:marTop w:val="0"/>
      <w:marBottom w:val="0"/>
      <w:divBdr>
        <w:top w:val="none" w:sz="0" w:space="0" w:color="auto"/>
        <w:left w:val="none" w:sz="0" w:space="0" w:color="auto"/>
        <w:bottom w:val="none" w:sz="0" w:space="0" w:color="auto"/>
        <w:right w:val="none" w:sz="0" w:space="0" w:color="auto"/>
      </w:divBdr>
    </w:div>
    <w:div w:id="1731617008">
      <w:bodyDiv w:val="1"/>
      <w:marLeft w:val="0"/>
      <w:marRight w:val="0"/>
      <w:marTop w:val="0"/>
      <w:marBottom w:val="0"/>
      <w:divBdr>
        <w:top w:val="none" w:sz="0" w:space="0" w:color="auto"/>
        <w:left w:val="none" w:sz="0" w:space="0" w:color="auto"/>
        <w:bottom w:val="none" w:sz="0" w:space="0" w:color="auto"/>
        <w:right w:val="none" w:sz="0" w:space="0" w:color="auto"/>
      </w:divBdr>
    </w:div>
    <w:div w:id="1746339396">
      <w:bodyDiv w:val="1"/>
      <w:marLeft w:val="0"/>
      <w:marRight w:val="0"/>
      <w:marTop w:val="0"/>
      <w:marBottom w:val="0"/>
      <w:divBdr>
        <w:top w:val="none" w:sz="0" w:space="0" w:color="auto"/>
        <w:left w:val="none" w:sz="0" w:space="0" w:color="auto"/>
        <w:bottom w:val="none" w:sz="0" w:space="0" w:color="auto"/>
        <w:right w:val="none" w:sz="0" w:space="0" w:color="auto"/>
      </w:divBdr>
    </w:div>
    <w:div w:id="1783767362">
      <w:bodyDiv w:val="1"/>
      <w:marLeft w:val="0"/>
      <w:marRight w:val="0"/>
      <w:marTop w:val="0"/>
      <w:marBottom w:val="0"/>
      <w:divBdr>
        <w:top w:val="none" w:sz="0" w:space="0" w:color="auto"/>
        <w:left w:val="none" w:sz="0" w:space="0" w:color="auto"/>
        <w:bottom w:val="none" w:sz="0" w:space="0" w:color="auto"/>
        <w:right w:val="none" w:sz="0" w:space="0" w:color="auto"/>
      </w:divBdr>
      <w:divsChild>
        <w:div w:id="1020817922">
          <w:marLeft w:val="0"/>
          <w:marRight w:val="0"/>
          <w:marTop w:val="0"/>
          <w:marBottom w:val="0"/>
          <w:divBdr>
            <w:top w:val="none" w:sz="0" w:space="0" w:color="auto"/>
            <w:left w:val="none" w:sz="0" w:space="0" w:color="auto"/>
            <w:bottom w:val="none" w:sz="0" w:space="0" w:color="auto"/>
            <w:right w:val="none" w:sz="0" w:space="0" w:color="auto"/>
          </w:divBdr>
          <w:divsChild>
            <w:div w:id="1991136430">
              <w:marLeft w:val="45"/>
              <w:marRight w:val="0"/>
              <w:marTop w:val="0"/>
              <w:marBottom w:val="0"/>
              <w:divBdr>
                <w:top w:val="none" w:sz="0" w:space="0" w:color="auto"/>
                <w:left w:val="none" w:sz="0" w:space="0" w:color="auto"/>
                <w:bottom w:val="none" w:sz="0" w:space="0" w:color="auto"/>
                <w:right w:val="none" w:sz="0" w:space="0" w:color="auto"/>
              </w:divBdr>
              <w:divsChild>
                <w:div w:id="538317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30897454">
      <w:bodyDiv w:val="1"/>
      <w:marLeft w:val="0"/>
      <w:marRight w:val="0"/>
      <w:marTop w:val="0"/>
      <w:marBottom w:val="0"/>
      <w:divBdr>
        <w:top w:val="none" w:sz="0" w:space="0" w:color="auto"/>
        <w:left w:val="none" w:sz="0" w:space="0" w:color="auto"/>
        <w:bottom w:val="none" w:sz="0" w:space="0" w:color="auto"/>
        <w:right w:val="none" w:sz="0" w:space="0" w:color="auto"/>
      </w:divBdr>
    </w:div>
    <w:div w:id="1834948851">
      <w:bodyDiv w:val="1"/>
      <w:marLeft w:val="0"/>
      <w:marRight w:val="0"/>
      <w:marTop w:val="0"/>
      <w:marBottom w:val="0"/>
      <w:divBdr>
        <w:top w:val="none" w:sz="0" w:space="0" w:color="auto"/>
        <w:left w:val="none" w:sz="0" w:space="0" w:color="auto"/>
        <w:bottom w:val="none" w:sz="0" w:space="0" w:color="auto"/>
        <w:right w:val="none" w:sz="0" w:space="0" w:color="auto"/>
      </w:divBdr>
    </w:div>
    <w:div w:id="1852332061">
      <w:bodyDiv w:val="1"/>
      <w:marLeft w:val="0"/>
      <w:marRight w:val="0"/>
      <w:marTop w:val="0"/>
      <w:marBottom w:val="0"/>
      <w:divBdr>
        <w:top w:val="none" w:sz="0" w:space="0" w:color="auto"/>
        <w:left w:val="none" w:sz="0" w:space="0" w:color="auto"/>
        <w:bottom w:val="none" w:sz="0" w:space="0" w:color="auto"/>
        <w:right w:val="none" w:sz="0" w:space="0" w:color="auto"/>
      </w:divBdr>
    </w:div>
    <w:div w:id="1868179609">
      <w:bodyDiv w:val="1"/>
      <w:marLeft w:val="0"/>
      <w:marRight w:val="0"/>
      <w:marTop w:val="0"/>
      <w:marBottom w:val="0"/>
      <w:divBdr>
        <w:top w:val="none" w:sz="0" w:space="0" w:color="auto"/>
        <w:left w:val="none" w:sz="0" w:space="0" w:color="auto"/>
        <w:bottom w:val="none" w:sz="0" w:space="0" w:color="auto"/>
        <w:right w:val="none" w:sz="0" w:space="0" w:color="auto"/>
      </w:divBdr>
    </w:div>
    <w:div w:id="19478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CEImCJZJkCp0EQxIv74Wn?domain=segro-comm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gro.com" TargetMode="External"/><Relationship Id="rId4" Type="http://schemas.openxmlformats.org/officeDocument/2006/relationships/webSettings" Target="webSettings.xml"/><Relationship Id="rId9" Type="http://schemas.openxmlformats.org/officeDocument/2006/relationships/hyperlink" Target="http://www.segro.com/investor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62</Pages>
  <Words>31505</Words>
  <Characters>171607</Characters>
  <Application>Microsoft Office Word</Application>
  <DocSecurity>0</DocSecurity>
  <Lines>3064</Lines>
  <Paragraphs>1345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201767</CharactersWithSpaces>
  <SharedDoc>false</SharedDoc>
  <HLinks>
    <vt:vector size="18" baseType="variant">
      <vt:variant>
        <vt:i4>6160390</vt:i4>
      </vt:variant>
      <vt:variant>
        <vt:i4>6</vt:i4>
      </vt:variant>
      <vt:variant>
        <vt:i4>0</vt:i4>
      </vt:variant>
      <vt:variant>
        <vt:i4>5</vt:i4>
      </vt:variant>
      <vt:variant>
        <vt:lpwstr>http://www.segro.com/</vt:lpwstr>
      </vt:variant>
      <vt:variant>
        <vt:lpwstr/>
      </vt:variant>
      <vt:variant>
        <vt:i4>3014692</vt:i4>
      </vt:variant>
      <vt:variant>
        <vt:i4>3</vt:i4>
      </vt:variant>
      <vt:variant>
        <vt:i4>0</vt:i4>
      </vt:variant>
      <vt:variant>
        <vt:i4>5</vt:i4>
      </vt:variant>
      <vt:variant>
        <vt:lpwstr>http://www.segro.com/investors</vt:lpwstr>
      </vt:variant>
      <vt:variant>
        <vt:lpwstr/>
      </vt:variant>
      <vt:variant>
        <vt:i4>1638472</vt:i4>
      </vt:variant>
      <vt:variant>
        <vt:i4>0</vt:i4>
      </vt:variant>
      <vt:variant>
        <vt:i4>0</vt:i4>
      </vt:variant>
      <vt:variant>
        <vt:i4>5</vt:i4>
      </vt:variant>
      <vt:variant>
        <vt:lpwstr>http://www.segro.com/investors/Results-Reporting/2015-hy-webcast/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Harry.Stokes@SEGRO.com</dc:creator>
  <cp:keywords/>
  <cp:lastModifiedBy>Ellie Dale</cp:lastModifiedBy>
  <cp:revision>5</cp:revision>
  <cp:lastPrinted>2022-02-16T19:38:00Z</cp:lastPrinted>
  <dcterms:created xsi:type="dcterms:W3CDTF">2022-02-17T14:35:00Z</dcterms:created>
  <dcterms:modified xsi:type="dcterms:W3CDTF">2022-02-17T17:29:00Z</dcterms:modified>
</cp:coreProperties>
</file>